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032E3" w:rsidTr="0010095E">
        <w:trPr>
          <w:trHeight w:hRule="exact" w:val="1418"/>
        </w:trPr>
        <w:tc>
          <w:tcPr>
            <w:tcW w:w="6804" w:type="dxa"/>
            <w:shd w:val="clear" w:color="auto" w:fill="auto"/>
            <w:vAlign w:val="center"/>
          </w:tcPr>
          <w:p w:rsidR="00751A4A" w:rsidRPr="001032E3" w:rsidRDefault="00FC3C49" w:rsidP="0010095E">
            <w:pPr>
              <w:pStyle w:val="EPName"/>
            </w:pPr>
            <w:r w:rsidRPr="001032E3">
              <w:t>Europaparlamentet</w:t>
            </w:r>
          </w:p>
          <w:p w:rsidR="00751A4A" w:rsidRPr="001032E3" w:rsidRDefault="00817416" w:rsidP="00756632">
            <w:pPr>
              <w:pStyle w:val="EPTerm"/>
              <w:rPr>
                <w:rStyle w:val="HideTWBExt"/>
                <w:noProof w:val="0"/>
                <w:vanish w:val="0"/>
                <w:color w:val="auto"/>
              </w:rPr>
            </w:pPr>
            <w:r w:rsidRPr="001032E3">
              <w:t>2019-2024</w:t>
            </w:r>
          </w:p>
        </w:tc>
        <w:tc>
          <w:tcPr>
            <w:tcW w:w="2268" w:type="dxa"/>
            <w:shd w:val="clear" w:color="auto" w:fill="auto"/>
          </w:tcPr>
          <w:p w:rsidR="00751A4A" w:rsidRPr="001032E3" w:rsidRDefault="00187494" w:rsidP="0010095E">
            <w:pPr>
              <w:pStyle w:val="EPLogo"/>
            </w:pPr>
            <w:r w:rsidRPr="001032E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032E3" w:rsidRDefault="00D058B8" w:rsidP="004C5D52">
      <w:pPr>
        <w:pStyle w:val="LineTop"/>
      </w:pPr>
    </w:p>
    <w:p w:rsidR="00680577" w:rsidRPr="001032E3" w:rsidRDefault="00FC3C49" w:rsidP="00680577">
      <w:pPr>
        <w:pStyle w:val="EPBodyTA1"/>
      </w:pPr>
      <w:r w:rsidRPr="001032E3">
        <w:t>ANTAGNA TEXTER</w:t>
      </w:r>
    </w:p>
    <w:p w:rsidR="00D058B8" w:rsidRPr="001032E3" w:rsidRDefault="00D058B8" w:rsidP="00D058B8">
      <w:pPr>
        <w:pStyle w:val="LineBottom"/>
      </w:pPr>
    </w:p>
    <w:p w:rsidR="00FC3C49" w:rsidRPr="001032E3" w:rsidRDefault="00FC3C49" w:rsidP="00FC3C49">
      <w:pPr>
        <w:pStyle w:val="ATHeading1"/>
      </w:pPr>
      <w:bookmarkStart w:id="0" w:name="TANumber"/>
      <w:r w:rsidRPr="001032E3">
        <w:t>P9_TA(2024)0</w:t>
      </w:r>
      <w:bookmarkEnd w:id="0"/>
      <w:r w:rsidR="001032E3" w:rsidRPr="001032E3">
        <w:t>258</w:t>
      </w:r>
    </w:p>
    <w:p w:rsidR="00FC3C49" w:rsidRPr="001032E3" w:rsidRDefault="00FC3C49" w:rsidP="00FC3C49">
      <w:pPr>
        <w:pStyle w:val="ATHeading2"/>
      </w:pPr>
      <w:bookmarkStart w:id="1" w:name="title"/>
      <w:r w:rsidRPr="001032E3">
        <w:t>Ansvarsfrihet 2022: Europeiska kemikaliemyndigheten</w:t>
      </w:r>
      <w:bookmarkEnd w:id="1"/>
    </w:p>
    <w:p w:rsidR="00FC3C49" w:rsidRPr="001032E3" w:rsidRDefault="00FC3C49" w:rsidP="00FC3C49">
      <w:pPr>
        <w:rPr>
          <w:i/>
          <w:vanish/>
        </w:rPr>
      </w:pPr>
      <w:r w:rsidRPr="001032E3">
        <w:rPr>
          <w:i/>
        </w:rPr>
        <w:fldChar w:fldCharType="begin"/>
      </w:r>
      <w:r w:rsidRPr="001032E3">
        <w:rPr>
          <w:i/>
        </w:rPr>
        <w:instrText xml:space="preserve"> TC"(</w:instrText>
      </w:r>
      <w:bookmarkStart w:id="2" w:name="DocNumber"/>
      <w:r w:rsidRPr="001032E3">
        <w:rPr>
          <w:i/>
        </w:rPr>
        <w:instrText>A9-0135/2024</w:instrText>
      </w:r>
      <w:bookmarkEnd w:id="2"/>
      <w:r w:rsidRPr="001032E3">
        <w:rPr>
          <w:i/>
        </w:rPr>
        <w:instrText xml:space="preserve"> - Föredragande: Petri Sarvamaa)"\l3 \n&gt; \* MERGEFORMAT </w:instrText>
      </w:r>
      <w:r w:rsidRPr="001032E3">
        <w:rPr>
          <w:i/>
        </w:rPr>
        <w:fldChar w:fldCharType="end"/>
      </w:r>
    </w:p>
    <w:p w:rsidR="00FC3C49" w:rsidRPr="001032E3" w:rsidRDefault="00FC3C49" w:rsidP="00FC3C49">
      <w:pPr>
        <w:rPr>
          <w:vanish/>
        </w:rPr>
      </w:pPr>
      <w:bookmarkStart w:id="3" w:name="Commission"/>
      <w:r w:rsidRPr="001032E3">
        <w:rPr>
          <w:vanish/>
        </w:rPr>
        <w:t>Budgetkontrollutskottet</w:t>
      </w:r>
      <w:bookmarkEnd w:id="3"/>
    </w:p>
    <w:p w:rsidR="00FC3C49" w:rsidRPr="001032E3" w:rsidRDefault="00FC3C49" w:rsidP="00FC3C49">
      <w:pPr>
        <w:rPr>
          <w:vanish/>
        </w:rPr>
      </w:pPr>
      <w:bookmarkStart w:id="4" w:name="PE"/>
      <w:r w:rsidRPr="001032E3">
        <w:rPr>
          <w:vanish/>
        </w:rPr>
        <w:t>PE753.516</w:t>
      </w:r>
      <w:bookmarkEnd w:id="4"/>
    </w:p>
    <w:p w:rsidR="00FC3C49" w:rsidRPr="001032E3" w:rsidRDefault="00B340DE" w:rsidP="00FC3C49">
      <w:pPr>
        <w:pStyle w:val="ATHeading3"/>
      </w:pPr>
      <w:bookmarkStart w:id="5" w:name="Sujet"/>
      <w:r w:rsidRPr="001032E3">
        <w:t xml:space="preserve">1. </w:t>
      </w:r>
      <w:r w:rsidR="00FC3C49" w:rsidRPr="001032E3">
        <w:t xml:space="preserve">Europaparlamentets beslut av den </w:t>
      </w:r>
      <w:r w:rsidRPr="001032E3">
        <w:t>11</w:t>
      </w:r>
      <w:r w:rsidR="00FC3C49" w:rsidRPr="001032E3">
        <w:t xml:space="preserve"> </w:t>
      </w:r>
      <w:r w:rsidR="00AD4394" w:rsidRPr="001032E3">
        <w:t>april</w:t>
      </w:r>
      <w:r w:rsidR="00FC3C49" w:rsidRPr="001032E3">
        <w:t xml:space="preserve"> 2024 om ansvarsfrihet för genomförandet av budgeten för Europeiska kemikaliemyndigheten för budgetåret 2022</w:t>
      </w:r>
      <w:bookmarkEnd w:id="5"/>
      <w:r w:rsidR="00FC3C49" w:rsidRPr="001032E3">
        <w:t xml:space="preserve"> </w:t>
      </w:r>
      <w:bookmarkStart w:id="6" w:name="References"/>
      <w:r w:rsidR="00FC3C49" w:rsidRPr="001032E3">
        <w:t>(2023/2148(DEC))</w:t>
      </w:r>
      <w:bookmarkEnd w:id="6"/>
    </w:p>
    <w:p w:rsidR="008C60AA" w:rsidRPr="001032E3" w:rsidRDefault="008C60AA" w:rsidP="008C60AA">
      <w:pPr>
        <w:pStyle w:val="EPComma"/>
      </w:pPr>
      <w:bookmarkStart w:id="7" w:name="TextBodyBegin"/>
      <w:bookmarkEnd w:id="7"/>
      <w:r w:rsidRPr="001032E3">
        <w:rPr>
          <w:i/>
        </w:rPr>
        <w:t>Europaparlamentet fattar detta beslut</w:t>
      </w:r>
    </w:p>
    <w:p w:rsidR="008C60AA" w:rsidRPr="001032E3" w:rsidRDefault="008C60AA" w:rsidP="008C60AA">
      <w:pPr>
        <w:pStyle w:val="NormalHanging12a"/>
      </w:pPr>
      <w:r w:rsidRPr="001032E3">
        <w:t>–</w:t>
      </w:r>
      <w:r w:rsidRPr="001032E3">
        <w:tab/>
        <w:t>med beaktande av den slutliga årsredovisningen för Europeiska kemikaliemyndigheten för budgetåret 2022,</w:t>
      </w:r>
    </w:p>
    <w:p w:rsidR="008C60AA" w:rsidRPr="001032E3" w:rsidRDefault="008C60AA" w:rsidP="008C60AA">
      <w:pPr>
        <w:pStyle w:val="NormalHanging12a"/>
      </w:pPr>
      <w:r w:rsidRPr="001032E3">
        <w:t>–</w:t>
      </w:r>
      <w:r w:rsidRPr="001032E3">
        <w:tab/>
        <w:t>med beaktande av revisionsrättens årsrapport om EU:s byråer för budgetåret 2022, med byråernas svar</w:t>
      </w:r>
      <w:r w:rsidRPr="001032E3">
        <w:rPr>
          <w:rStyle w:val="FootnoteReference"/>
        </w:rPr>
        <w:footnoteReference w:id="1"/>
      </w:r>
      <w:r w:rsidRPr="001032E3">
        <w:t>,</w:t>
      </w:r>
    </w:p>
    <w:p w:rsidR="008C60AA" w:rsidRPr="001032E3" w:rsidRDefault="008C60AA" w:rsidP="008C60AA">
      <w:pPr>
        <w:pStyle w:val="NormalHanging12a"/>
      </w:pPr>
      <w:r w:rsidRPr="001032E3">
        <w:t>–</w:t>
      </w:r>
      <w:r w:rsidRPr="001032E3">
        <w:tab/>
        <w:t>med beaktande av förklaringen om räkenskapernas tillförlitlighet och de underliggande transaktionernas laglighet och korrekthet</w:t>
      </w:r>
      <w:r w:rsidRPr="001032E3">
        <w:rPr>
          <w:rStyle w:val="FootnoteReference"/>
        </w:rPr>
        <w:footnoteReference w:id="2"/>
      </w:r>
      <w:r w:rsidRPr="001032E3">
        <w:t>, som avgetts av revisionsrätten för budgetåret 2022 i enlighet med artikel 287 i fördraget om Europeiska unionens funktionssätt,</w:t>
      </w:r>
    </w:p>
    <w:p w:rsidR="008C60AA" w:rsidRPr="001032E3" w:rsidRDefault="008C60AA" w:rsidP="008C60AA">
      <w:pPr>
        <w:pStyle w:val="NormalHanging12a"/>
      </w:pPr>
      <w:r w:rsidRPr="001032E3">
        <w:t>–</w:t>
      </w:r>
      <w:r w:rsidRPr="001032E3">
        <w:tab/>
        <w:t>med beaktande av rådets rekommendation av den 22 februari 2024 om att bevilja byrån ansvarsfrihet för genomförandet av budgeten för budgetåret 2022 (</w:t>
      </w:r>
      <w:r w:rsidR="00727521" w:rsidRPr="001032E3">
        <w:t>06180</w:t>
      </w:r>
      <w:r w:rsidRPr="001032E3">
        <w:t>/2024 – C9</w:t>
      </w:r>
      <w:r w:rsidRPr="001032E3">
        <w:noBreakHyphen/>
      </w:r>
      <w:r w:rsidR="00727521" w:rsidRPr="001032E3">
        <w:t>0086</w:t>
      </w:r>
      <w:r w:rsidRPr="001032E3">
        <w:t>/2024),</w:t>
      </w:r>
    </w:p>
    <w:p w:rsidR="008C60AA" w:rsidRPr="001032E3" w:rsidRDefault="008C60AA" w:rsidP="008C60AA">
      <w:pPr>
        <w:pStyle w:val="NormalHanging12a"/>
      </w:pPr>
      <w:r w:rsidRPr="001032E3">
        <w:t>–</w:t>
      </w:r>
      <w:r w:rsidRPr="001032E3">
        <w:tab/>
        <w:t>med beaktande av artikel 319 i fördraget om Europeiska unionens funktionssätt,</w:t>
      </w:r>
    </w:p>
    <w:p w:rsidR="008C60AA" w:rsidRPr="001032E3" w:rsidRDefault="008C60AA" w:rsidP="008C60AA">
      <w:pPr>
        <w:pStyle w:val="NormalHanging12a"/>
      </w:pPr>
      <w:r w:rsidRPr="001032E3">
        <w:t>–</w:t>
      </w:r>
      <w:r w:rsidRPr="001032E3">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1032E3">
        <w:rPr>
          <w:rStyle w:val="FootnoteReference"/>
        </w:rPr>
        <w:footnoteReference w:id="3"/>
      </w:r>
      <w:r w:rsidRPr="001032E3">
        <w:t>, särskilt artikel 70,</w:t>
      </w:r>
    </w:p>
    <w:p w:rsidR="008C60AA" w:rsidRPr="001032E3" w:rsidRDefault="008C60AA" w:rsidP="008C60AA">
      <w:pPr>
        <w:pStyle w:val="NormalHanging12a"/>
      </w:pPr>
      <w:r w:rsidRPr="001032E3">
        <w:t>–</w:t>
      </w:r>
      <w:r w:rsidRPr="001032E3">
        <w:tab/>
        <w:t xml:space="preserve">med beaktande av Europaparlamentets och rådets förordning (EG) nr 1907/2006 av den 18 december 2006 om registrering, utvärdering, godkännande och begränsning av kemikalier (Reach), inrättande av en europeisk kemikaliemyndighet, ändring av direktiv 1999/45/EG och upphävande av rådets förordning (EEG) nr 793/93 och kommissionens förordning (EG) nr 1488/94 samt rådets direktiv 76/769/EEG och </w:t>
      </w:r>
      <w:r w:rsidRPr="001032E3">
        <w:lastRenderedPageBreak/>
        <w:t>kommissionens direktiv 91/155/EEG, 93/67/EEG, 93/105/EG och 2000/21/EG</w:t>
      </w:r>
      <w:r w:rsidRPr="001032E3">
        <w:rPr>
          <w:rStyle w:val="FootnoteReference"/>
        </w:rPr>
        <w:footnoteReference w:id="4"/>
      </w:r>
      <w:r w:rsidRPr="001032E3">
        <w:t>, särskilt artikel 97,</w:t>
      </w:r>
    </w:p>
    <w:p w:rsidR="008C60AA" w:rsidRPr="001032E3" w:rsidRDefault="008C60AA" w:rsidP="00480B6D">
      <w:pPr>
        <w:pStyle w:val="NormalHanging12a"/>
        <w:widowControl/>
      </w:pPr>
      <w:r w:rsidRPr="001032E3">
        <w:t>–</w:t>
      </w:r>
      <w:r w:rsidRPr="001032E3">
        <w:tab/>
        <w:t>med beaktande av kommissionens delegerade förordning (EU) 2019/715 av den 18 december 2018 med rambudgetförordning för de organ som inrättats enligt EUF</w:t>
      </w:r>
      <w:r w:rsidRPr="001032E3">
        <w:noBreakHyphen/>
        <w:t>fördraget och Euratomfördraget och som avses i artikel 70 i Europaparlamentets och rådets förordning (EU, Euratom) 2018/1046</w:t>
      </w:r>
      <w:r w:rsidRPr="001032E3">
        <w:rPr>
          <w:rStyle w:val="FootnoteReference"/>
        </w:rPr>
        <w:footnoteReference w:id="5"/>
      </w:r>
      <w:r w:rsidRPr="001032E3">
        <w:t>, särskilt artikel 105,</w:t>
      </w:r>
    </w:p>
    <w:p w:rsidR="008C60AA" w:rsidRPr="001032E3" w:rsidRDefault="008C60AA" w:rsidP="008C60AA">
      <w:pPr>
        <w:pStyle w:val="NormalHanging12a"/>
      </w:pPr>
      <w:r w:rsidRPr="001032E3">
        <w:t>–</w:t>
      </w:r>
      <w:r w:rsidRPr="001032E3">
        <w:tab/>
        <w:t>med beaktande av artikel 100 och bilaga V i arbetsordningen,</w:t>
      </w:r>
    </w:p>
    <w:p w:rsidR="008C60AA" w:rsidRPr="001032E3" w:rsidRDefault="008C60AA" w:rsidP="008C60AA">
      <w:pPr>
        <w:pStyle w:val="NormalHanging12a"/>
      </w:pPr>
      <w:r w:rsidRPr="001032E3">
        <w:t>–</w:t>
      </w:r>
      <w:r w:rsidRPr="001032E3">
        <w:tab/>
        <w:t>med beaktande av yttrandet från utskottet för miljö, folkhälsa och livsmedelssäkerhet,</w:t>
      </w:r>
    </w:p>
    <w:p w:rsidR="008C60AA" w:rsidRPr="001032E3" w:rsidRDefault="008C60AA" w:rsidP="008C60AA">
      <w:pPr>
        <w:pStyle w:val="NormalHanging12a"/>
      </w:pPr>
      <w:r w:rsidRPr="001032E3">
        <w:t>–</w:t>
      </w:r>
      <w:r w:rsidRPr="001032E3">
        <w:tab/>
        <w:t>med beaktande av betänkandet från budgetkontrollutskottet (A9-0135/2024).</w:t>
      </w:r>
    </w:p>
    <w:p w:rsidR="008C60AA" w:rsidRPr="001032E3" w:rsidRDefault="008C60AA" w:rsidP="008C60AA">
      <w:pPr>
        <w:pStyle w:val="NormalHanging12a"/>
      </w:pPr>
      <w:r w:rsidRPr="001032E3">
        <w:t>1.</w:t>
      </w:r>
      <w:r w:rsidRPr="001032E3">
        <w:tab/>
        <w:t>Europaparlamentet beviljar verkställande direktören för Europeiska kemikaliemyndigheten ansvarsfrihet för genomförandet av myndighetens budget för budgetåret 2022.</w:t>
      </w:r>
    </w:p>
    <w:p w:rsidR="008C60AA" w:rsidRPr="001032E3" w:rsidRDefault="008C60AA" w:rsidP="008C60AA">
      <w:pPr>
        <w:pStyle w:val="NormalHanging12a"/>
      </w:pPr>
      <w:r w:rsidRPr="001032E3">
        <w:t>2.</w:t>
      </w:r>
      <w:r w:rsidRPr="001032E3">
        <w:tab/>
        <w:t>Europaparlamentet redovisar sina iakttagelser i resolutionen nedan.</w:t>
      </w:r>
    </w:p>
    <w:p w:rsidR="008C60AA" w:rsidRPr="001032E3" w:rsidRDefault="008C60AA" w:rsidP="008C60AA">
      <w:pPr>
        <w:pStyle w:val="NormalHanging12a"/>
        <w:sectPr w:rsidR="008C60AA" w:rsidRPr="001032E3" w:rsidSect="00353EA5">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r w:rsidRPr="001032E3">
        <w:t>3.</w:t>
      </w:r>
      <w:r w:rsidRPr="001032E3">
        <w:tab/>
        <w:t xml:space="preserve">Europaparlamentet uppdrar åt talmannen att översända detta beslut och den resolution som utgör en del av beslutet till verkställande direktören för Europeiska läkemedelsmyndigheten, rådet, kommissionen och revisionsrätten, och att se till att de offentliggörs i </w:t>
      </w:r>
      <w:r w:rsidRPr="001032E3">
        <w:rPr>
          <w:i/>
          <w:iCs/>
        </w:rPr>
        <w:t>Europeiska unionens officiella tidning</w:t>
      </w:r>
      <w:r w:rsidRPr="001032E3">
        <w:t xml:space="preserve"> (L-serien).</w:t>
      </w:r>
    </w:p>
    <w:p w:rsidR="008C60AA" w:rsidRPr="001032E3" w:rsidRDefault="00B340DE" w:rsidP="00B340DE">
      <w:pPr>
        <w:pStyle w:val="ATHeading3"/>
      </w:pPr>
      <w:bookmarkStart w:id="8" w:name="_Toc146724132"/>
      <w:bookmarkStart w:id="9" w:name="_Toc161991310"/>
      <w:r w:rsidRPr="001032E3">
        <w:lastRenderedPageBreak/>
        <w:t>2. Europaparlamentets beslut</w:t>
      </w:r>
      <w:bookmarkEnd w:id="8"/>
      <w:bookmarkEnd w:id="9"/>
      <w:r w:rsidRPr="001032E3">
        <w:t xml:space="preserve"> av den 11 april 2024 </w:t>
      </w:r>
      <w:r w:rsidR="008C60AA" w:rsidRPr="001032E3">
        <w:t>om avslutande av räkenskaperna för Europeiska kemikaliemyndigheten för budgetåret 2022</w:t>
      </w:r>
      <w:r w:rsidRPr="001032E3">
        <w:t xml:space="preserve"> </w:t>
      </w:r>
      <w:r w:rsidR="008C60AA" w:rsidRPr="001032E3">
        <w:t>(2023/2148(DEC))</w:t>
      </w:r>
    </w:p>
    <w:p w:rsidR="008C60AA" w:rsidRPr="001032E3" w:rsidRDefault="008C60AA" w:rsidP="008C60AA">
      <w:pPr>
        <w:pStyle w:val="EPComma"/>
      </w:pPr>
      <w:r w:rsidRPr="001032E3">
        <w:rPr>
          <w:i/>
        </w:rPr>
        <w:t>Europaparlamentet fattar detta beslut</w:t>
      </w:r>
    </w:p>
    <w:p w:rsidR="008C60AA" w:rsidRPr="001032E3" w:rsidRDefault="008C60AA" w:rsidP="008C60AA">
      <w:pPr>
        <w:pStyle w:val="NormalHanging12a"/>
      </w:pPr>
      <w:r w:rsidRPr="001032E3">
        <w:t>–</w:t>
      </w:r>
      <w:r w:rsidRPr="001032E3">
        <w:tab/>
        <w:t>med beaktande av den slutliga årsredovisningen för Europeiska kemikaliemyndigheten för budgetåret 2022,</w:t>
      </w:r>
    </w:p>
    <w:p w:rsidR="008C60AA" w:rsidRPr="001032E3" w:rsidRDefault="008C60AA" w:rsidP="008C60AA">
      <w:pPr>
        <w:pStyle w:val="NormalHanging12a"/>
      </w:pPr>
      <w:r w:rsidRPr="001032E3">
        <w:t>–</w:t>
      </w:r>
      <w:r w:rsidRPr="001032E3">
        <w:tab/>
        <w:t>med beaktande av revisionsrättens årsrapport om EU:s byråer för budgetåret 2022, med byråernas svar</w:t>
      </w:r>
      <w:r w:rsidRPr="001032E3">
        <w:rPr>
          <w:rStyle w:val="FootnoteReference"/>
        </w:rPr>
        <w:footnoteReference w:id="6"/>
      </w:r>
      <w:r w:rsidRPr="001032E3">
        <w:t>,</w:t>
      </w:r>
    </w:p>
    <w:p w:rsidR="008C60AA" w:rsidRPr="001032E3" w:rsidRDefault="008C60AA" w:rsidP="008C60AA">
      <w:pPr>
        <w:pStyle w:val="NormalHanging12a"/>
      </w:pPr>
      <w:r w:rsidRPr="001032E3">
        <w:t>–</w:t>
      </w:r>
      <w:r w:rsidRPr="001032E3">
        <w:tab/>
        <w:t>med beaktande av förklaringen om räkenskapernas tillförlitlighet och de underliggande transaktionernas laglighet och korrekthet</w:t>
      </w:r>
      <w:r w:rsidRPr="001032E3">
        <w:rPr>
          <w:rStyle w:val="FootnoteReference"/>
        </w:rPr>
        <w:footnoteReference w:id="7"/>
      </w:r>
      <w:r w:rsidRPr="001032E3">
        <w:t>, som avgetts av revisionsrätten för budgetåret 2022 i enlighet med artikel 287 i fördraget om Europeiska unionens funktionssätt,</w:t>
      </w:r>
    </w:p>
    <w:p w:rsidR="008C60AA" w:rsidRPr="001032E3" w:rsidRDefault="008C60AA" w:rsidP="008C60AA">
      <w:pPr>
        <w:pStyle w:val="NormalHanging12a"/>
      </w:pPr>
      <w:r w:rsidRPr="001032E3">
        <w:t>–</w:t>
      </w:r>
      <w:r w:rsidRPr="001032E3">
        <w:tab/>
        <w:t>med beaktande av rådets rekommendation av den 22 februari 2024 om att bevilja byrån ansvarsfrihet för genomförandet av budgeten för budgetåret 2022 (</w:t>
      </w:r>
      <w:r w:rsidR="00727521" w:rsidRPr="001032E3">
        <w:t>06180</w:t>
      </w:r>
      <w:r w:rsidRPr="001032E3">
        <w:t>/2024 – C9</w:t>
      </w:r>
      <w:r w:rsidRPr="001032E3">
        <w:noBreakHyphen/>
      </w:r>
      <w:r w:rsidR="00727521" w:rsidRPr="001032E3">
        <w:t>0086</w:t>
      </w:r>
      <w:r w:rsidRPr="001032E3">
        <w:t>/2024),</w:t>
      </w:r>
    </w:p>
    <w:p w:rsidR="008C60AA" w:rsidRPr="001032E3" w:rsidRDefault="008C60AA" w:rsidP="008C60AA">
      <w:pPr>
        <w:pStyle w:val="NormalHanging12a"/>
      </w:pPr>
      <w:r w:rsidRPr="001032E3">
        <w:t>–</w:t>
      </w:r>
      <w:r w:rsidRPr="001032E3">
        <w:tab/>
        <w:t>med beaktande av artikel 319 i fördraget om Europeiska unionens funktionssätt,</w:t>
      </w:r>
    </w:p>
    <w:p w:rsidR="008C60AA" w:rsidRPr="001032E3" w:rsidRDefault="008C60AA" w:rsidP="008C60AA">
      <w:pPr>
        <w:pStyle w:val="NormalHanging12a"/>
      </w:pPr>
      <w:r w:rsidRPr="001032E3">
        <w:t>–</w:t>
      </w:r>
      <w:r w:rsidRPr="001032E3">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1032E3">
        <w:rPr>
          <w:rStyle w:val="FootnoteReference"/>
        </w:rPr>
        <w:footnoteReference w:id="8"/>
      </w:r>
      <w:r w:rsidRPr="001032E3">
        <w:t>, särskilt artikel 70,</w:t>
      </w:r>
    </w:p>
    <w:p w:rsidR="008C60AA" w:rsidRPr="001032E3" w:rsidRDefault="008C60AA" w:rsidP="008C60AA">
      <w:pPr>
        <w:pStyle w:val="NormalHanging12a"/>
      </w:pPr>
      <w:r w:rsidRPr="001032E3">
        <w:t>–</w:t>
      </w:r>
      <w:r w:rsidRPr="001032E3">
        <w:tab/>
        <w:t>med beaktande av Europaparlamentets och rådets förordning (EG) nr 1907/2006 av den 18 december 2006 om registrering, utvärdering, godkännande och begränsning av kemikalier (Reach), inrättande av en europeisk kemikaliemyndighet, ändring av direktiv 1999/45/EG och upphävande av rådets förordning (EEG) nr 793/93 och kommissionens förordning (EG) nr 1488/94 samt rådets direktiv 76/769/EEG och kommissionens direktiv 91/155/EEG, 93/67/EEG, 93/105/EG och 2000/21/EG</w:t>
      </w:r>
      <w:r w:rsidRPr="001032E3">
        <w:rPr>
          <w:rStyle w:val="FootnoteReference"/>
        </w:rPr>
        <w:footnoteReference w:id="9"/>
      </w:r>
      <w:r w:rsidRPr="001032E3">
        <w:t>, särskilt artikel 97,</w:t>
      </w:r>
    </w:p>
    <w:p w:rsidR="008C60AA" w:rsidRPr="001032E3" w:rsidRDefault="008C60AA" w:rsidP="008C60AA">
      <w:pPr>
        <w:pStyle w:val="NormalHanging12a"/>
      </w:pPr>
      <w:r w:rsidRPr="001032E3">
        <w:t>–</w:t>
      </w:r>
      <w:r w:rsidRPr="001032E3">
        <w:tab/>
        <w:t>med beaktande av kommissionens delegerade förordning (EU) 2019/715 av den 18 december 2018 med rambudgetförordning för de organ som inrättats enligt EUF</w:t>
      </w:r>
      <w:r w:rsidRPr="001032E3">
        <w:noBreakHyphen/>
        <w:t>fördraget och Euratomfördraget och som avses i artikel 70 i Europaparlamentets och rådets förordning (EU, Euratom) 2018/1046</w:t>
      </w:r>
      <w:r w:rsidRPr="001032E3">
        <w:rPr>
          <w:rStyle w:val="FootnoteReference"/>
        </w:rPr>
        <w:footnoteReference w:id="10"/>
      </w:r>
      <w:r w:rsidRPr="001032E3">
        <w:t>, särskilt artikel 105,</w:t>
      </w:r>
    </w:p>
    <w:p w:rsidR="008C60AA" w:rsidRPr="001032E3" w:rsidRDefault="008C60AA" w:rsidP="008C60AA">
      <w:pPr>
        <w:pStyle w:val="NormalHanging12a"/>
      </w:pPr>
      <w:r w:rsidRPr="001032E3">
        <w:t>–</w:t>
      </w:r>
      <w:r w:rsidRPr="001032E3">
        <w:tab/>
        <w:t>med beaktande av artikel 100 och bilaga V i arbetsordningen,</w:t>
      </w:r>
    </w:p>
    <w:p w:rsidR="008C60AA" w:rsidRPr="001032E3" w:rsidRDefault="008C60AA" w:rsidP="008C60AA">
      <w:pPr>
        <w:pStyle w:val="NormalHanging12a"/>
      </w:pPr>
      <w:r w:rsidRPr="001032E3">
        <w:t>–</w:t>
      </w:r>
      <w:r w:rsidRPr="001032E3">
        <w:tab/>
        <w:t>med beaktande av yttrandet från utskottet för miljö, folkhälsa och livsmedelssäkerhet,</w:t>
      </w:r>
    </w:p>
    <w:p w:rsidR="008C60AA" w:rsidRPr="001032E3" w:rsidRDefault="008C60AA" w:rsidP="008C60AA">
      <w:pPr>
        <w:pStyle w:val="NormalHanging12a"/>
      </w:pPr>
      <w:r w:rsidRPr="001032E3">
        <w:t>–</w:t>
      </w:r>
      <w:r w:rsidRPr="001032E3">
        <w:tab/>
        <w:t>med beaktande av betänkandet från budgetkontrollutskottet (A9-0135/2024).</w:t>
      </w:r>
    </w:p>
    <w:p w:rsidR="008C60AA" w:rsidRPr="001032E3" w:rsidRDefault="008C60AA" w:rsidP="008C60AA">
      <w:pPr>
        <w:pStyle w:val="NormalHanging12a"/>
      </w:pPr>
      <w:r w:rsidRPr="001032E3">
        <w:lastRenderedPageBreak/>
        <w:t>1.</w:t>
      </w:r>
      <w:r w:rsidRPr="001032E3">
        <w:tab/>
        <w:t>Europaparlamentet godkänner avslutandet av räkenskaperna för Europeiska kemikaliemyndigheten för budgetåret 2022.</w:t>
      </w:r>
    </w:p>
    <w:p w:rsidR="008C60AA" w:rsidRPr="001032E3" w:rsidRDefault="008C60AA" w:rsidP="008C60AA">
      <w:pPr>
        <w:pStyle w:val="NormalHanging12a"/>
      </w:pPr>
      <w:r w:rsidRPr="001032E3">
        <w:t>2.</w:t>
      </w:r>
      <w:r w:rsidRPr="001032E3">
        <w:tab/>
        <w:t xml:space="preserve">Europaparlamentet uppdrar åt talmannen att översända detta beslut till verkställande direktören för Europeiska läkemedelsmyndigheten, rådet, kommissionen och revisionsrätten, och att se till att det offentliggörs i </w:t>
      </w:r>
      <w:r w:rsidRPr="001032E3">
        <w:rPr>
          <w:i/>
        </w:rPr>
        <w:t>Europeiska unionens officiella tidning</w:t>
      </w:r>
      <w:r w:rsidRPr="001032E3">
        <w:t xml:space="preserve"> (L-serien).</w:t>
      </w:r>
    </w:p>
    <w:p w:rsidR="008C60AA" w:rsidRPr="001032E3" w:rsidRDefault="008C60AA" w:rsidP="008C60AA">
      <w:pPr>
        <w:widowControl/>
        <w:rPr>
          <w:rFonts w:ascii="Arial" w:hAnsi="Arial" w:cs="Arial"/>
          <w:b/>
        </w:rPr>
        <w:sectPr w:rsidR="008C60AA" w:rsidRPr="001032E3" w:rsidSect="00353EA5">
          <w:footnotePr>
            <w:numRestart w:val="eachPage"/>
          </w:footnotePr>
          <w:endnotePr>
            <w:numFmt w:val="decimal"/>
          </w:endnotePr>
          <w:pgSz w:w="11906" w:h="16838"/>
          <w:pgMar w:top="1134" w:right="1418" w:bottom="1418" w:left="1418" w:header="567" w:footer="567" w:gutter="0"/>
          <w:cols w:space="720"/>
          <w:docGrid w:linePitch="326"/>
        </w:sectPr>
      </w:pPr>
    </w:p>
    <w:p w:rsidR="008C60AA" w:rsidRPr="001032E3" w:rsidRDefault="0001500E" w:rsidP="0001500E">
      <w:pPr>
        <w:pStyle w:val="ATHeading3"/>
      </w:pPr>
      <w:bookmarkStart w:id="10" w:name="_Toc146724133"/>
      <w:bookmarkStart w:id="11" w:name="_Toc161991311"/>
      <w:r w:rsidRPr="001032E3">
        <w:lastRenderedPageBreak/>
        <w:t>3. Europaparlamentets resolution</w:t>
      </w:r>
      <w:bookmarkEnd w:id="10"/>
      <w:bookmarkEnd w:id="11"/>
      <w:r w:rsidRPr="001032E3">
        <w:t xml:space="preserve"> av den 11 april 2024 </w:t>
      </w:r>
      <w:r w:rsidR="008C60AA" w:rsidRPr="001032E3">
        <w:t>med de iakttagelser som utgör en del av beslutet om ansvarsfrihet för genomförandet av budgeten för Europeiska kemikaliemyndigheten för budgetåret 2022</w:t>
      </w:r>
      <w:r w:rsidRPr="001032E3">
        <w:t xml:space="preserve"> </w:t>
      </w:r>
      <w:r w:rsidR="008C60AA" w:rsidRPr="001032E3">
        <w:t>(2023/2148(DEC))</w:t>
      </w:r>
    </w:p>
    <w:p w:rsidR="008C60AA" w:rsidRPr="001032E3" w:rsidRDefault="008C60AA" w:rsidP="008C60AA">
      <w:pPr>
        <w:pStyle w:val="EPComma"/>
      </w:pPr>
      <w:r w:rsidRPr="001032E3">
        <w:rPr>
          <w:i/>
        </w:rPr>
        <w:t>Europaparlamentet utfärdar denna resolution</w:t>
      </w:r>
    </w:p>
    <w:p w:rsidR="008C60AA" w:rsidRPr="001032E3" w:rsidRDefault="008C60AA" w:rsidP="008C60AA">
      <w:pPr>
        <w:pStyle w:val="NormalHanging12a"/>
        <w:widowControl/>
      </w:pPr>
      <w:r w:rsidRPr="001032E3">
        <w:t>–</w:t>
      </w:r>
      <w:r w:rsidRPr="001032E3">
        <w:tab/>
        <w:t>med beaktande av sitt beslut om ansvarsfrihet för genomförandet av budgeten för Europeiska kemikaliemyndigheten för budgetåret 2022,</w:t>
      </w:r>
    </w:p>
    <w:p w:rsidR="008C60AA" w:rsidRPr="001032E3" w:rsidRDefault="008C60AA" w:rsidP="008C60AA">
      <w:pPr>
        <w:pStyle w:val="NormalHanging12a"/>
        <w:widowControl/>
      </w:pPr>
      <w:r w:rsidRPr="001032E3">
        <w:t>–</w:t>
      </w:r>
      <w:r w:rsidRPr="001032E3">
        <w:tab/>
        <w:t>med beaktande av artikel 100 och bilaga V i arbetsordningen,</w:t>
      </w:r>
    </w:p>
    <w:p w:rsidR="008C60AA" w:rsidRPr="001032E3" w:rsidRDefault="008C60AA" w:rsidP="008C60AA">
      <w:pPr>
        <w:pStyle w:val="NormalHanging12a"/>
        <w:widowControl/>
      </w:pPr>
      <w:r w:rsidRPr="001032E3">
        <w:t>–</w:t>
      </w:r>
      <w:r w:rsidRPr="001032E3">
        <w:tab/>
        <w:t>med beaktande av yttrandet från utskottet för miljö, folkhälsa och livsmedelssäkerhet,</w:t>
      </w:r>
    </w:p>
    <w:p w:rsidR="008C60AA" w:rsidRPr="001032E3" w:rsidRDefault="008C60AA" w:rsidP="008C60AA">
      <w:pPr>
        <w:pStyle w:val="NormalHanging12a"/>
        <w:widowControl/>
      </w:pPr>
      <w:r w:rsidRPr="001032E3">
        <w:t>–</w:t>
      </w:r>
      <w:r w:rsidRPr="001032E3">
        <w:tab/>
        <w:t>med beaktande av betänkandet från budgetkontrollutskottet (A9-0135/2024), och av följande skäl:</w:t>
      </w:r>
    </w:p>
    <w:p w:rsidR="008C60AA" w:rsidRPr="001032E3" w:rsidRDefault="008C60AA" w:rsidP="008C60AA">
      <w:pPr>
        <w:widowControl/>
        <w:spacing w:after="240"/>
        <w:ind w:left="567" w:hanging="567"/>
        <w:rPr>
          <w:szCs w:val="24"/>
        </w:rPr>
      </w:pPr>
      <w:r w:rsidRPr="001032E3">
        <w:t>A.</w:t>
      </w:r>
      <w:r w:rsidRPr="001032E3">
        <w:tab/>
        <w:t>Enligt inkomst- och utgiftsberäkningen för Europeiska kemikaliemyndigheten</w:t>
      </w:r>
      <w:r w:rsidRPr="001032E3">
        <w:rPr>
          <w:rStyle w:val="FootnoteReference"/>
          <w:szCs w:val="24"/>
        </w:rPr>
        <w:footnoteReference w:id="11"/>
      </w:r>
      <w:r w:rsidRPr="001032E3">
        <w:t xml:space="preserve"> (</w:t>
      </w:r>
      <w:r w:rsidRPr="001032E3">
        <w:rPr>
          <w:i/>
          <w:iCs/>
        </w:rPr>
        <w:t>myndigheten</w:t>
      </w:r>
      <w:r w:rsidRPr="001032E3">
        <w:t>) uppgick den slutliga budgeten för budgetåret 2022 till 114 777 691, vilket är en ökning med 5,83 % jämfört med 2021. Myndighetens budget finansieras främst genom två inkomstkällor, nämligen inkasseringsavgifter och bidrag från unionens allmänna budget.</w:t>
      </w:r>
    </w:p>
    <w:p w:rsidR="008C60AA" w:rsidRPr="001032E3" w:rsidRDefault="008C60AA" w:rsidP="008C60AA">
      <w:pPr>
        <w:widowControl/>
        <w:spacing w:after="240"/>
        <w:ind w:left="567" w:hanging="567"/>
        <w:rPr>
          <w:szCs w:val="24"/>
        </w:rPr>
      </w:pPr>
      <w:r w:rsidRPr="001032E3">
        <w:t>B.</w:t>
      </w:r>
      <w:r w:rsidRPr="001032E3">
        <w:tab/>
        <w:t>Revisionsrätten fastställer i sin rapport om årsredovisningen för myndigheten för budgetåret 2022 att man har uppnått en rimlig säkerhet om att myndighetens årliga räkenskaper är tillförlitliga och att de underliggande transaktionerna är lagliga och korrekta.</w:t>
      </w:r>
    </w:p>
    <w:p w:rsidR="008C60AA" w:rsidRPr="001032E3" w:rsidRDefault="008C60AA" w:rsidP="008C60AA">
      <w:pPr>
        <w:widowControl/>
        <w:spacing w:after="240"/>
        <w:ind w:left="567" w:hanging="567"/>
        <w:rPr>
          <w:szCs w:val="24"/>
        </w:rPr>
      </w:pPr>
      <w:r w:rsidRPr="001032E3">
        <w:t>C.</w:t>
      </w:r>
      <w:r w:rsidRPr="001032E3">
        <w:tab/>
        <w:t>När det gäller myndighetens upphandlingssektor rapporterades inga problem som krävde korrigerande åtgärder för 2022, och det finns inte heller några pågående eller utestående korrigerande åtgärder från tidigare års revisioner och bedömningar.</w:t>
      </w:r>
    </w:p>
    <w:p w:rsidR="008C60AA" w:rsidRPr="001032E3" w:rsidRDefault="008C60AA" w:rsidP="008C60AA">
      <w:pPr>
        <w:widowControl/>
        <w:spacing w:after="240"/>
        <w:ind w:left="567" w:hanging="567"/>
        <w:rPr>
          <w:szCs w:val="24"/>
        </w:rPr>
      </w:pPr>
      <w:r w:rsidRPr="001032E3">
        <w:t>D.</w:t>
      </w:r>
      <w:r w:rsidRPr="001032E3">
        <w:tab/>
        <w:t>När det gäller myndighetens interna kontrollsystem rapporterades inga problem som krävde korrigerande åtgärder för 2022, och det finns inte heller några pågående eller ej genomförda korrigerande åtgärder från tidigare års revisioner och bedömningar.</w:t>
      </w:r>
    </w:p>
    <w:p w:rsidR="008C60AA" w:rsidRPr="001032E3" w:rsidRDefault="008C60AA" w:rsidP="008C60AA">
      <w:pPr>
        <w:widowControl/>
        <w:spacing w:after="240"/>
        <w:ind w:left="567" w:hanging="567"/>
        <w:rPr>
          <w:b/>
          <w:i/>
          <w:szCs w:val="24"/>
        </w:rPr>
      </w:pPr>
      <w:r w:rsidRPr="001032E3">
        <w:rPr>
          <w:b/>
          <w:i/>
        </w:rPr>
        <w:t>Budgetförvaltning och ekonomisk förvaltning</w:t>
      </w:r>
    </w:p>
    <w:p w:rsidR="008C60AA" w:rsidRPr="001032E3" w:rsidRDefault="008C60AA" w:rsidP="008C60AA">
      <w:pPr>
        <w:pStyle w:val="Normal12Hanging"/>
        <w:widowControl/>
        <w:rPr>
          <w:szCs w:val="24"/>
        </w:rPr>
      </w:pPr>
      <w:r w:rsidRPr="001032E3">
        <w:t>1.</w:t>
      </w:r>
      <w:r w:rsidRPr="001032E3">
        <w:tab/>
        <w:t>Europaparlamentet noterar med tillfredsställelse att insatserna för uppföljning av budgeten under budgetåret 2022 resulterade i ett budgetgenomförande av åtagandebemyndigandena för det innevarande året på 98,61 %, vilket utgör en liten minskning med 0,23 % jämfört med 2021, och att genomförandegraden för betalningsbemyndiganden för det innevarande året var 85,06 %, vilket är en minskning med 1,17 % jämfört med 2021.</w:t>
      </w:r>
    </w:p>
    <w:p w:rsidR="008C60AA" w:rsidRPr="001032E3" w:rsidRDefault="008C60AA" w:rsidP="00480B6D">
      <w:pPr>
        <w:pStyle w:val="NormalHanging12a"/>
        <w:widowControl/>
        <w:rPr>
          <w:b/>
          <w:i/>
        </w:rPr>
      </w:pPr>
      <w:r w:rsidRPr="001032E3">
        <w:t>2.</w:t>
      </w:r>
      <w:r w:rsidRPr="001032E3">
        <w:tab/>
        <w:t xml:space="preserve">Europaparlamentet påminner om att byrån finansieras genom avgifter som betalas av industrin och genom ett utjämningsbidrag från EU, i enlighet med Europaparlamentets </w:t>
      </w:r>
      <w:r w:rsidRPr="001032E3">
        <w:lastRenderedPageBreak/>
        <w:t>och rådets förordning (EG) nr 1907/2006</w:t>
      </w:r>
      <w:r w:rsidRPr="001032E3">
        <w:rPr>
          <w:rStyle w:val="FootnoteReference"/>
        </w:rPr>
        <w:footnoteReference w:id="12"/>
      </w:r>
      <w:r w:rsidRPr="001032E3">
        <w:t>, Europaparlamentets och rådets förordning (EG) nr 1272/2008</w:t>
      </w:r>
      <w:r w:rsidRPr="001032E3">
        <w:rPr>
          <w:rStyle w:val="FootnoteReference"/>
        </w:rPr>
        <w:footnoteReference w:id="13"/>
      </w:r>
      <w:r w:rsidRPr="001032E3">
        <w:t xml:space="preserve"> och Europaparlamentets och rådets förordning (EU) nr 528/2012</w:t>
      </w:r>
      <w:r w:rsidRPr="001032E3">
        <w:rPr>
          <w:rStyle w:val="FootnoteReference"/>
        </w:rPr>
        <w:footnoteReference w:id="14"/>
      </w:r>
      <w:r w:rsidRPr="001032E3">
        <w:t>. Parlamentet betonar att det råder stor osäkerhet om avgifternas storlek och tidpunkt på grund av deras engångskaraktär och beroende av strategiska beslut från aktörerna inom den kemiska industrin. Parlamentet påminner om att kommissionen 2020 utlovade ett förslag för att stärka styrningen av myndigheten och öka hållbarheten i dess finansieringsmodell. Kommissionen bör omedelbart lägga fram detta förslag.</w:t>
      </w:r>
    </w:p>
    <w:p w:rsidR="008C60AA" w:rsidRPr="001032E3" w:rsidRDefault="008C60AA" w:rsidP="008C60AA">
      <w:pPr>
        <w:pStyle w:val="NormalHanging12a"/>
      </w:pPr>
      <w:r w:rsidRPr="001032E3">
        <w:t>3.</w:t>
      </w:r>
      <w:r w:rsidRPr="001032E3">
        <w:tab/>
        <w:t>Europaparlamentet noterar med tillfredsställelse att myndighetens avgiftsbaserade inkomster ökade 2022, för första gången sedan den slutliga tidsfristen för registrering enligt förordning (EG) nr 1907/2006 löpte ut 2018, samtidigt som myndighetens beroende av unionen för att finansiera sin verksamhet minskade något.</w:t>
      </w:r>
    </w:p>
    <w:p w:rsidR="008C60AA" w:rsidRPr="001032E3" w:rsidRDefault="008C60AA" w:rsidP="008C60AA">
      <w:pPr>
        <w:widowControl/>
        <w:spacing w:after="240"/>
        <w:ind w:left="567" w:hanging="567"/>
        <w:rPr>
          <w:b/>
          <w:i/>
          <w:szCs w:val="24"/>
        </w:rPr>
      </w:pPr>
      <w:r w:rsidRPr="001032E3">
        <w:rPr>
          <w:b/>
          <w:i/>
        </w:rPr>
        <w:t>Verksamhetsresultat</w:t>
      </w:r>
    </w:p>
    <w:p w:rsidR="008C60AA" w:rsidRPr="001032E3" w:rsidRDefault="008C60AA" w:rsidP="008C60AA">
      <w:pPr>
        <w:pStyle w:val="Normal12Hanging"/>
      </w:pPr>
      <w:r w:rsidRPr="001032E3">
        <w:t>4.</w:t>
      </w:r>
      <w:r w:rsidRPr="001032E3">
        <w:tab/>
        <w:t>Europaparlamentet konstaterar att myndigheten är den drivande kraften när det gäller att genomföra unionens kemikalielagstiftning till förmån för folkhälsan och miljön samt för innovation och konkurrenskraft. Parlamentet noterar att myndigheten samlar in, utvärderar och sprider information om kemikalier, hjälper företag att efterleva lagstiftningen och främjar en säker användning av kemikalier.</w:t>
      </w:r>
    </w:p>
    <w:p w:rsidR="008C60AA" w:rsidRPr="001032E3" w:rsidRDefault="008C60AA" w:rsidP="008C60AA">
      <w:pPr>
        <w:pStyle w:val="NormalHanging12a"/>
        <w:widowControl/>
      </w:pPr>
      <w:r w:rsidRPr="001032E3">
        <w:t>5.</w:t>
      </w:r>
      <w:r w:rsidRPr="001032E3">
        <w:tab/>
        <w:t>Europaparlamentet noterar att myndigheten genomförde 93 % av arbetsprogrammet och uppnådde 151 av de 162 särskilda åtgärder och den output som planerats för 2022, och att åtta åtgärder fortfarande pågick som planerat. Parlamentet noterar vidare att de tre åtgärder som inte slutförts antingen skulle ha krävt bidrag från medlemsstaterna eller att arbetsflödet hade nedprioriterats.</w:t>
      </w:r>
    </w:p>
    <w:p w:rsidR="008C60AA" w:rsidRPr="001032E3" w:rsidRDefault="008C60AA" w:rsidP="008C60AA">
      <w:pPr>
        <w:pStyle w:val="NormalHanging12a"/>
      </w:pPr>
      <w:r w:rsidRPr="001032E3">
        <w:t>6.</w:t>
      </w:r>
      <w:r w:rsidRPr="001032E3">
        <w:tab/>
        <w:t>Europaparlamentet noterar att myndigheten fokuserade på att utföra sina huvuduppgifter och på att stödja kommissionen i genomförandet av sin kemikaliestrategi för hållbarhet i linje med den inriktning som styrelsen fastställde i den strategiska planen för 2019–2023 och i dess översyn som genomfördes 2021.</w:t>
      </w:r>
    </w:p>
    <w:p w:rsidR="008C60AA" w:rsidRPr="001032E3" w:rsidRDefault="008C60AA" w:rsidP="00480B6D">
      <w:pPr>
        <w:pStyle w:val="NormalHanging12a"/>
        <w:widowControl/>
        <w:rPr>
          <w:szCs w:val="24"/>
        </w:rPr>
      </w:pPr>
      <w:r w:rsidRPr="001032E3">
        <w:t>7.</w:t>
      </w:r>
      <w:r w:rsidRPr="001032E3">
        <w:tab/>
        <w:t xml:space="preserve">Europaparlamentet uppmärksammar några av de utmaningar som myndigheten stod inför under 2022, bland annat ett ineffektivt tillståndssystem, som identifierades 2021, med ett ökande antal ansökningar om sexvärt krom som förväntas fortsätta under 2023, vilket sätter press på de vetenskapliga kommittéernas kapacitet att utarbeta yttranden med brist på erfarna ledamöter. Parlamentet noterar vidare att medlemsstaterna lämnat in ett fåtal utkast till bedömningsrapporter om verksamma biocidämnen, vilket utgör ett </w:t>
      </w:r>
      <w:r w:rsidRPr="001032E3">
        <w:lastRenderedPageBreak/>
        <w:t>hinder för slutförandet av utvärderingarna senast i slutet av 2024, vilket föreskrivs i förordning (EU) nr 528/2012. Parlamentet betonar att myndigheten i linje med handlingsplanen för verksamma ämnen har gjort ansträngningar under de senaste åren för att hjälpa medlemsstaterna att göra ytterligare framsteg.</w:t>
      </w:r>
    </w:p>
    <w:p w:rsidR="008C60AA" w:rsidRPr="001032E3" w:rsidRDefault="008C60AA" w:rsidP="008C60AA">
      <w:pPr>
        <w:pStyle w:val="Normal12Hanging"/>
      </w:pPr>
      <w:r w:rsidRPr="001032E3">
        <w:t>8.</w:t>
      </w:r>
      <w:r w:rsidRPr="001032E3">
        <w:tab/>
        <w:t>Europaparlamentet välkomnar myndighetens verksamhet för att främja alternativ till djurförsök och de åtgärder som vidtagits för att öka effektiviteten och synligheten i detta arbete.</w:t>
      </w:r>
    </w:p>
    <w:p w:rsidR="008C60AA" w:rsidRPr="001032E3" w:rsidRDefault="008C60AA" w:rsidP="008C60AA">
      <w:pPr>
        <w:widowControl/>
        <w:spacing w:after="240"/>
        <w:ind w:left="567" w:hanging="567"/>
        <w:rPr>
          <w:b/>
          <w:i/>
          <w:szCs w:val="24"/>
        </w:rPr>
      </w:pPr>
      <w:r w:rsidRPr="001032E3">
        <w:rPr>
          <w:b/>
          <w:i/>
        </w:rPr>
        <w:t>Effektivitet och förbättringar</w:t>
      </w:r>
    </w:p>
    <w:p w:rsidR="008C60AA" w:rsidRPr="001032E3" w:rsidRDefault="008C60AA" w:rsidP="008C60AA">
      <w:pPr>
        <w:widowControl/>
        <w:spacing w:after="240"/>
        <w:ind w:left="567" w:hanging="567"/>
        <w:rPr>
          <w:szCs w:val="24"/>
        </w:rPr>
      </w:pPr>
      <w:r w:rsidRPr="001032E3">
        <w:t>9.</w:t>
      </w:r>
      <w:r w:rsidRPr="001032E3">
        <w:tab/>
        <w:t>Europaparlamentet lovordar myndigheten för dess strategi för en ökad effektivitet, som syftar till att uppnå mervärde genom resultatbaserad styrning, och för utvecklingen av nya verktyg för planering och rapportering som är mer användarvänliga, ger bättre rapporteringskapacitet och sparar tid för all personal. Parlamentet noterar att rapporteringen har reviderats för en bättre återspegling av myndighetens arbetsprogram och en bättre koppling mellan myndighetens mål och enskilda anställdas mål.</w:t>
      </w:r>
    </w:p>
    <w:p w:rsidR="008C60AA" w:rsidRPr="001032E3" w:rsidRDefault="008C60AA" w:rsidP="008C60AA">
      <w:pPr>
        <w:widowControl/>
        <w:spacing w:after="240"/>
        <w:ind w:left="567" w:hanging="567"/>
        <w:rPr>
          <w:szCs w:val="24"/>
        </w:rPr>
      </w:pPr>
      <w:r w:rsidRPr="001032E3">
        <w:t>10.</w:t>
      </w:r>
      <w:r w:rsidRPr="001032E3">
        <w:tab/>
        <w:t>Europaparlamentet noterar att myndigheten under 2022 också inledde en optimering av infrastrukturkapaciteten för att minimera eventuell överkapacitet i it-infrastrukturen. Resultaten från andra halvåret visar att myndigheten kunde minska användningen av sådan infrastruktur (både processorer och minne) med ungefär 25 %. Parlamentet välkomnar optimeringsarbetet och uppmuntrar myndigheten att fortsätta sina ansträngningar i detta avseende.</w:t>
      </w:r>
    </w:p>
    <w:p w:rsidR="008C60AA" w:rsidRPr="001032E3" w:rsidRDefault="008C60AA" w:rsidP="008C60AA">
      <w:pPr>
        <w:widowControl/>
        <w:spacing w:after="240"/>
        <w:ind w:left="567" w:hanging="567"/>
        <w:rPr>
          <w:szCs w:val="24"/>
        </w:rPr>
      </w:pPr>
      <w:r w:rsidRPr="001032E3">
        <w:t>11.</w:t>
      </w:r>
      <w:r w:rsidRPr="001032E3">
        <w:tab/>
        <w:t>Europaparlamentet konstaterar att myndigheten fortsätter att dela sin internrevisionsfunktion med EU:s rymdprogrambyrå (f.d. Europeiska byrån för GNSS). Parlamentet noterar att myndigheten och Europeiska myndigheten för livsmedelssäkerhet upprätthåller regelbundna kontakter på arbetsnivå och högre ledningsnivå, där samarbetsmöjligheter utvärderas rutinmässigt (genom en detaljerad översyn av arbetsprogrammen) och utnyttjas.</w:t>
      </w:r>
    </w:p>
    <w:p w:rsidR="008C60AA" w:rsidRPr="001032E3" w:rsidRDefault="008C60AA" w:rsidP="008C60AA">
      <w:pPr>
        <w:widowControl/>
        <w:spacing w:after="240"/>
        <w:ind w:left="567" w:hanging="567"/>
        <w:rPr>
          <w:szCs w:val="24"/>
        </w:rPr>
      </w:pPr>
      <w:r w:rsidRPr="001032E3">
        <w:t>12.</w:t>
      </w:r>
      <w:r w:rsidRPr="001032E3">
        <w:tab/>
        <w:t>Europaparlamentet noterar vidare att myndigheten fortsatte sitt strategiska samarbete med Europeiska myndigheten för livsmedelssäkerhet i fråga om att tillhandahålla IUCLID-dataformatet som en tjänst, som tillhandahålls från dess molntjänster, för myndighetens arbete inom ramen för Europaparlamentets och rådets förordning (EG) nr 1107/2009</w:t>
      </w:r>
      <w:r w:rsidRPr="001032E3">
        <w:rPr>
          <w:rStyle w:val="FootnoteReference"/>
          <w:szCs w:val="24"/>
        </w:rPr>
        <w:footnoteReference w:id="15"/>
      </w:r>
      <w:r w:rsidRPr="001032E3">
        <w:t>, och som en följd av detta uppnåddes stordriftsfördelar genom att man byggde vidare på befintliga it-plattformar.</w:t>
      </w:r>
    </w:p>
    <w:p w:rsidR="008C60AA" w:rsidRPr="001032E3" w:rsidRDefault="008C60AA" w:rsidP="00480B6D">
      <w:pPr>
        <w:pStyle w:val="NormalHanging12a"/>
        <w:widowControl/>
      </w:pPr>
      <w:r w:rsidRPr="001032E3">
        <w:t>13.</w:t>
      </w:r>
      <w:r w:rsidRPr="001032E3">
        <w:tab/>
        <w:t xml:space="preserve">Europaparlamentet påminner om vikten av att öka digitaliseringen av byrån när det gäller intern drift och förvaltning men också för att påskynda digitaliseringen av förfarandena. Parlamentet betonar att myndigheten måste fortsätta att vara proaktiv i detta avseende för att undvika en digital klyfta mellan byråerna. Parlamentet påpekar dock att alla nödvändiga säkerhetsåtgärder måste vidtas för att undvika att den behandlade informationens onlinesäkerhet äventyras. Parlamentet insisterar på behovet </w:t>
      </w:r>
      <w:r w:rsidRPr="001032E3">
        <w:lastRenderedPageBreak/>
        <w:t>av att intensifiera insatserna mot cyberattacker eller infiltreringsförsök, särskilt från Ryssland eller Kina.</w:t>
      </w:r>
    </w:p>
    <w:p w:rsidR="008C60AA" w:rsidRPr="001032E3" w:rsidRDefault="008C60AA" w:rsidP="008C60AA">
      <w:pPr>
        <w:pStyle w:val="NormalHanging12a"/>
      </w:pPr>
      <w:r w:rsidRPr="001032E3">
        <w:t>14.</w:t>
      </w:r>
      <w:r w:rsidRPr="001032E3">
        <w:tab/>
        <w:t>Europaparlamentet välkomnar att myndigheten har vidtagit åtgärder för att främja principen ”ett ämne – en utvärdering” i samarbete med Europeiska myndigheten för livsmedelssäkerhet för att säkerställa ytterligare samstämmighet i bedömningen av faror och risker när det gäller verksamma ämnen.</w:t>
      </w:r>
    </w:p>
    <w:p w:rsidR="008C60AA" w:rsidRPr="001032E3" w:rsidRDefault="008C60AA" w:rsidP="008C60AA">
      <w:pPr>
        <w:widowControl/>
        <w:spacing w:after="240"/>
        <w:ind w:left="567" w:hanging="567"/>
        <w:rPr>
          <w:b/>
          <w:i/>
          <w:szCs w:val="24"/>
        </w:rPr>
      </w:pPr>
      <w:r w:rsidRPr="001032E3">
        <w:rPr>
          <w:b/>
          <w:i/>
        </w:rPr>
        <w:t>Personalpolitik</w:t>
      </w:r>
    </w:p>
    <w:p w:rsidR="008C60AA" w:rsidRPr="001032E3" w:rsidRDefault="008C60AA" w:rsidP="008C60AA">
      <w:pPr>
        <w:pStyle w:val="Normal12Hanging"/>
        <w:widowControl/>
        <w:rPr>
          <w:szCs w:val="24"/>
        </w:rPr>
      </w:pPr>
      <w:r w:rsidRPr="001032E3">
        <w:t>15.</w:t>
      </w:r>
      <w:r w:rsidRPr="001032E3">
        <w:tab/>
        <w:t>Europaparlamentet noterar att 98,07 % av tjänsterna i tjänsteförteckningen var tillsatta den 31 december 2022, och att 458 av de 467 tjänster för tillfälligt anställda som får tillsättas enligt unionsbudgeten hade tillsatts (samma antal tillåtna tjänster som 2021). Parlamentet noterar dessutom att 128 kontraktsanställda, 48 tillfälligt anställda, fem konsulter och två utstationerade nationella experter arbetade för myndigheten 2022.</w:t>
      </w:r>
    </w:p>
    <w:p w:rsidR="008C60AA" w:rsidRPr="001032E3" w:rsidRDefault="008C60AA" w:rsidP="008C60AA">
      <w:pPr>
        <w:pStyle w:val="NormalHanging12a"/>
      </w:pPr>
      <w:r w:rsidRPr="001032E3">
        <w:t>16.</w:t>
      </w:r>
      <w:r w:rsidRPr="001032E3">
        <w:tab/>
        <w:t>Europaparlamentet påminner om vikten av att säkerställa en jämn könsfördelning bland personalen och välkomnar i detta avseende att myndigheten har genomfört en handlingsplan för att genomföra målen i sin stadga om mångfald och inkludering som antogs 2022 och som syftar till att uppnå en jämn könsfördelning i ledningsgruppen, bland andra inkluderingsåtgärder. Parlamentet uppmanar myndigheten att rapportera till den ansvarsfrihetsbeviljande myndigheten om genomförandet av handlingsplanen. Parlamentet inser att det tar tid att uppnå resultat på detta område. Parlamentet noterar dock att den ojämna könsfördelningen på högre chefs- och mellanchefsnivå har minskat något med 76 % män (82 % 2021) och 24 % kvinnor (18 % 2021). Parlamentet noterar att könsfördelningen bland personalen totalt sett är 261 män (45 %) och 317 kvinnor (55 %).</w:t>
      </w:r>
    </w:p>
    <w:p w:rsidR="008C60AA" w:rsidRPr="001032E3" w:rsidRDefault="008C60AA" w:rsidP="008C60AA">
      <w:pPr>
        <w:pStyle w:val="NormalHanging12a"/>
      </w:pPr>
      <w:r w:rsidRPr="001032E3">
        <w:t>17.</w:t>
      </w:r>
      <w:r w:rsidRPr="001032E3">
        <w:tab/>
        <w:t>Europaparlamentet noterar med tillfredsställelse att myndighetens personal den 31 december 2022 bestod av anställda från 26 medlemsstater. Parlamentet konstaterar att 32 % av personalen är medborgare i den medlemsstat där myndigheten är belägen. Parlamentet påminner om vikten av geografisk balans och uppmuntrar myndigheten att även i fortsättningen vidta nödvändiga åtgärder för en balanserad och rättvis geografisk representation. Parlamentet uttrycker dock oro över den geografiska balansen bland myndighetens högre chefer och chefer på mellannivå med endast en direktör från Central- och Östeuropa. Parlamentet insisterar på att förbättringar måste göras, och uppmanar myndigheten att rapportera tillbaka om detta till den ansvarsfrihetsbeviljande myndigheten.</w:t>
      </w:r>
    </w:p>
    <w:p w:rsidR="008C60AA" w:rsidRPr="001032E3" w:rsidRDefault="008C60AA" w:rsidP="00480B6D">
      <w:pPr>
        <w:pStyle w:val="NormalHanging12a"/>
        <w:widowControl/>
      </w:pPr>
      <w:r w:rsidRPr="001032E3">
        <w:t>18.</w:t>
      </w:r>
      <w:r w:rsidRPr="001032E3">
        <w:tab/>
        <w:t>Europaparlamentet noterar att myndigheten har en policy för skydd av individens värdighet och förebyggande av mobbning och sexuella trakasserier, och att myndigheten ingår i byråernas arbetsgrupp för konfidentiella rådgivare. Parlamentet ser fram emot arbetsgruppens rapport och rekommendationer. Parlamentet noterar att inga fall av trakasserier rapporterades under 2022 och uppmuntrar myndigheten att vidareutveckla arbetet för att förebygga fall även i framtiden.</w:t>
      </w:r>
    </w:p>
    <w:p w:rsidR="008C60AA" w:rsidRPr="001032E3" w:rsidRDefault="008C60AA" w:rsidP="008C60AA">
      <w:pPr>
        <w:pStyle w:val="NormalHanging12a"/>
      </w:pPr>
      <w:r w:rsidRPr="001032E3">
        <w:t>19.</w:t>
      </w:r>
      <w:r w:rsidRPr="001032E3">
        <w:tab/>
        <w:t xml:space="preserve">Europaparlamentet noterar att myndighetens personal i mars 2022 successivt började återvända till myndighetens lokaler, och att nya regler för hybridarbete infördes i oktober 2022. Parlamentet noterar i detta sammanhang att de nya reglerna främjar flexibilitet och personalens självbestämmande samtidigt som den sociala sammanhållningen och samarbetet upprätthålls genom regelbunden närvaro på kontoret </w:t>
      </w:r>
      <w:r w:rsidRPr="001032E3">
        <w:lastRenderedPageBreak/>
        <w:t>varje vecka.</w:t>
      </w:r>
    </w:p>
    <w:p w:rsidR="008C60AA" w:rsidRPr="001032E3" w:rsidRDefault="008C60AA" w:rsidP="008C60AA">
      <w:pPr>
        <w:pStyle w:val="NormalHanging12a"/>
        <w:widowControl/>
      </w:pPr>
      <w:r w:rsidRPr="001032E3">
        <w:t>20.</w:t>
      </w:r>
      <w:r w:rsidRPr="001032E3">
        <w:tab/>
        <w:t>Europaparlamentet konstaterar att myndigheten använde sig av mer intern rörlighet för att tillgodose de föränderliga behoven av vetenskaplig, teknisk och administrativ expertis i sitt arbete. Parlamentet noterar att detta erbjöd karriärmöjligheter och därigenom bidrog till att motivera myndighetens personal och upprätthålla en kultur med hög prestation, kontinuerlig förbättring och reaktionsförmåga. Parlamentet välkomnar att man för att motivera anställda och utveckla färdigheter också införde nya initiativ, bland annat mentorskap och coachning.</w:t>
      </w:r>
    </w:p>
    <w:p w:rsidR="008C60AA" w:rsidRPr="001032E3" w:rsidRDefault="008C60AA" w:rsidP="008C60AA">
      <w:pPr>
        <w:pStyle w:val="NormalHanging12a"/>
      </w:pPr>
      <w:r w:rsidRPr="001032E3">
        <w:t>21.</w:t>
      </w:r>
      <w:r w:rsidRPr="001032E3">
        <w:tab/>
        <w:t>Europaparlamentet understryker att en tillräcklig personalstyrka måste säkerställas som särskilt återspeglar behoven i den europeiska gröna given samt unionens kemikaliestrategi för hållbarhet, handlingsplanen för den cirkulära ekonomin och, i synnerhet, nollföroreningsmålet och den därmed sammanhängande ökningen av uppgifter.</w:t>
      </w:r>
    </w:p>
    <w:p w:rsidR="008C60AA" w:rsidRPr="001032E3" w:rsidRDefault="008C60AA" w:rsidP="008C60AA">
      <w:pPr>
        <w:widowControl/>
        <w:spacing w:after="240"/>
        <w:ind w:left="567" w:hanging="567"/>
        <w:rPr>
          <w:b/>
          <w:i/>
          <w:szCs w:val="24"/>
        </w:rPr>
      </w:pPr>
      <w:r w:rsidRPr="001032E3">
        <w:rPr>
          <w:b/>
          <w:i/>
        </w:rPr>
        <w:t>Förebyggande och hantering av intressekonflikter samt transparens</w:t>
      </w:r>
    </w:p>
    <w:p w:rsidR="008C60AA" w:rsidRPr="001032E3" w:rsidRDefault="008C60AA" w:rsidP="008C60AA">
      <w:pPr>
        <w:widowControl/>
        <w:spacing w:after="240"/>
        <w:ind w:left="567" w:hanging="567"/>
      </w:pPr>
      <w:r w:rsidRPr="001032E3">
        <w:t>22.</w:t>
      </w:r>
      <w:r w:rsidRPr="001032E3">
        <w:tab/>
        <w:t>Europaparlamentet noterar att myndigheten utifrån en grundlig riskbedömning av sin verksamhet har identifierat de processer och delprocesser som kräver att intressekonflikter hanteras. Parlamentet noterar vidare att processägaren i alla dessa processer gör en översyn av de årliga intresseförklaringarna varje gång en uppgift tilldelas en anställd, medan detta för vissa känsliga processer kompletteras med en fallspecifik förklaring om att inget intresse föreligger från den anställdes sida.</w:t>
      </w:r>
    </w:p>
    <w:p w:rsidR="008C60AA" w:rsidRPr="001032E3" w:rsidRDefault="008C60AA" w:rsidP="008C60AA">
      <w:pPr>
        <w:widowControl/>
        <w:spacing w:after="240"/>
        <w:ind w:left="567" w:hanging="567"/>
        <w:rPr>
          <w:szCs w:val="24"/>
        </w:rPr>
      </w:pPr>
      <w:r w:rsidRPr="001032E3">
        <w:t>23.</w:t>
      </w:r>
      <w:r w:rsidRPr="001032E3">
        <w:tab/>
        <w:t>Europaparlamentet välkomnar att myndighetens policy för intressekonflikter senast reviderades av styrelsen i juni 2023 för att förbättra praxisen avseende intressekonflikter efter avslutad anställning. De införda ändringarna stärker den systematiska övervakningen av hur tidigare anställda vid myndigheten fullgör sina skyldigheter efter avslutad anställning, i linje med revisionsrättens rekommendationer och den ansvarsfrihetsbeviljande myndighetens iakttagelser under tidigare år.</w:t>
      </w:r>
    </w:p>
    <w:p w:rsidR="008C60AA" w:rsidRPr="001032E3" w:rsidRDefault="008C60AA" w:rsidP="008C60AA">
      <w:pPr>
        <w:widowControl/>
        <w:spacing w:after="240"/>
        <w:ind w:left="567" w:hanging="567"/>
        <w:rPr>
          <w:szCs w:val="24"/>
        </w:rPr>
      </w:pPr>
      <w:r w:rsidRPr="001032E3">
        <w:t>24.</w:t>
      </w:r>
      <w:r w:rsidRPr="001032E3">
        <w:tab/>
        <w:t>Europaparlamentet noterar att myndigheten på sin webbplats offentliggör de möten som dess högsta ledning hållit med företrädare för intressegrupper.</w:t>
      </w:r>
    </w:p>
    <w:p w:rsidR="008C60AA" w:rsidRPr="001032E3" w:rsidRDefault="008C60AA" w:rsidP="008C60AA">
      <w:pPr>
        <w:widowControl/>
        <w:spacing w:after="240"/>
        <w:ind w:left="567" w:hanging="567"/>
      </w:pPr>
      <w:r w:rsidRPr="001032E3">
        <w:t>25.</w:t>
      </w:r>
      <w:r w:rsidRPr="001032E3">
        <w:tab/>
        <w:t>Europaparlamentet välkomnar att myndigheten under 2022 införde ett nytt elektroniskt verktyg för att samla in och se över de årliga intresseförklaringarna från de externa experter som bidrar till myndighetens arbete, vilket ger ytterligare garantier för processen.</w:t>
      </w:r>
    </w:p>
    <w:p w:rsidR="008C60AA" w:rsidRPr="001032E3" w:rsidRDefault="008C60AA" w:rsidP="008C60AA">
      <w:pPr>
        <w:widowControl/>
        <w:spacing w:after="240"/>
        <w:ind w:left="567" w:hanging="567"/>
        <w:rPr>
          <w:szCs w:val="24"/>
        </w:rPr>
      </w:pPr>
      <w:r w:rsidRPr="001032E3">
        <w:t>26.</w:t>
      </w:r>
      <w:r w:rsidRPr="001032E3">
        <w:tab/>
        <w:t>Europaparlamentet noterar med tillfredsställelse att myndighetens bedrägeribekämpningsstrategi senast reviderades av dess styrelse i december 2022 och är inriktad på att upprätthålla och vidareutveckla bedrägeribekämpningen inom myndigheten och regelbundet se över viktiga riktlinjer och förfaranden. Parlamentet noterar att strategin stärker den interna korruptionsbekämpningsmekanismen genom att specificera roller och ansvarsområden för förebyggande av bedrägerier och de metoder och resurser som används för att bekämpa bedrägerier. Parlamentet välkomnar att all personal vid myndigheten deltog i utbildning om bedrägeribekämpning under 2022. Parlamentet noterar med tillfredsställelse att myndigheten har infört riktlinjer för visselblåsare så att myndighetens anställda kan anmäla all verksamhet som strider mot allmänintresset.</w:t>
      </w:r>
    </w:p>
    <w:p w:rsidR="008C60AA" w:rsidRPr="001032E3" w:rsidRDefault="008C60AA" w:rsidP="008C60AA">
      <w:pPr>
        <w:widowControl/>
        <w:spacing w:after="240"/>
        <w:ind w:left="567" w:hanging="567"/>
        <w:rPr>
          <w:szCs w:val="24"/>
        </w:rPr>
      </w:pPr>
      <w:r w:rsidRPr="001032E3">
        <w:lastRenderedPageBreak/>
        <w:t>27.</w:t>
      </w:r>
      <w:r w:rsidRPr="001032E3">
        <w:tab/>
        <w:t>Europaparlamentet påminner om att myndighetens beslutsprocesser är utformade för att vara tydliga och öppna och säkerställa ett balanserat resultat baserat på ett välgrundat vetenskapligt tillvägagångssätt. Parlamentet noterar att information om myndighetens och medlemsstaternas avsikter att till exempel undersöka ämnen eller ta fram underlag finns tillgänglig online, så att företagen har tillgång till de uppgifter de behöver för att kunna fatta välgrundade affärsbeslut. Parlamentet noterar vidare att ackrediterade intresseorganisationer får delta i vetenskapliga möten som observatörer, utom när konfidentiell affärsinformation kräver att sammanträdena äger rum inom stängda dörrar. Parlamentet noterar vidare att myndighetens vetenskapliga kommittéers reflektioner, yttranden och slutsatser registreras i yttranden och protokoll och att dessa offentliggörs online.</w:t>
      </w:r>
    </w:p>
    <w:p w:rsidR="008C60AA" w:rsidRPr="001032E3" w:rsidRDefault="008C60AA" w:rsidP="008C60AA">
      <w:pPr>
        <w:pStyle w:val="NormalHanging12a"/>
      </w:pPr>
      <w:r w:rsidRPr="001032E3">
        <w:t>28.</w:t>
      </w:r>
      <w:r w:rsidRPr="001032E3">
        <w:tab/>
        <w:t>Europaparlamentet påminner om att myndigheten behöver bli synligare i medierna, på internet och i sociala medier om allmänheten ska få kännedom om dess arbete.</w:t>
      </w:r>
    </w:p>
    <w:p w:rsidR="008C60AA" w:rsidRPr="001032E3" w:rsidRDefault="008C60AA" w:rsidP="008C60AA">
      <w:pPr>
        <w:widowControl/>
        <w:spacing w:after="240"/>
        <w:ind w:left="567" w:hanging="567"/>
        <w:rPr>
          <w:b/>
          <w:i/>
          <w:szCs w:val="24"/>
        </w:rPr>
      </w:pPr>
      <w:r w:rsidRPr="001032E3">
        <w:rPr>
          <w:b/>
          <w:i/>
        </w:rPr>
        <w:t>Övriga kommentarer</w:t>
      </w:r>
    </w:p>
    <w:p w:rsidR="008C60AA" w:rsidRPr="001032E3" w:rsidRDefault="008C60AA" w:rsidP="008C60AA">
      <w:pPr>
        <w:widowControl/>
        <w:spacing w:after="240"/>
        <w:ind w:left="567" w:hanging="567"/>
        <w:rPr>
          <w:szCs w:val="24"/>
        </w:rPr>
      </w:pPr>
      <w:r w:rsidRPr="001032E3">
        <w:t>29.</w:t>
      </w:r>
      <w:r w:rsidRPr="001032E3">
        <w:tab/>
        <w:t>Europaparlamentet välkomnar att myndigheten 2022 antog en it-säkerhetspolicy och genomförde en it-riskbedömning. Parlamentet noterar vidare att myndigheten har infört en möjlighet till biometrisk autentisering, förbättrat synligheten för säkerhetscentrumet samt utfört feltester mellan datacenter.</w:t>
      </w:r>
    </w:p>
    <w:p w:rsidR="008C60AA" w:rsidRPr="001032E3" w:rsidRDefault="008C60AA" w:rsidP="008C60AA">
      <w:pPr>
        <w:widowControl/>
        <w:spacing w:after="240"/>
        <w:ind w:left="567" w:hanging="567"/>
        <w:rPr>
          <w:szCs w:val="24"/>
        </w:rPr>
      </w:pPr>
      <w:r w:rsidRPr="001032E3">
        <w:t>30.</w:t>
      </w:r>
      <w:r w:rsidRPr="001032E3">
        <w:tab/>
        <w:t>Europaparlamentet noterar med tillfredsställelse att myndigheten 2022 anslöt sig till testfasen av PPMT (kommissionens verktyg för förvaltning av offentlig upphandling) för att testa detta e-upphandlingsverktyg (innan det togs helt i bruk 2023). Parlamentet noterar att myndigheten redan tidigare hade infört andra verktyg för e</w:t>
      </w:r>
      <w:r w:rsidRPr="001032E3">
        <w:noBreakHyphen/>
        <w:t>upphandling, såsom eTendering eller eSubmission, och att den samtidigt under 2022 förnyade sitt abonnemang på Cloudia – e-upphandlingsplattformen Hansel (inköpscentral för finska myndigheter), så att all administrativ upphandling som genomförs genom Hansel är helt digitaliserad.</w:t>
      </w:r>
    </w:p>
    <w:p w:rsidR="008C60AA" w:rsidRPr="001032E3" w:rsidRDefault="008C60AA" w:rsidP="008C60AA">
      <w:pPr>
        <w:widowControl/>
        <w:spacing w:after="240"/>
        <w:ind w:left="567" w:hanging="567"/>
        <w:rPr>
          <w:rFonts w:eastAsia="Calibri"/>
          <w:iCs/>
          <w:szCs w:val="24"/>
        </w:rPr>
      </w:pPr>
      <w:r w:rsidRPr="001032E3">
        <w:t>31.</w:t>
      </w:r>
      <w:r w:rsidRPr="001032E3">
        <w:tab/>
        <w:t>Europaparlamentet noterar att myndighetens miljölednings- och miljörevisionsordning (Emas) och ISO 14001-certifikat framgångsrikt förnyades 2022. Parlamentet noterar med tillfredsställelse utifrån revisionsrättens rapport att byrån är en av de byråer som utfärdar en årlig miljöredovisning.</w:t>
      </w:r>
    </w:p>
    <w:p w:rsidR="008C60AA" w:rsidRPr="001032E3" w:rsidRDefault="008C60AA" w:rsidP="00480B6D">
      <w:pPr>
        <w:pStyle w:val="NormalHanging12a"/>
        <w:widowControl/>
      </w:pPr>
      <w:r w:rsidRPr="001032E3">
        <w:t>32.</w:t>
      </w:r>
      <w:r w:rsidRPr="001032E3">
        <w:tab/>
        <w:t>Europaparlamentet framhåller att myndigheten har fortsatt arbeta för att fasa ut djurförsök i Europa i den omfattning som är möjlig inom den nuvarande rättsliga ramen. Parlamentet noterar att myndigheten främjar alternativ till djurförsök på tre sätt, nämligen genom att fokusera på grupper av ämnen genom en separat strategi, investera i internationell verksamhet som främjar alternativ och nya metoder och tillgängliggöra myndighetens data. Parlamentet upprepar att myndigheten bör påskynda utfasningen, och noterar dessutom att myndigheten samarbetar med kommissionen och andra berörda parter för att stödja kommissionen i utarbetandet av en färdplan för ett fullständigt ersättande av djurförsök för kemikalier.</w:t>
      </w:r>
    </w:p>
    <w:p w:rsidR="008C60AA" w:rsidRPr="001032E3" w:rsidRDefault="008C60AA" w:rsidP="008C60AA">
      <w:pPr>
        <w:pStyle w:val="NormalHanging12a"/>
      </w:pPr>
      <w:r w:rsidRPr="001032E3">
        <w:t>33.</w:t>
      </w:r>
      <w:r w:rsidRPr="001032E3">
        <w:tab/>
        <w:t xml:space="preserve">Europaparlamentet välkomnar att myndigheten har fortsatt att vidta olika åtgärder för att öka sin offentliga närvaro och sin närvaro online genom nya publiceringar och många uppdateringar på sin webbplats, lanseringen av en gemensam Instagram-kanal med namnet ”One Health One Environment” tillsammans med fyra byråer samt närvaro i sociala medier. Parlamentet noterar i detta sammanhang en ökad mediebevakning </w:t>
      </w:r>
      <w:r w:rsidRPr="001032E3">
        <w:lastRenderedPageBreak/>
        <w:t>generellt och en ökning av byråns mätvärden på sociala medier under 2022 jämfört med 2021.</w:t>
      </w:r>
    </w:p>
    <w:p w:rsidR="008C60AA" w:rsidRPr="001032E3" w:rsidRDefault="008C60AA" w:rsidP="008C60AA">
      <w:pPr>
        <w:pStyle w:val="NormalCenter12a"/>
        <w:rPr>
          <w:szCs w:val="24"/>
        </w:rPr>
      </w:pPr>
      <w:r w:rsidRPr="001032E3">
        <w:t>°</w:t>
      </w:r>
    </w:p>
    <w:p w:rsidR="008C60AA" w:rsidRPr="001032E3" w:rsidRDefault="008C60AA" w:rsidP="008C60AA">
      <w:pPr>
        <w:pStyle w:val="NormalCenter12a"/>
        <w:rPr>
          <w:szCs w:val="24"/>
        </w:rPr>
      </w:pPr>
      <w:r w:rsidRPr="001032E3">
        <w:t>°</w:t>
      </w:r>
      <w:r w:rsidRPr="001032E3">
        <w:tab/>
        <w:t>°</w:t>
      </w:r>
    </w:p>
    <w:p w:rsidR="008C60AA" w:rsidRPr="00353EA5" w:rsidRDefault="008C60AA" w:rsidP="00AD4394">
      <w:pPr>
        <w:pStyle w:val="NormalHanging12a"/>
        <w:widowControl/>
      </w:pPr>
      <w:r w:rsidRPr="001032E3">
        <w:t>34.</w:t>
      </w:r>
      <w:r w:rsidRPr="001032E3">
        <w:tab/>
        <w:t xml:space="preserve">När det gäller andra övergripande iakttagelser som utgör en del av beslutet om ansvarsfrihet hänvisar Europaparlamentet till sin resolution av den </w:t>
      </w:r>
      <w:r w:rsidR="00727521" w:rsidRPr="001032E3">
        <w:t>11 april 2024</w:t>
      </w:r>
      <w:r w:rsidRPr="001032E3">
        <w:rPr>
          <w:vertAlign w:val="superscript"/>
        </w:rPr>
        <w:footnoteReference w:id="16"/>
      </w:r>
      <w:r w:rsidRPr="001032E3">
        <w:t xml:space="preserve"> om byråernas verksamhetsresultat, ekonomiska förvaltning och kontroll.</w:t>
      </w:r>
    </w:p>
    <w:sectPr w:rsidR="008C60AA" w:rsidRPr="00353EA5" w:rsidSect="00353EA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3C49" w:rsidRPr="00353EA5" w:rsidRDefault="00FC3C49">
      <w:r w:rsidRPr="00353EA5">
        <w:separator/>
      </w:r>
    </w:p>
  </w:endnote>
  <w:endnote w:type="continuationSeparator" w:id="0">
    <w:p w:rsidR="00FC3C49" w:rsidRPr="00353EA5" w:rsidRDefault="00FC3C49">
      <w:r w:rsidRPr="00353E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60AA" w:rsidRPr="00353EA5" w:rsidRDefault="008C60AA" w:rsidP="001839C8">
    <w:pPr>
      <w:pStyle w:val="EPFooter"/>
    </w:pPr>
    <w:r w:rsidRPr="00353EA5">
      <w:t>PE</w:t>
    </w:r>
    <w:r w:rsidRPr="00353EA5">
      <w:rPr>
        <w:rStyle w:val="HideTWBExt"/>
      </w:rPr>
      <w:t>&lt;NoPE&gt;</w:t>
    </w:r>
    <w:r w:rsidRPr="00353EA5">
      <w:t>753.516</w:t>
    </w:r>
    <w:r w:rsidRPr="00353EA5">
      <w:rPr>
        <w:rStyle w:val="HideTWBExt"/>
      </w:rPr>
      <w:t>&lt;/NoPE&gt;&lt;Version&gt;</w:t>
    </w:r>
    <w:r w:rsidRPr="00353EA5">
      <w:t>v02-00</w:t>
    </w:r>
    <w:r w:rsidRPr="00353EA5">
      <w:rPr>
        <w:rStyle w:val="HideTWBExt"/>
      </w:rPr>
      <w:t>&lt;/Version&gt;</w:t>
    </w:r>
    <w:r w:rsidRPr="00353EA5">
      <w:tab/>
    </w:r>
    <w:r w:rsidRPr="00353EA5">
      <w:fldChar w:fldCharType="begin"/>
    </w:r>
    <w:r w:rsidRPr="00353EA5">
      <w:instrText xml:space="preserve"> PAGE  \* MERGEFORMAT </w:instrText>
    </w:r>
    <w:r w:rsidRPr="00353EA5">
      <w:fldChar w:fldCharType="separate"/>
    </w:r>
    <w:r w:rsidRPr="00353EA5">
      <w:rPr>
        <w:noProof/>
      </w:rPr>
      <w:t>10</w:t>
    </w:r>
    <w:r w:rsidRPr="00353EA5">
      <w:fldChar w:fldCharType="end"/>
    </w:r>
    <w:r w:rsidRPr="00353EA5">
      <w:t>/</w:t>
    </w:r>
    <w:fldSimple w:instr=" NUMPAGES  \* MERGEFORMAT ">
      <w:r w:rsidRPr="00353EA5">
        <w:rPr>
          <w:noProof/>
        </w:rPr>
        <w:t>10</w:t>
      </w:r>
    </w:fldSimple>
    <w:r w:rsidRPr="00353EA5">
      <w:tab/>
    </w:r>
    <w:r w:rsidRPr="00353EA5">
      <w:rPr>
        <w:rStyle w:val="HideTWBExt"/>
      </w:rPr>
      <w:t>&lt;PathFdR&gt;</w:t>
    </w:r>
    <w:r w:rsidRPr="00353EA5">
      <w:t>RR\1299248SV.docx</w:t>
    </w:r>
    <w:r w:rsidRPr="00353EA5">
      <w:rPr>
        <w:rStyle w:val="HideTWBExt"/>
      </w:rPr>
      <w:t>&lt;/PathFdR&gt;</w:t>
    </w:r>
  </w:p>
  <w:p w:rsidR="008C60AA" w:rsidRPr="00353EA5" w:rsidRDefault="008C60AA" w:rsidP="001839C8">
    <w:pPr>
      <w:pStyle w:val="EPFooter2"/>
    </w:pPr>
    <w:r w:rsidRPr="00353EA5">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60AA" w:rsidRPr="00353EA5" w:rsidRDefault="008C60AA" w:rsidP="001839C8">
    <w:pPr>
      <w:pStyle w:val="EPFooter"/>
    </w:pPr>
    <w:r w:rsidRPr="00353EA5">
      <w:rPr>
        <w:rStyle w:val="HideTWBExt"/>
      </w:rPr>
      <w:t>&lt;PathFdR&gt;</w:t>
    </w:r>
    <w:r w:rsidRPr="00353EA5">
      <w:t>RR\1299248SV.docx</w:t>
    </w:r>
    <w:r w:rsidRPr="00353EA5">
      <w:rPr>
        <w:rStyle w:val="HideTWBExt"/>
      </w:rPr>
      <w:t>&lt;/PathFdR&gt;</w:t>
    </w:r>
    <w:r w:rsidRPr="00353EA5">
      <w:tab/>
    </w:r>
    <w:r w:rsidRPr="00353EA5">
      <w:tab/>
      <w:t>PE</w:t>
    </w:r>
    <w:r w:rsidRPr="00353EA5">
      <w:rPr>
        <w:rStyle w:val="HideTWBExt"/>
      </w:rPr>
      <w:t>&lt;NoPE&gt;</w:t>
    </w:r>
    <w:r w:rsidRPr="00353EA5">
      <w:t>753.516</w:t>
    </w:r>
    <w:r w:rsidRPr="00353EA5">
      <w:rPr>
        <w:rStyle w:val="HideTWBExt"/>
      </w:rPr>
      <w:t>&lt;/NoPE&gt;&lt;Version&gt;</w:t>
    </w:r>
    <w:r w:rsidRPr="00353EA5">
      <w:t>v02-00</w:t>
    </w:r>
    <w:r w:rsidRPr="00353EA5">
      <w:rPr>
        <w:rStyle w:val="HideTWBExt"/>
      </w:rPr>
      <w:t>&lt;/Version&gt;</w:t>
    </w:r>
  </w:p>
  <w:p w:rsidR="008C60AA" w:rsidRPr="00353EA5" w:rsidRDefault="008C60AA" w:rsidP="001839C8">
    <w:pPr>
      <w:pStyle w:val="EPFooter2"/>
    </w:pPr>
    <w:r w:rsidRPr="00353EA5">
      <w:t>SV</w:t>
    </w:r>
    <w:r w:rsidRPr="00353EA5">
      <w:tab/>
    </w:r>
    <w:r w:rsidRPr="00353EA5">
      <w:rPr>
        <w:b w:val="0"/>
        <w:i/>
        <w:color w:val="C0C0C0"/>
        <w:sz w:val="22"/>
      </w:rPr>
      <w:t>Förenade i mångfalden</w:t>
    </w:r>
    <w:r w:rsidRPr="00353EA5">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3EA5"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3EA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3EA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3C49" w:rsidRPr="00353EA5" w:rsidRDefault="00FC3C49">
      <w:r w:rsidRPr="00353EA5">
        <w:separator/>
      </w:r>
    </w:p>
  </w:footnote>
  <w:footnote w:type="continuationSeparator" w:id="0">
    <w:p w:rsidR="00FC3C49" w:rsidRPr="00353EA5" w:rsidRDefault="00FC3C49">
      <w:r w:rsidRPr="00353EA5">
        <w:continuationSeparator/>
      </w:r>
    </w:p>
  </w:footnote>
  <w:footnote w:id="1">
    <w:p w:rsidR="008C60AA" w:rsidRPr="00480B6D" w:rsidRDefault="008C60AA" w:rsidP="00353EA5">
      <w:pPr>
        <w:pStyle w:val="FootnoteText"/>
        <w:ind w:left="567" w:hanging="567"/>
        <w:rPr>
          <w:sz w:val="24"/>
        </w:rPr>
      </w:pPr>
      <w:r w:rsidRPr="00480B6D">
        <w:rPr>
          <w:rStyle w:val="FootnoteReference"/>
          <w:sz w:val="24"/>
          <w:lang w:val="sv-SE"/>
        </w:rPr>
        <w:footnoteRef/>
      </w:r>
      <w:r w:rsidR="00353EA5" w:rsidRPr="00480B6D">
        <w:rPr>
          <w:sz w:val="24"/>
        </w:rPr>
        <w:t xml:space="preserve"> </w:t>
      </w:r>
      <w:r w:rsidR="00353EA5" w:rsidRPr="00480B6D">
        <w:rPr>
          <w:sz w:val="24"/>
        </w:rPr>
        <w:tab/>
      </w:r>
      <w:r w:rsidRPr="00480B6D">
        <w:rPr>
          <w:sz w:val="24"/>
        </w:rPr>
        <w:t>EUT C, C/2023/594, 27.10.2023.</w:t>
      </w:r>
    </w:p>
  </w:footnote>
  <w:footnote w:id="2">
    <w:p w:rsidR="008C60AA" w:rsidRPr="00480B6D" w:rsidRDefault="008C60AA" w:rsidP="00353EA5">
      <w:pPr>
        <w:pStyle w:val="FootnoteText"/>
        <w:ind w:left="567" w:hanging="567"/>
        <w:rPr>
          <w:sz w:val="24"/>
        </w:rPr>
      </w:pPr>
      <w:r w:rsidRPr="00480B6D">
        <w:rPr>
          <w:rStyle w:val="FootnoteReference"/>
          <w:sz w:val="24"/>
          <w:lang w:val="sv-SE"/>
        </w:rPr>
        <w:footnoteRef/>
      </w:r>
      <w:r w:rsidR="00353EA5" w:rsidRPr="00480B6D">
        <w:rPr>
          <w:sz w:val="24"/>
        </w:rPr>
        <w:t xml:space="preserve"> </w:t>
      </w:r>
      <w:r w:rsidR="00353EA5" w:rsidRPr="00480B6D">
        <w:rPr>
          <w:sz w:val="24"/>
        </w:rPr>
        <w:tab/>
      </w:r>
      <w:r w:rsidRPr="00480B6D">
        <w:rPr>
          <w:sz w:val="24"/>
        </w:rPr>
        <w:t>EUT C, C/2023/112, 12.10.2023.</w:t>
      </w:r>
    </w:p>
  </w:footnote>
  <w:footnote w:id="3">
    <w:p w:rsidR="008C60AA" w:rsidRPr="00480B6D" w:rsidRDefault="008C60AA" w:rsidP="00353EA5">
      <w:pPr>
        <w:pStyle w:val="FootnoteText"/>
        <w:ind w:left="567" w:hanging="567"/>
        <w:rPr>
          <w:sz w:val="24"/>
        </w:rPr>
      </w:pPr>
      <w:r w:rsidRPr="00480B6D">
        <w:rPr>
          <w:rStyle w:val="FootnoteReference"/>
          <w:sz w:val="24"/>
          <w:lang w:val="sv-SE"/>
        </w:rPr>
        <w:footnoteRef/>
      </w:r>
      <w:r w:rsidR="00353EA5" w:rsidRPr="00480B6D">
        <w:rPr>
          <w:sz w:val="24"/>
        </w:rPr>
        <w:t xml:space="preserve"> </w:t>
      </w:r>
      <w:r w:rsidR="00353EA5" w:rsidRPr="00480B6D">
        <w:rPr>
          <w:sz w:val="24"/>
        </w:rPr>
        <w:tab/>
      </w:r>
      <w:r w:rsidRPr="00480B6D">
        <w:rPr>
          <w:sz w:val="24"/>
        </w:rPr>
        <w:t>EUT L 193, 30.7.2018, s. 1.</w:t>
      </w:r>
    </w:p>
  </w:footnote>
  <w:footnote w:id="4">
    <w:p w:rsidR="008C60AA" w:rsidRPr="00480B6D" w:rsidRDefault="008C60AA" w:rsidP="00353EA5">
      <w:pPr>
        <w:pStyle w:val="FootnoteText"/>
        <w:ind w:left="567" w:hanging="567"/>
        <w:rPr>
          <w:sz w:val="24"/>
        </w:rPr>
      </w:pPr>
      <w:r w:rsidRPr="00480B6D">
        <w:rPr>
          <w:rStyle w:val="FootnoteReference"/>
          <w:sz w:val="24"/>
          <w:lang w:val="sv-SE"/>
        </w:rPr>
        <w:footnoteRef/>
      </w:r>
      <w:r w:rsidR="00353EA5" w:rsidRPr="00480B6D">
        <w:rPr>
          <w:sz w:val="24"/>
        </w:rPr>
        <w:t xml:space="preserve"> </w:t>
      </w:r>
      <w:r w:rsidR="00353EA5" w:rsidRPr="00480B6D">
        <w:rPr>
          <w:sz w:val="24"/>
        </w:rPr>
        <w:tab/>
      </w:r>
      <w:r w:rsidRPr="00480B6D">
        <w:rPr>
          <w:sz w:val="24"/>
        </w:rPr>
        <w:t>EUT L 396, 30.12.2006, s. 1.</w:t>
      </w:r>
    </w:p>
  </w:footnote>
  <w:footnote w:id="5">
    <w:p w:rsidR="008C60AA" w:rsidRPr="00480B6D" w:rsidRDefault="008C60AA" w:rsidP="00353EA5">
      <w:pPr>
        <w:pStyle w:val="FootnoteText"/>
        <w:ind w:left="567" w:hanging="567"/>
        <w:rPr>
          <w:sz w:val="24"/>
          <w:szCs w:val="24"/>
        </w:rPr>
      </w:pPr>
      <w:r w:rsidRPr="00480B6D">
        <w:rPr>
          <w:rStyle w:val="FootnoteReference"/>
          <w:sz w:val="24"/>
          <w:lang w:val="sv-SE"/>
        </w:rPr>
        <w:footnoteRef/>
      </w:r>
      <w:r w:rsidR="00353EA5" w:rsidRPr="00480B6D">
        <w:rPr>
          <w:sz w:val="24"/>
        </w:rPr>
        <w:t xml:space="preserve"> </w:t>
      </w:r>
      <w:r w:rsidR="00353EA5" w:rsidRPr="00480B6D">
        <w:rPr>
          <w:sz w:val="24"/>
        </w:rPr>
        <w:tab/>
      </w:r>
      <w:r w:rsidRPr="00480B6D">
        <w:rPr>
          <w:sz w:val="24"/>
        </w:rPr>
        <w:t>EUT L 122, 10.5.2019, s. 1.</w:t>
      </w:r>
    </w:p>
  </w:footnote>
  <w:footnote w:id="6">
    <w:p w:rsidR="008C60AA" w:rsidRPr="00480B6D" w:rsidRDefault="008C60AA" w:rsidP="00353EA5">
      <w:pPr>
        <w:pStyle w:val="FootnoteText"/>
        <w:ind w:left="567" w:hanging="567"/>
        <w:rPr>
          <w:sz w:val="24"/>
        </w:rPr>
      </w:pPr>
      <w:r w:rsidRPr="00480B6D">
        <w:rPr>
          <w:rStyle w:val="FootnoteReference"/>
          <w:sz w:val="24"/>
          <w:lang w:val="sv-SE"/>
        </w:rPr>
        <w:footnoteRef/>
      </w:r>
      <w:r w:rsidR="00353EA5" w:rsidRPr="00480B6D">
        <w:rPr>
          <w:sz w:val="24"/>
        </w:rPr>
        <w:t xml:space="preserve"> </w:t>
      </w:r>
      <w:r w:rsidR="00353EA5" w:rsidRPr="00480B6D">
        <w:rPr>
          <w:sz w:val="24"/>
        </w:rPr>
        <w:tab/>
      </w:r>
      <w:r w:rsidRPr="00480B6D">
        <w:rPr>
          <w:sz w:val="24"/>
        </w:rPr>
        <w:t>EUT C, C/2023/594, 27.10.2023.</w:t>
      </w:r>
    </w:p>
  </w:footnote>
  <w:footnote w:id="7">
    <w:p w:rsidR="008C60AA" w:rsidRPr="00480B6D" w:rsidRDefault="008C60AA" w:rsidP="00353EA5">
      <w:pPr>
        <w:pStyle w:val="FootnoteText"/>
        <w:ind w:left="567" w:hanging="567"/>
        <w:rPr>
          <w:sz w:val="24"/>
        </w:rPr>
      </w:pPr>
      <w:r w:rsidRPr="00480B6D">
        <w:rPr>
          <w:rStyle w:val="FootnoteReference"/>
          <w:sz w:val="24"/>
          <w:lang w:val="sv-SE"/>
        </w:rPr>
        <w:footnoteRef/>
      </w:r>
      <w:r w:rsidR="00353EA5" w:rsidRPr="00480B6D">
        <w:rPr>
          <w:sz w:val="24"/>
        </w:rPr>
        <w:t xml:space="preserve"> </w:t>
      </w:r>
      <w:r w:rsidR="00353EA5" w:rsidRPr="00480B6D">
        <w:rPr>
          <w:sz w:val="24"/>
        </w:rPr>
        <w:tab/>
      </w:r>
      <w:r w:rsidRPr="00480B6D">
        <w:rPr>
          <w:sz w:val="24"/>
        </w:rPr>
        <w:t>EUT C, C/2023/112, 12.10.2023.</w:t>
      </w:r>
    </w:p>
  </w:footnote>
  <w:footnote w:id="8">
    <w:p w:rsidR="008C60AA" w:rsidRPr="00480B6D" w:rsidRDefault="008C60AA" w:rsidP="00353EA5">
      <w:pPr>
        <w:pStyle w:val="FootnoteText"/>
        <w:ind w:left="567" w:hanging="567"/>
        <w:rPr>
          <w:sz w:val="24"/>
        </w:rPr>
      </w:pPr>
      <w:r w:rsidRPr="00480B6D">
        <w:rPr>
          <w:rStyle w:val="FootnoteReference"/>
          <w:sz w:val="24"/>
          <w:lang w:val="sv-SE"/>
        </w:rPr>
        <w:footnoteRef/>
      </w:r>
      <w:r w:rsidR="00353EA5" w:rsidRPr="00480B6D">
        <w:rPr>
          <w:sz w:val="24"/>
        </w:rPr>
        <w:t xml:space="preserve"> </w:t>
      </w:r>
      <w:r w:rsidR="00353EA5" w:rsidRPr="00480B6D">
        <w:rPr>
          <w:sz w:val="24"/>
        </w:rPr>
        <w:tab/>
      </w:r>
      <w:r w:rsidRPr="00480B6D">
        <w:rPr>
          <w:sz w:val="24"/>
        </w:rPr>
        <w:t>EUT L 193, 30.7.2018, s. 1.</w:t>
      </w:r>
    </w:p>
  </w:footnote>
  <w:footnote w:id="9">
    <w:p w:rsidR="008C60AA" w:rsidRPr="00480B6D" w:rsidRDefault="008C60AA" w:rsidP="00353EA5">
      <w:pPr>
        <w:pStyle w:val="FootnoteText"/>
        <w:ind w:left="567" w:hanging="567"/>
        <w:rPr>
          <w:sz w:val="24"/>
        </w:rPr>
      </w:pPr>
      <w:r w:rsidRPr="00480B6D">
        <w:rPr>
          <w:rStyle w:val="FootnoteReference"/>
          <w:sz w:val="24"/>
          <w:lang w:val="sv-SE"/>
        </w:rPr>
        <w:footnoteRef/>
      </w:r>
      <w:r w:rsidR="00353EA5" w:rsidRPr="00480B6D">
        <w:rPr>
          <w:sz w:val="24"/>
        </w:rPr>
        <w:t xml:space="preserve"> </w:t>
      </w:r>
      <w:r w:rsidR="00353EA5" w:rsidRPr="00480B6D">
        <w:rPr>
          <w:sz w:val="24"/>
        </w:rPr>
        <w:tab/>
      </w:r>
      <w:r w:rsidRPr="00480B6D">
        <w:rPr>
          <w:sz w:val="24"/>
        </w:rPr>
        <w:t>EUT L 396, 30.12.2006, s. 1.</w:t>
      </w:r>
    </w:p>
  </w:footnote>
  <w:footnote w:id="10">
    <w:p w:rsidR="008C60AA" w:rsidRPr="00480B6D" w:rsidRDefault="008C60AA" w:rsidP="00353EA5">
      <w:pPr>
        <w:pStyle w:val="FootnoteText"/>
        <w:ind w:left="567" w:hanging="567"/>
        <w:rPr>
          <w:sz w:val="24"/>
          <w:szCs w:val="24"/>
        </w:rPr>
      </w:pPr>
      <w:r w:rsidRPr="00480B6D">
        <w:rPr>
          <w:rStyle w:val="FootnoteReference"/>
          <w:sz w:val="24"/>
          <w:lang w:val="sv-SE"/>
        </w:rPr>
        <w:footnoteRef/>
      </w:r>
      <w:r w:rsidR="00353EA5" w:rsidRPr="00480B6D">
        <w:rPr>
          <w:sz w:val="24"/>
        </w:rPr>
        <w:t xml:space="preserve"> </w:t>
      </w:r>
      <w:r w:rsidR="00353EA5" w:rsidRPr="00480B6D">
        <w:rPr>
          <w:sz w:val="24"/>
        </w:rPr>
        <w:tab/>
      </w:r>
      <w:r w:rsidRPr="00480B6D">
        <w:rPr>
          <w:sz w:val="24"/>
        </w:rPr>
        <w:t>EUT L 122, 10.5.2019, s. 1.</w:t>
      </w:r>
    </w:p>
  </w:footnote>
  <w:footnote w:id="11">
    <w:p w:rsidR="008C60AA" w:rsidRPr="00480B6D" w:rsidRDefault="008C60AA" w:rsidP="00353EA5">
      <w:pPr>
        <w:pStyle w:val="FootnoteText"/>
        <w:ind w:left="567" w:hanging="567"/>
        <w:rPr>
          <w:sz w:val="24"/>
          <w:lang w:val="sv-SE"/>
        </w:rPr>
      </w:pPr>
      <w:r w:rsidRPr="00480B6D">
        <w:rPr>
          <w:rStyle w:val="FootnoteReference"/>
          <w:sz w:val="24"/>
          <w:lang w:val="sv-SE"/>
        </w:rPr>
        <w:footnoteRef/>
      </w:r>
      <w:r w:rsidR="00353EA5" w:rsidRPr="00480B6D">
        <w:rPr>
          <w:sz w:val="24"/>
          <w:lang w:val="sv-SE"/>
        </w:rPr>
        <w:t xml:space="preserve"> </w:t>
      </w:r>
      <w:r w:rsidR="00353EA5" w:rsidRPr="00480B6D">
        <w:rPr>
          <w:sz w:val="24"/>
          <w:lang w:val="sv-SE"/>
        </w:rPr>
        <w:tab/>
      </w:r>
      <w:r w:rsidRPr="00480B6D">
        <w:rPr>
          <w:sz w:val="24"/>
          <w:lang w:val="sv-SE"/>
        </w:rPr>
        <w:t>EUT C 453, 29.11.2022, s. 39.</w:t>
      </w:r>
    </w:p>
  </w:footnote>
  <w:footnote w:id="12">
    <w:p w:rsidR="008C60AA" w:rsidRPr="00480B6D" w:rsidRDefault="008C60AA" w:rsidP="00353EA5">
      <w:pPr>
        <w:pStyle w:val="FootnoteText"/>
        <w:ind w:left="567" w:hanging="567"/>
        <w:rPr>
          <w:sz w:val="24"/>
          <w:lang w:val="sv-SE"/>
        </w:rPr>
      </w:pPr>
      <w:r w:rsidRPr="00480B6D">
        <w:rPr>
          <w:sz w:val="24"/>
          <w:vertAlign w:val="superscript"/>
          <w:lang w:val="sv-SE"/>
        </w:rPr>
        <w:footnoteRef/>
      </w:r>
      <w:r w:rsidR="00353EA5" w:rsidRPr="00480B6D">
        <w:rPr>
          <w:sz w:val="24"/>
          <w:lang w:val="sv-SE"/>
        </w:rPr>
        <w:t xml:space="preserve"> </w:t>
      </w:r>
      <w:r w:rsidR="00353EA5" w:rsidRPr="00480B6D">
        <w:rPr>
          <w:sz w:val="24"/>
          <w:lang w:val="sv-SE"/>
        </w:rPr>
        <w:tab/>
      </w:r>
      <w:r w:rsidRPr="00480B6D">
        <w:rPr>
          <w:sz w:val="24"/>
          <w:lang w:val="sv-SE"/>
        </w:rPr>
        <w:t>Europaparlamentets och rådets förordning (EG) nr 1907/2006 av den 18 december 2006 om registrering, utvärdering, godkännande och begränsning av kemikalier (Reach), inrättande av en europeisk kemikaliemyndighet, ändring av direktiv 1999/45/EG och upphävande av rådets förordning (EEG) nr 793/93 och kommissionens förordning (EG) nr 1488/94 samt rådets direktiv 76/769/EEG och kommissionens direktiv 91/155/EEG, 93/67/EEG, 93/105/EG och 2000/21/EG (EUT L 396, 30.12.2006, s. 1)</w:t>
      </w:r>
    </w:p>
  </w:footnote>
  <w:footnote w:id="13">
    <w:p w:rsidR="008C60AA" w:rsidRPr="00480B6D" w:rsidRDefault="008C60AA" w:rsidP="00353EA5">
      <w:pPr>
        <w:pStyle w:val="FootnoteText"/>
        <w:ind w:left="567" w:hanging="567"/>
        <w:rPr>
          <w:sz w:val="24"/>
          <w:lang w:val="sv-SE"/>
        </w:rPr>
      </w:pPr>
      <w:r w:rsidRPr="00480B6D">
        <w:rPr>
          <w:rStyle w:val="FootnoteReference"/>
          <w:sz w:val="24"/>
          <w:lang w:val="sv-SE"/>
        </w:rPr>
        <w:footnoteRef/>
      </w:r>
      <w:r w:rsidR="00353EA5" w:rsidRPr="00480B6D">
        <w:rPr>
          <w:sz w:val="24"/>
          <w:lang w:val="sv-SE"/>
        </w:rPr>
        <w:t xml:space="preserve"> </w:t>
      </w:r>
      <w:r w:rsidR="00353EA5" w:rsidRPr="00480B6D">
        <w:rPr>
          <w:sz w:val="24"/>
          <w:lang w:val="sv-SE"/>
        </w:rPr>
        <w:tab/>
      </w:r>
      <w:r w:rsidRPr="00480B6D">
        <w:rPr>
          <w:sz w:val="24"/>
          <w:lang w:val="sv-SE"/>
        </w:rPr>
        <w:t>Europaparlamentets och rådets förordning (EG) nr 1272/2008 av den 16 december 2008 om klassificering, märkning och förpackning av ämnen och blandningar, ändring och upphävande av direktiven 67/548/EEG och 1999/45/EG samt ändring av förordning (EG) nr 1907/2006 (EUT L 353, 31.12.2008, s. 1).</w:t>
      </w:r>
    </w:p>
  </w:footnote>
  <w:footnote w:id="14">
    <w:p w:rsidR="008C60AA" w:rsidRPr="00480B6D" w:rsidRDefault="008C60AA" w:rsidP="00353EA5">
      <w:pPr>
        <w:pStyle w:val="FootnoteText"/>
        <w:ind w:left="567" w:hanging="567"/>
        <w:rPr>
          <w:sz w:val="24"/>
          <w:lang w:val="sv-SE"/>
        </w:rPr>
      </w:pPr>
      <w:r w:rsidRPr="00480B6D">
        <w:rPr>
          <w:rStyle w:val="FootnoteReference"/>
          <w:sz w:val="24"/>
          <w:lang w:val="sv-SE"/>
        </w:rPr>
        <w:footnoteRef/>
      </w:r>
      <w:r w:rsidR="00353EA5" w:rsidRPr="00480B6D">
        <w:rPr>
          <w:sz w:val="24"/>
          <w:lang w:val="sv-SE"/>
        </w:rPr>
        <w:t xml:space="preserve"> </w:t>
      </w:r>
      <w:r w:rsidR="00353EA5" w:rsidRPr="00480B6D">
        <w:rPr>
          <w:sz w:val="24"/>
          <w:lang w:val="sv-SE"/>
        </w:rPr>
        <w:tab/>
      </w:r>
      <w:r w:rsidRPr="00480B6D">
        <w:rPr>
          <w:sz w:val="24"/>
          <w:lang w:val="sv-SE"/>
        </w:rPr>
        <w:t>Europaparlamentets och rådets förordning (EU) nr 528/2012 av den 22 maj 2012 om tillhandahållande på marknaden och a</w:t>
      </w:r>
      <w:r w:rsidR="008E6536">
        <w:rPr>
          <w:sz w:val="24"/>
          <w:lang w:val="sv-SE"/>
        </w:rPr>
        <w:t>nvändning av biocidprodukter (EUT</w:t>
      </w:r>
      <w:bookmarkStart w:id="12" w:name="_GoBack"/>
      <w:bookmarkEnd w:id="12"/>
      <w:r w:rsidRPr="00480B6D">
        <w:rPr>
          <w:sz w:val="24"/>
          <w:lang w:val="sv-SE"/>
        </w:rPr>
        <w:t xml:space="preserve"> L 167, 27.6.2012, s. 1).</w:t>
      </w:r>
    </w:p>
  </w:footnote>
  <w:footnote w:id="15">
    <w:p w:rsidR="008C60AA" w:rsidRPr="00480B6D" w:rsidRDefault="008C60AA" w:rsidP="00353EA5">
      <w:pPr>
        <w:pStyle w:val="FootnoteText"/>
        <w:ind w:left="567" w:hanging="567"/>
        <w:rPr>
          <w:sz w:val="24"/>
          <w:lang w:val="sv-SE"/>
        </w:rPr>
      </w:pPr>
      <w:r w:rsidRPr="00480B6D">
        <w:rPr>
          <w:rStyle w:val="FootnoteReference"/>
          <w:sz w:val="24"/>
          <w:lang w:val="sv-SE"/>
        </w:rPr>
        <w:footnoteRef/>
      </w:r>
      <w:r w:rsidR="00353EA5" w:rsidRPr="00480B6D">
        <w:rPr>
          <w:sz w:val="24"/>
          <w:lang w:val="sv-SE"/>
        </w:rPr>
        <w:t xml:space="preserve"> </w:t>
      </w:r>
      <w:r w:rsidR="00353EA5" w:rsidRPr="00480B6D">
        <w:rPr>
          <w:sz w:val="24"/>
          <w:lang w:val="sv-SE"/>
        </w:rPr>
        <w:tab/>
      </w:r>
      <w:r w:rsidRPr="00480B6D">
        <w:rPr>
          <w:sz w:val="24"/>
          <w:lang w:val="sv-SE"/>
        </w:rPr>
        <w:t>Europaparlamentets och rådets förordning (EG) nr 1107/2009 av den 21 oktober 2009 om utsläppande av växtskyddsmedel på marknaden och om upphävande av rådets direktiv 79/117/EEG och 91/414/EEG (EUT L 309, 24.11.2009, s. 1).</w:t>
      </w:r>
    </w:p>
  </w:footnote>
  <w:footnote w:id="16">
    <w:p w:rsidR="008C60AA" w:rsidRPr="00353EA5" w:rsidRDefault="008C60AA" w:rsidP="00353EA5">
      <w:pPr>
        <w:pStyle w:val="FootnoteText"/>
        <w:ind w:left="567" w:hanging="567"/>
        <w:rPr>
          <w:sz w:val="24"/>
          <w:lang w:val="sv-SE"/>
        </w:rPr>
      </w:pPr>
      <w:r w:rsidRPr="00480B6D">
        <w:rPr>
          <w:rStyle w:val="FootnoteReference"/>
          <w:sz w:val="24"/>
          <w:lang w:val="sv-SE"/>
        </w:rPr>
        <w:footnoteRef/>
      </w:r>
      <w:r w:rsidR="00353EA5" w:rsidRPr="00480B6D">
        <w:rPr>
          <w:sz w:val="24"/>
          <w:lang w:val="sv-SE"/>
        </w:rPr>
        <w:t xml:space="preserve"> </w:t>
      </w:r>
      <w:r w:rsidR="00353EA5" w:rsidRPr="00480B6D">
        <w:rPr>
          <w:sz w:val="24"/>
          <w:lang w:val="sv-SE"/>
        </w:rPr>
        <w:tab/>
      </w:r>
      <w:r w:rsidRPr="00480B6D">
        <w:rPr>
          <w:sz w:val="24"/>
          <w:lang w:val="sv-SE"/>
        </w:rPr>
        <w:t>Antagna texter, P9_TA(2024)0</w:t>
      </w:r>
      <w:r w:rsidR="00480B6D" w:rsidRPr="00480B6D">
        <w:rPr>
          <w:sz w:val="24"/>
          <w:lang w:val="sv-SE"/>
        </w:rPr>
        <w:t>280</w:t>
      </w:r>
      <w:r w:rsidRPr="00480B6D">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3EA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3EA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3EA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5/2024"/>
    <w:docVar w:name="dvlangue" w:val="SV"/>
    <w:docVar w:name="dvnumam" w:val="0"/>
    <w:docVar w:name="dvpe" w:val="753.516"/>
    <w:docVar w:name="dvrapporteur" w:val="Föredragande: "/>
    <w:docVar w:name="dvtitre" w:val="Europaparlamentets beslut av den xx xx 2024 om ansvarsfrihet för genomförandet av budgeten för Europeiska kemikaliemyndigheten för budgetåret 2022(2023/2148(DEC))"/>
  </w:docVars>
  <w:rsids>
    <w:rsidRoot w:val="00FC3C49"/>
    <w:rsid w:val="00002272"/>
    <w:rsid w:val="0001500E"/>
    <w:rsid w:val="00064002"/>
    <w:rsid w:val="000677B9"/>
    <w:rsid w:val="000831BA"/>
    <w:rsid w:val="000A42CC"/>
    <w:rsid w:val="000E7DD9"/>
    <w:rsid w:val="0010095E"/>
    <w:rsid w:val="001032E3"/>
    <w:rsid w:val="00125B37"/>
    <w:rsid w:val="00187494"/>
    <w:rsid w:val="001E4F8B"/>
    <w:rsid w:val="001F32AE"/>
    <w:rsid w:val="0027325E"/>
    <w:rsid w:val="002767FF"/>
    <w:rsid w:val="002B18FE"/>
    <w:rsid w:val="002B5493"/>
    <w:rsid w:val="00343214"/>
    <w:rsid w:val="00353EA5"/>
    <w:rsid w:val="00361C00"/>
    <w:rsid w:val="00395FA1"/>
    <w:rsid w:val="003E15D4"/>
    <w:rsid w:val="00411CCE"/>
    <w:rsid w:val="0041666E"/>
    <w:rsid w:val="00421060"/>
    <w:rsid w:val="00471C19"/>
    <w:rsid w:val="00480B6D"/>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27521"/>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60AA"/>
    <w:rsid w:val="008E6536"/>
    <w:rsid w:val="00930C23"/>
    <w:rsid w:val="0093193B"/>
    <w:rsid w:val="009509D8"/>
    <w:rsid w:val="00950B64"/>
    <w:rsid w:val="00981893"/>
    <w:rsid w:val="00A1687D"/>
    <w:rsid w:val="00A43E52"/>
    <w:rsid w:val="00A4678D"/>
    <w:rsid w:val="00A778C7"/>
    <w:rsid w:val="00AB441E"/>
    <w:rsid w:val="00AB6293"/>
    <w:rsid w:val="00AD4394"/>
    <w:rsid w:val="00AE0928"/>
    <w:rsid w:val="00AF3B82"/>
    <w:rsid w:val="00B12E95"/>
    <w:rsid w:val="00B22876"/>
    <w:rsid w:val="00B340DE"/>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1F91"/>
    <w:rsid w:val="00FB4360"/>
    <w:rsid w:val="00FC3C49"/>
    <w:rsid w:val="00FD0C70"/>
    <w:rsid w:val="00FF03E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2D47F8"/>
  <w15:chartTrackingRefBased/>
  <w15:docId w15:val="{8C8C41F8-F3C7-4214-8F02-1940F0865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C60A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C60AA"/>
    <w:pPr>
      <w:spacing w:before="480" w:after="240"/>
    </w:pPr>
  </w:style>
  <w:style w:type="paragraph" w:customStyle="1" w:styleId="PageHeading">
    <w:name w:val="PageHeading"/>
    <w:basedOn w:val="Normal"/>
    <w:rsid w:val="008C60AA"/>
    <w:pPr>
      <w:keepNext/>
      <w:spacing w:after="480"/>
      <w:jc w:val="center"/>
    </w:pPr>
    <w:rPr>
      <w:rFonts w:ascii="Arial" w:hAnsi="Arial" w:cs="Arial"/>
      <w:b/>
    </w:rPr>
  </w:style>
  <w:style w:type="paragraph" w:customStyle="1" w:styleId="NormalBold">
    <w:name w:val="NormalBold"/>
    <w:basedOn w:val="Normal"/>
    <w:rsid w:val="008C60AA"/>
    <w:rPr>
      <w:b/>
    </w:rPr>
  </w:style>
  <w:style w:type="paragraph" w:customStyle="1" w:styleId="NormalHanging12a">
    <w:name w:val="NormalHanging12a"/>
    <w:basedOn w:val="Normal"/>
    <w:link w:val="NormalHanging12aChar"/>
    <w:rsid w:val="008C60AA"/>
    <w:pPr>
      <w:spacing w:after="240"/>
      <w:ind w:left="567" w:hanging="567"/>
    </w:pPr>
  </w:style>
  <w:style w:type="paragraph" w:customStyle="1" w:styleId="NormalCenter12a">
    <w:name w:val="NormalCenter12a"/>
    <w:basedOn w:val="Normal"/>
    <w:rsid w:val="008C60AA"/>
    <w:pPr>
      <w:spacing w:after="240"/>
      <w:jc w:val="center"/>
    </w:pPr>
  </w:style>
  <w:style w:type="paragraph" w:styleId="Header">
    <w:name w:val="header"/>
    <w:basedOn w:val="Normal"/>
    <w:link w:val="HeaderChar"/>
    <w:rsid w:val="008C60AA"/>
    <w:pPr>
      <w:tabs>
        <w:tab w:val="center" w:pos="4513"/>
        <w:tab w:val="right" w:pos="9026"/>
      </w:tabs>
    </w:pPr>
  </w:style>
  <w:style w:type="character" w:customStyle="1" w:styleId="HeaderChar">
    <w:name w:val="Header Char"/>
    <w:basedOn w:val="DefaultParagraphFont"/>
    <w:link w:val="Header"/>
    <w:rsid w:val="008C60AA"/>
    <w:rPr>
      <w:sz w:val="24"/>
      <w:lang w:val="sv-SE"/>
    </w:rPr>
  </w:style>
  <w:style w:type="paragraph" w:customStyle="1" w:styleId="EPFooter">
    <w:name w:val="EPFooter"/>
    <w:basedOn w:val="Normal"/>
    <w:rsid w:val="008C60AA"/>
    <w:pPr>
      <w:tabs>
        <w:tab w:val="center" w:pos="4535"/>
        <w:tab w:val="right" w:pos="9071"/>
      </w:tabs>
      <w:spacing w:before="240" w:after="240"/>
    </w:pPr>
    <w:rPr>
      <w:color w:val="010000"/>
      <w:sz w:val="22"/>
    </w:rPr>
  </w:style>
  <w:style w:type="paragraph" w:customStyle="1" w:styleId="Normal12Hanging">
    <w:name w:val="Normal12Hanging"/>
    <w:basedOn w:val="Normal"/>
    <w:link w:val="Normal12HangingChar"/>
    <w:rsid w:val="008C60AA"/>
    <w:pPr>
      <w:spacing w:after="240"/>
      <w:ind w:left="567" w:hanging="567"/>
    </w:pPr>
  </w:style>
  <w:style w:type="character" w:customStyle="1" w:styleId="NormalHanging12aChar">
    <w:name w:val="NormalHanging12a Char"/>
    <w:link w:val="NormalHanging12a"/>
    <w:locked/>
    <w:rsid w:val="008C60AA"/>
    <w:rPr>
      <w:sz w:val="24"/>
      <w:lang w:val="sv-SE"/>
    </w:rPr>
  </w:style>
  <w:style w:type="character" w:customStyle="1" w:styleId="Normal12HangingChar">
    <w:name w:val="Normal12Hanging Char"/>
    <w:link w:val="Normal12Hanging"/>
    <w:locked/>
    <w:rsid w:val="008C60AA"/>
    <w:rPr>
      <w:sz w:val="24"/>
      <w:lang w:val="sv-SE"/>
    </w:rPr>
  </w:style>
  <w:style w:type="paragraph" w:styleId="BalloonText">
    <w:name w:val="Balloon Text"/>
    <w:basedOn w:val="Normal"/>
    <w:link w:val="BalloonTextChar"/>
    <w:rsid w:val="00B340DE"/>
    <w:rPr>
      <w:rFonts w:ascii="Segoe UI" w:hAnsi="Segoe UI" w:cs="Segoe UI"/>
      <w:sz w:val="18"/>
      <w:szCs w:val="18"/>
    </w:rPr>
  </w:style>
  <w:style w:type="character" w:customStyle="1" w:styleId="BalloonTextChar">
    <w:name w:val="Balloon Text Char"/>
    <w:basedOn w:val="DefaultParagraphFont"/>
    <w:link w:val="BalloonText"/>
    <w:rsid w:val="00B340DE"/>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29D09F-532E-45A2-994B-5F562C5743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3118</Words>
  <Characters>20936</Characters>
  <Application>Microsoft Office Word</Application>
  <DocSecurity>0</DocSecurity>
  <Lines>174</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ANDERSSON Terese</cp:lastModifiedBy>
  <cp:revision>2</cp:revision>
  <cp:lastPrinted>2004-11-19T15:42:00Z</cp:lastPrinted>
  <dcterms:created xsi:type="dcterms:W3CDTF">2024-05-17T09:02:00Z</dcterms:created>
  <dcterms:modified xsi:type="dcterms:W3CDTF">2024-05-17T09:02:00Z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P9_TA(2024)0258_</vt:lpwstr>
  </property>
  <property fmtid="{D5CDD505-2E9C-101B-9397-08002B2CF9AE}" pid="4" name="&lt;Type&gt;">
    <vt:lpwstr>RR</vt:lpwstr>
  </property>
</Properties>
</file>