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6E2A" w:rsidTr="0010095E">
        <w:trPr>
          <w:trHeight w:hRule="exact" w:val="1418"/>
        </w:trPr>
        <w:tc>
          <w:tcPr>
            <w:tcW w:w="6804" w:type="dxa"/>
            <w:shd w:val="clear" w:color="auto" w:fill="auto"/>
            <w:vAlign w:val="center"/>
          </w:tcPr>
          <w:p w:rsidR="00751A4A" w:rsidRPr="00366E2A" w:rsidRDefault="00D2078E" w:rsidP="0010095E">
            <w:pPr>
              <w:pStyle w:val="EPName"/>
            </w:pPr>
            <w:r w:rsidRPr="00366E2A">
              <w:t>Европейски</w:t>
            </w:r>
            <w:r w:rsidR="00125A34" w:rsidRPr="00366E2A">
              <w:t xml:space="preserve"> парламент</w:t>
            </w:r>
          </w:p>
          <w:p w:rsidR="00751A4A" w:rsidRPr="00366E2A" w:rsidRDefault="00817416" w:rsidP="00756632">
            <w:pPr>
              <w:pStyle w:val="EPTerm"/>
              <w:rPr>
                <w:rStyle w:val="HideTWBExt"/>
                <w:noProof w:val="0"/>
                <w:vanish w:val="0"/>
                <w:color w:val="auto"/>
              </w:rPr>
            </w:pPr>
            <w:r w:rsidRPr="00366E2A">
              <w:t>2019</w:t>
            </w:r>
            <w:r w:rsidR="00D2078E">
              <w:t> – </w:t>
            </w:r>
            <w:r w:rsidRPr="00366E2A">
              <w:t>2024</w:t>
            </w:r>
          </w:p>
        </w:tc>
        <w:tc>
          <w:tcPr>
            <w:tcW w:w="2268" w:type="dxa"/>
            <w:shd w:val="clear" w:color="auto" w:fill="auto"/>
          </w:tcPr>
          <w:p w:rsidR="00751A4A" w:rsidRPr="00366E2A" w:rsidRDefault="00187494" w:rsidP="0010095E">
            <w:pPr>
              <w:pStyle w:val="EPLogo"/>
            </w:pPr>
            <w:r w:rsidRPr="00366E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6E2A" w:rsidRDefault="00D058B8" w:rsidP="004C5D52">
      <w:pPr>
        <w:pStyle w:val="LineTop"/>
      </w:pPr>
    </w:p>
    <w:p w:rsidR="00680577" w:rsidRPr="00366E2A" w:rsidRDefault="00125A34" w:rsidP="00680577">
      <w:pPr>
        <w:pStyle w:val="EPBodyTA1"/>
      </w:pPr>
      <w:r w:rsidRPr="00366E2A">
        <w:t>ПРИЕТИ ТЕКСТОВЕ</w:t>
      </w:r>
    </w:p>
    <w:p w:rsidR="00D058B8" w:rsidRPr="00366E2A" w:rsidRDefault="00D058B8" w:rsidP="00D058B8">
      <w:pPr>
        <w:pStyle w:val="LineBottom"/>
      </w:pPr>
    </w:p>
    <w:p w:rsidR="00125A34" w:rsidRPr="00366E2A" w:rsidRDefault="00125A34" w:rsidP="00125A34">
      <w:pPr>
        <w:pStyle w:val="ATHeading1"/>
      </w:pPr>
      <w:bookmarkStart w:id="0" w:name="TANumber"/>
      <w:r w:rsidRPr="00366E2A">
        <w:t>P9_TA(2024)0</w:t>
      </w:r>
      <w:r w:rsidR="0034151A">
        <w:rPr>
          <w:lang w:val="en-GB"/>
        </w:rPr>
        <w:t>259</w:t>
      </w:r>
      <w:bookmarkStart w:id="1" w:name="_GoBack"/>
      <w:bookmarkEnd w:id="0"/>
      <w:bookmarkEnd w:id="1"/>
    </w:p>
    <w:p w:rsidR="00125A34" w:rsidRPr="00366E2A" w:rsidRDefault="00125A34" w:rsidP="00D2078E">
      <w:pPr>
        <w:pStyle w:val="ATHeading2"/>
      </w:pPr>
      <w:bookmarkStart w:id="2" w:name="title"/>
      <w:r w:rsidRPr="00366E2A">
        <w:t>Освобождаване от отговорност във връзка с изпълнението на бюджета за 2022 г.: Агенция за</w:t>
      </w:r>
      <w:r w:rsidR="00D2078E">
        <w:t xml:space="preserve"> </w:t>
      </w:r>
      <w:r w:rsidRPr="00366E2A">
        <w:t>снабдяване към Евратом</w:t>
      </w:r>
      <w:bookmarkEnd w:id="2"/>
    </w:p>
    <w:p w:rsidR="00125A34" w:rsidRPr="00366E2A" w:rsidRDefault="00125A34" w:rsidP="00125A34">
      <w:pPr>
        <w:rPr>
          <w:i/>
          <w:vanish/>
        </w:rPr>
      </w:pPr>
      <w:r w:rsidRPr="00366E2A">
        <w:rPr>
          <w:i/>
        </w:rPr>
        <w:fldChar w:fldCharType="begin"/>
      </w:r>
      <w:r w:rsidRPr="00366E2A">
        <w:rPr>
          <w:i/>
        </w:rPr>
        <w:instrText xml:space="preserve"> TC"(</w:instrText>
      </w:r>
      <w:bookmarkStart w:id="3" w:name="DocNumber"/>
      <w:r w:rsidRPr="00366E2A">
        <w:rPr>
          <w:i/>
        </w:rPr>
        <w:instrText>A9-0108/2024</w:instrText>
      </w:r>
      <w:bookmarkEnd w:id="3"/>
      <w:r w:rsidRPr="00366E2A">
        <w:rPr>
          <w:i/>
        </w:rPr>
        <w:instrText xml:space="preserve"> - Докладчик: Петри Сарвама)"\l3 \n&gt; \* MERGEFORMAT </w:instrText>
      </w:r>
      <w:r w:rsidRPr="00366E2A">
        <w:rPr>
          <w:i/>
        </w:rPr>
        <w:fldChar w:fldCharType="end"/>
      </w:r>
    </w:p>
    <w:p w:rsidR="00125A34" w:rsidRPr="00366E2A" w:rsidRDefault="00125A34" w:rsidP="00125A34">
      <w:pPr>
        <w:rPr>
          <w:vanish/>
        </w:rPr>
      </w:pPr>
      <w:bookmarkStart w:id="4" w:name="Commission"/>
      <w:r w:rsidRPr="00366E2A">
        <w:rPr>
          <w:vanish/>
        </w:rPr>
        <w:t>Комисия по бюджетен контрол</w:t>
      </w:r>
      <w:bookmarkEnd w:id="4"/>
    </w:p>
    <w:p w:rsidR="00125A34" w:rsidRPr="00366E2A" w:rsidRDefault="00125A34" w:rsidP="00125A34">
      <w:pPr>
        <w:rPr>
          <w:vanish/>
        </w:rPr>
      </w:pPr>
      <w:bookmarkStart w:id="5" w:name="PE"/>
      <w:r w:rsidRPr="00366E2A">
        <w:rPr>
          <w:vanish/>
        </w:rPr>
        <w:t>PE753.529</w:t>
      </w:r>
      <w:bookmarkEnd w:id="5"/>
    </w:p>
    <w:p w:rsidR="00125A34" w:rsidRPr="00366E2A" w:rsidRDefault="00D2078E" w:rsidP="00D2078E">
      <w:pPr>
        <w:pStyle w:val="ATHeading3"/>
      </w:pPr>
      <w:bookmarkStart w:id="6" w:name="Sujet"/>
      <w:r>
        <w:t xml:space="preserve">1. </w:t>
      </w:r>
      <w:r w:rsidR="00125A34" w:rsidRPr="00366E2A">
        <w:t xml:space="preserve">Решение на Европейския парламент от </w:t>
      </w:r>
      <w:r>
        <w:t>11 април</w:t>
      </w:r>
      <w:r w:rsidR="00125A34" w:rsidRPr="00366E2A">
        <w:t xml:space="preserve"> 2024 г. относно освобождаването от отговорност във връзка с изпълнението на бюджета на Агенцията за снабдяване към Евратом за финансовата 2022 година</w:t>
      </w:r>
      <w:bookmarkEnd w:id="6"/>
      <w:r w:rsidR="00125A34" w:rsidRPr="00366E2A">
        <w:t xml:space="preserve"> </w:t>
      </w:r>
      <w:bookmarkStart w:id="7" w:name="References"/>
      <w:r w:rsidR="00125A34" w:rsidRPr="00366E2A">
        <w:t>(2023/2161(DEC))</w:t>
      </w:r>
      <w:bookmarkEnd w:id="7"/>
    </w:p>
    <w:p w:rsidR="00B27586" w:rsidRPr="00366E2A" w:rsidRDefault="00B27586" w:rsidP="00B27586">
      <w:pPr>
        <w:pStyle w:val="EPComma"/>
      </w:pPr>
      <w:bookmarkStart w:id="8" w:name="TextBodyBegin"/>
      <w:bookmarkEnd w:id="8"/>
      <w:r w:rsidRPr="00366E2A">
        <w:rPr>
          <w:i/>
        </w:rPr>
        <w:t>Европейският парламент</w:t>
      </w:r>
      <w:r w:rsidRPr="00366E2A">
        <w:t>,</w:t>
      </w:r>
    </w:p>
    <w:p w:rsidR="00B27586" w:rsidRPr="00366E2A" w:rsidRDefault="00B27586" w:rsidP="00B27586">
      <w:pPr>
        <w:pStyle w:val="NormalHanging12a"/>
      </w:pPr>
      <w:r w:rsidRPr="00366E2A">
        <w:t>–</w:t>
      </w:r>
      <w:r w:rsidRPr="00366E2A">
        <w:tab/>
        <w:t>като взе предвид окончателните годишни отчети на Агенцията за снабдяване към Евратом за финансовата 2022 година,</w:t>
      </w:r>
    </w:p>
    <w:p w:rsidR="00B27586" w:rsidRPr="00366E2A" w:rsidRDefault="00B27586" w:rsidP="00B27586">
      <w:pPr>
        <w:pStyle w:val="NormalHanging12a"/>
      </w:pPr>
      <w:r w:rsidRPr="00366E2A">
        <w:t>–</w:t>
      </w:r>
      <w:r w:rsidRPr="00366E2A">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366E2A">
        <w:rPr>
          <w:rStyle w:val="FootnoteReference"/>
        </w:rPr>
        <w:footnoteReference w:id="1"/>
      </w:r>
      <w:r w:rsidRPr="00366E2A">
        <w:t>,</w:t>
      </w:r>
    </w:p>
    <w:p w:rsidR="00B27586" w:rsidRPr="00366E2A" w:rsidRDefault="00B27586" w:rsidP="00B27586">
      <w:pPr>
        <w:pStyle w:val="NormalHanging12a"/>
      </w:pPr>
      <w:r w:rsidRPr="00366E2A">
        <w:t>–</w:t>
      </w:r>
      <w:r w:rsidRPr="00366E2A">
        <w:tab/>
        <w:t>като взе предвид декларацията за достоверност</w:t>
      </w:r>
      <w:r w:rsidRPr="00366E2A">
        <w:rPr>
          <w:rStyle w:val="FootnoteReference"/>
        </w:rPr>
        <w:footnoteReference w:id="2"/>
      </w:r>
      <w:r w:rsidRPr="00366E2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B27586" w:rsidRPr="00366E2A" w:rsidRDefault="00B27586" w:rsidP="00CE4A0A">
      <w:pPr>
        <w:pStyle w:val="NormalHanging12a"/>
      </w:pPr>
      <w:r w:rsidRPr="00366E2A">
        <w:t>–</w:t>
      </w:r>
      <w:r w:rsidRPr="00366E2A">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CE4A0A" w:rsidRPr="00CE4A0A">
        <w:rPr>
          <w:lang w:val="en-GB"/>
        </w:rPr>
        <w:t>06180</w:t>
      </w:r>
      <w:r w:rsidRPr="00366E2A">
        <w:t>/2024 – C9</w:t>
      </w:r>
      <w:r w:rsidRPr="00366E2A">
        <w:noBreakHyphen/>
      </w:r>
      <w:r w:rsidR="00CE4A0A" w:rsidRPr="00CE4A0A">
        <w:rPr>
          <w:lang w:val="en-GB"/>
        </w:rPr>
        <w:t>0099</w:t>
      </w:r>
      <w:r w:rsidRPr="00366E2A">
        <w:t>/2024),</w:t>
      </w:r>
    </w:p>
    <w:p w:rsidR="00B27586" w:rsidRPr="00366E2A" w:rsidRDefault="00B27586" w:rsidP="00B27586">
      <w:pPr>
        <w:pStyle w:val="NormalHanging12a"/>
      </w:pPr>
      <w:r w:rsidRPr="00366E2A">
        <w:t>–</w:t>
      </w:r>
      <w:r w:rsidRPr="00366E2A">
        <w:tab/>
        <w:t>като взе предвид член 319 от Договора за функционирането на Европейския съюз,</w:t>
      </w:r>
    </w:p>
    <w:p w:rsidR="00B27586" w:rsidRPr="00366E2A" w:rsidRDefault="00B27586" w:rsidP="00B27586">
      <w:pPr>
        <w:pStyle w:val="NormalHanging12a"/>
      </w:pPr>
      <w:r w:rsidRPr="00366E2A">
        <w:t>–</w:t>
      </w:r>
      <w:r w:rsidRPr="00366E2A">
        <w:tab/>
        <w:t>като взе предвид член 106а от Договора за създаване на Европейската общност за атомна енергия,</w:t>
      </w:r>
    </w:p>
    <w:p w:rsidR="00B27586" w:rsidRPr="00366E2A" w:rsidRDefault="00B27586" w:rsidP="00B27586">
      <w:pPr>
        <w:pStyle w:val="NormalHanging12a"/>
      </w:pPr>
      <w:r w:rsidRPr="00366E2A">
        <w:t>–</w:t>
      </w:r>
      <w:r w:rsidRPr="00366E2A">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w:t>
      </w:r>
      <w:r w:rsidRPr="00366E2A">
        <w:lastRenderedPageBreak/>
        <w:t>№ 1301/2013, (ЕС) № 1303/2013, (ЕС) № 1304/2013, (ЕС) № 1309/2013, (ЕС) № 1316/2013, (ЕС) № 223/2014 и (ЕС) № 283/2014 и на Решение № 541/2014/ЕС и за отмяна на Регламент (ЕС, Евратом) № 966/2012</w:t>
      </w:r>
      <w:r w:rsidRPr="00366E2A">
        <w:rPr>
          <w:rStyle w:val="FootnoteReference"/>
        </w:rPr>
        <w:footnoteReference w:id="3"/>
      </w:r>
      <w:r w:rsidRPr="00366E2A">
        <w:t>, и по-специално член 68 от него,</w:t>
      </w:r>
    </w:p>
    <w:p w:rsidR="00B27586" w:rsidRPr="00366E2A" w:rsidRDefault="00B27586" w:rsidP="00B27586">
      <w:pPr>
        <w:pStyle w:val="NormalHanging12a"/>
      </w:pPr>
      <w:r w:rsidRPr="00366E2A">
        <w:t>–</w:t>
      </w:r>
      <w:r w:rsidRPr="00366E2A">
        <w:tab/>
        <w:t>като взе предвид Решение 2008/114/EО, Евратом на Съвета от 12 февруари 2008 г. за създаване на устав на Агенцията за снабдяване към Евратом</w:t>
      </w:r>
      <w:r w:rsidRPr="00366E2A">
        <w:rPr>
          <w:rStyle w:val="FootnoteReference"/>
        </w:rPr>
        <w:footnoteReference w:id="4"/>
      </w:r>
      <w:r w:rsidRPr="00366E2A">
        <w:t>, и по-специално член 8 от приложението към него,</w:t>
      </w:r>
    </w:p>
    <w:p w:rsidR="00B27586" w:rsidRPr="00366E2A" w:rsidRDefault="00B27586" w:rsidP="00B27586">
      <w:pPr>
        <w:pStyle w:val="NormalHanging12a"/>
      </w:pPr>
      <w:r w:rsidRPr="00366E2A">
        <w:t>–</w:t>
      </w:r>
      <w:r w:rsidRPr="00366E2A">
        <w:tab/>
        <w:t>като взе предвид член 100 и приложение V към своя Правилник за дейността,</w:t>
      </w:r>
    </w:p>
    <w:p w:rsidR="00B27586" w:rsidRPr="00366E2A" w:rsidRDefault="00B27586" w:rsidP="00B27586">
      <w:pPr>
        <w:pStyle w:val="NormalHanging12a"/>
      </w:pPr>
      <w:r w:rsidRPr="00366E2A">
        <w:t>–</w:t>
      </w:r>
      <w:r w:rsidRPr="00366E2A">
        <w:tab/>
        <w:t>като взе предвид доклада на комисията по бюджетен контрол (A9-0108/2024),</w:t>
      </w:r>
    </w:p>
    <w:p w:rsidR="00B27586" w:rsidRPr="00366E2A" w:rsidRDefault="00B27586" w:rsidP="00B27586">
      <w:pPr>
        <w:pStyle w:val="NormalHanging12a"/>
      </w:pPr>
      <w:r w:rsidRPr="00366E2A">
        <w:t>1.</w:t>
      </w:r>
      <w:r w:rsidRPr="00366E2A">
        <w:tab/>
        <w:t>освобождава от отговорност изпълняващия длъжността генерален директор на Агенцията за снабдяване към Евратом във връзка с изпълнението на бюджета на Агенцията за финансовата 2022 година;</w:t>
      </w:r>
    </w:p>
    <w:p w:rsidR="00B27586" w:rsidRPr="00366E2A" w:rsidRDefault="00B27586" w:rsidP="00B27586">
      <w:pPr>
        <w:pStyle w:val="NormalHanging12a"/>
      </w:pPr>
      <w:r w:rsidRPr="00366E2A">
        <w:t>2.</w:t>
      </w:r>
      <w:r w:rsidRPr="00366E2A">
        <w:tab/>
        <w:t>представя своите забележки в резолюцията по-долу;</w:t>
      </w:r>
    </w:p>
    <w:p w:rsidR="00B27586" w:rsidRPr="00366E2A" w:rsidRDefault="00B27586" w:rsidP="00B27586">
      <w:pPr>
        <w:pStyle w:val="NormalHanging12a"/>
      </w:pPr>
      <w:r w:rsidRPr="00366E2A">
        <w:t>3.</w:t>
      </w:r>
      <w:r w:rsidRPr="00366E2A">
        <w:tab/>
        <w:t xml:space="preserve">възлага на своя председател да предаде настоящото решение, както и резолюцията, която е неразделна част от него, на изпълняващия длъжността генерален директор на Агенцията за снабдяване към Евратом, на Съвета, Комисията и Сметната палата и да осигури публикуването им в </w:t>
      </w:r>
      <w:r w:rsidRPr="00366E2A">
        <w:rPr>
          <w:i/>
        </w:rPr>
        <w:t>Официален вестник на Европейския съюз</w:t>
      </w:r>
      <w:r w:rsidRPr="00366E2A">
        <w:t xml:space="preserve"> (серия L).</w:t>
      </w:r>
    </w:p>
    <w:p w:rsidR="00B27586" w:rsidRPr="00366E2A" w:rsidRDefault="00B27586" w:rsidP="00B27586"/>
    <w:p w:rsidR="00B27586" w:rsidRPr="00366E2A" w:rsidRDefault="00B27586" w:rsidP="00B27586">
      <w:pPr>
        <w:widowControl/>
        <w:rPr>
          <w:rFonts w:ascii="Arial" w:hAnsi="Arial" w:cs="Arial"/>
          <w:b/>
        </w:rPr>
        <w:sectPr w:rsidR="00B27586" w:rsidRPr="00366E2A" w:rsidSect="00366E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B27586" w:rsidRPr="00366E2A" w:rsidRDefault="00B27586" w:rsidP="00D2078E">
      <w:pPr>
        <w:pStyle w:val="ATHeading3"/>
      </w:pPr>
      <w:bookmarkStart w:id="9" w:name="_Toc161821829"/>
      <w:r w:rsidRPr="00366E2A">
        <w:lastRenderedPageBreak/>
        <w:t xml:space="preserve">2. </w:t>
      </w:r>
      <w:bookmarkEnd w:id="9"/>
      <w:r w:rsidR="00D2078E">
        <w:t xml:space="preserve">Решение на Европейския парламент от 11 април 2024 г. </w:t>
      </w:r>
      <w:r w:rsidRPr="00366E2A">
        <w:t>относно приключването на сметките на Агенцията за снабдяване към Евратом за финансовата 2022 година</w:t>
      </w:r>
      <w:r w:rsidR="00D2078E">
        <w:t xml:space="preserve"> (2023</w:t>
      </w:r>
      <w:r w:rsidRPr="00366E2A">
        <w:t>/2161(DEC))</w:t>
      </w:r>
    </w:p>
    <w:p w:rsidR="00B27586" w:rsidRPr="00366E2A" w:rsidRDefault="00B27586" w:rsidP="00B27586">
      <w:pPr>
        <w:pStyle w:val="EPComma"/>
      </w:pPr>
      <w:r w:rsidRPr="00366E2A">
        <w:rPr>
          <w:i/>
        </w:rPr>
        <w:t>Европейският парламент</w:t>
      </w:r>
      <w:r w:rsidRPr="00366E2A">
        <w:t>,</w:t>
      </w:r>
    </w:p>
    <w:p w:rsidR="00B27586" w:rsidRPr="00366E2A" w:rsidRDefault="00B27586" w:rsidP="00B27586">
      <w:pPr>
        <w:pStyle w:val="NormalHanging12a"/>
      </w:pPr>
      <w:r w:rsidRPr="00366E2A">
        <w:t>–</w:t>
      </w:r>
      <w:r w:rsidRPr="00366E2A">
        <w:tab/>
        <w:t>като взе предвид окончателните годишни отчети на Агенцията за снабдяване към Евратом за финансовата 2022 година,</w:t>
      </w:r>
    </w:p>
    <w:p w:rsidR="00B27586" w:rsidRPr="00366E2A" w:rsidRDefault="00B27586" w:rsidP="00B27586">
      <w:pPr>
        <w:pStyle w:val="NormalHanging12a"/>
      </w:pPr>
      <w:r w:rsidRPr="00366E2A">
        <w:t>–</w:t>
      </w:r>
      <w:r w:rsidRPr="00366E2A">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366E2A">
        <w:rPr>
          <w:rStyle w:val="FootnoteReference"/>
        </w:rPr>
        <w:footnoteReference w:id="5"/>
      </w:r>
      <w:r w:rsidRPr="00366E2A">
        <w:t>,</w:t>
      </w:r>
    </w:p>
    <w:p w:rsidR="00B27586" w:rsidRPr="00366E2A" w:rsidRDefault="00B27586" w:rsidP="00B27586">
      <w:pPr>
        <w:pStyle w:val="NormalHanging12a"/>
      </w:pPr>
      <w:r w:rsidRPr="00366E2A">
        <w:t>–</w:t>
      </w:r>
      <w:r w:rsidRPr="00366E2A">
        <w:tab/>
        <w:t>като взе предвид декларацията за достоверност</w:t>
      </w:r>
      <w:r w:rsidRPr="00366E2A">
        <w:rPr>
          <w:rStyle w:val="FootnoteReference"/>
        </w:rPr>
        <w:footnoteReference w:id="6"/>
      </w:r>
      <w:r w:rsidRPr="00366E2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B27586" w:rsidRPr="00366E2A" w:rsidRDefault="00B27586" w:rsidP="00CE4A0A">
      <w:pPr>
        <w:pStyle w:val="NormalHanging12a"/>
      </w:pPr>
      <w:r w:rsidRPr="00366E2A">
        <w:t>–</w:t>
      </w:r>
      <w:r w:rsidRPr="00366E2A">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CE4A0A" w:rsidRPr="00CE4A0A">
        <w:rPr>
          <w:lang w:val="en-GB"/>
        </w:rPr>
        <w:t>06180</w:t>
      </w:r>
      <w:r w:rsidRPr="00366E2A">
        <w:t>/2024 – C9</w:t>
      </w:r>
      <w:r w:rsidRPr="00366E2A">
        <w:noBreakHyphen/>
      </w:r>
      <w:r w:rsidR="00CE4A0A" w:rsidRPr="00CE4A0A">
        <w:rPr>
          <w:lang w:val="en-GB"/>
        </w:rPr>
        <w:t>0099</w:t>
      </w:r>
      <w:r w:rsidRPr="00366E2A">
        <w:t>/2024),</w:t>
      </w:r>
    </w:p>
    <w:p w:rsidR="00B27586" w:rsidRPr="00366E2A" w:rsidRDefault="00B27586" w:rsidP="00B27586">
      <w:pPr>
        <w:pStyle w:val="NormalHanging12a"/>
      </w:pPr>
      <w:r w:rsidRPr="00366E2A">
        <w:t>–</w:t>
      </w:r>
      <w:r w:rsidRPr="00366E2A">
        <w:tab/>
        <w:t>като взе предвид член 319 от Договора за функционирането на Европейския съюз,</w:t>
      </w:r>
    </w:p>
    <w:p w:rsidR="00B27586" w:rsidRPr="00366E2A" w:rsidRDefault="00B27586" w:rsidP="00B27586">
      <w:pPr>
        <w:pStyle w:val="NormalHanging12a"/>
      </w:pPr>
      <w:r w:rsidRPr="00366E2A">
        <w:t>–</w:t>
      </w:r>
      <w:r w:rsidRPr="00366E2A">
        <w:tab/>
        <w:t>като взе предвид член 106а от Договора за създаване на Европейската общност за атомна енергия,</w:t>
      </w:r>
    </w:p>
    <w:p w:rsidR="00B27586" w:rsidRPr="00366E2A" w:rsidRDefault="00B27586" w:rsidP="00B27586">
      <w:pPr>
        <w:pStyle w:val="NormalHanging12a"/>
      </w:pPr>
      <w:r w:rsidRPr="00366E2A">
        <w:t>–</w:t>
      </w:r>
      <w:r w:rsidRPr="00366E2A">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366E2A">
        <w:rPr>
          <w:rStyle w:val="FootnoteReference"/>
        </w:rPr>
        <w:footnoteReference w:id="7"/>
      </w:r>
      <w:r w:rsidRPr="00366E2A">
        <w:t>, и по-специално член 68 от него,</w:t>
      </w:r>
    </w:p>
    <w:p w:rsidR="00B27586" w:rsidRPr="00366E2A" w:rsidRDefault="00B27586" w:rsidP="00B27586">
      <w:pPr>
        <w:pStyle w:val="NormalHanging12a"/>
      </w:pPr>
      <w:r w:rsidRPr="00366E2A">
        <w:t>–</w:t>
      </w:r>
      <w:r w:rsidRPr="00366E2A">
        <w:tab/>
        <w:t>като взе предвид Решение 2008/114/EО, Евратом на Съвета от 12 февруари 2008 г. за създаване на устав на Агенцията за снабдяване към Евратом</w:t>
      </w:r>
      <w:r w:rsidRPr="00366E2A">
        <w:rPr>
          <w:rStyle w:val="FootnoteReference"/>
        </w:rPr>
        <w:footnoteReference w:id="8"/>
      </w:r>
      <w:r w:rsidRPr="00366E2A">
        <w:t>, и по-специално член 8 от приложението към него,</w:t>
      </w:r>
    </w:p>
    <w:p w:rsidR="00B27586" w:rsidRPr="00366E2A" w:rsidRDefault="00B27586" w:rsidP="00B27586">
      <w:pPr>
        <w:pStyle w:val="NormalHanging12a"/>
      </w:pPr>
      <w:r w:rsidRPr="00366E2A">
        <w:t>–</w:t>
      </w:r>
      <w:r w:rsidRPr="00366E2A">
        <w:tab/>
        <w:t>като взе предвид член 100 и приложение V към своя Правилник за дейността,</w:t>
      </w:r>
    </w:p>
    <w:p w:rsidR="00B27586" w:rsidRPr="00366E2A" w:rsidRDefault="00B27586" w:rsidP="00B27586">
      <w:pPr>
        <w:pStyle w:val="NormalHanging12a"/>
      </w:pPr>
      <w:r w:rsidRPr="00366E2A">
        <w:t>–</w:t>
      </w:r>
      <w:r w:rsidRPr="00366E2A">
        <w:tab/>
        <w:t>като взе предвид доклада на комисията по бюджетен контрол (A9-0108/2024),</w:t>
      </w:r>
    </w:p>
    <w:p w:rsidR="00B27586" w:rsidRPr="00366E2A" w:rsidRDefault="00B27586" w:rsidP="00B27586">
      <w:pPr>
        <w:pStyle w:val="NormalHanging12a"/>
      </w:pPr>
      <w:r w:rsidRPr="00366E2A">
        <w:t>1.</w:t>
      </w:r>
      <w:r w:rsidRPr="00366E2A">
        <w:tab/>
        <w:t>одобрява приключването на сметките на Агенцията за снабдяване към Евратом за финансовата 2022 година;</w:t>
      </w:r>
    </w:p>
    <w:p w:rsidR="00B27586" w:rsidRPr="00366E2A" w:rsidRDefault="00B27586" w:rsidP="00B27586">
      <w:pPr>
        <w:pStyle w:val="NormalHanging12a"/>
      </w:pPr>
      <w:r w:rsidRPr="00366E2A">
        <w:t>2.</w:t>
      </w:r>
      <w:r w:rsidRPr="00366E2A">
        <w:tab/>
        <w:t xml:space="preserve">възлага на своя председател да предаде настоящото решение на изпълняващия длъжността генерален директор на Агенцията за снабдяване към Евратом, на </w:t>
      </w:r>
      <w:r w:rsidRPr="00366E2A">
        <w:lastRenderedPageBreak/>
        <w:t xml:space="preserve">Комисията и на Сметната палата и да осигури публикуването му в </w:t>
      </w:r>
      <w:r w:rsidRPr="00366E2A">
        <w:rPr>
          <w:i/>
        </w:rPr>
        <w:t>Официален вестник на Европейския съюз</w:t>
      </w:r>
      <w:r w:rsidRPr="00366E2A">
        <w:t xml:space="preserve"> (серия L).</w:t>
      </w:r>
    </w:p>
    <w:p w:rsidR="00B27586" w:rsidRPr="00366E2A" w:rsidRDefault="00B27586" w:rsidP="00B27586"/>
    <w:p w:rsidR="00B27586" w:rsidRPr="00366E2A" w:rsidRDefault="00B27586" w:rsidP="00B27586">
      <w:pPr>
        <w:widowControl/>
        <w:rPr>
          <w:rFonts w:ascii="Arial" w:hAnsi="Arial" w:cs="Arial"/>
          <w:b/>
        </w:rPr>
        <w:sectPr w:rsidR="00B27586" w:rsidRPr="00366E2A" w:rsidSect="00366E2A">
          <w:footnotePr>
            <w:numRestart w:val="eachPage"/>
          </w:footnotePr>
          <w:endnotePr>
            <w:numFmt w:val="decimal"/>
          </w:endnotePr>
          <w:pgSz w:w="11906" w:h="16838"/>
          <w:pgMar w:top="1134" w:right="1418" w:bottom="1418" w:left="1418" w:header="567" w:footer="567" w:gutter="0"/>
          <w:cols w:space="720"/>
          <w:docGrid w:linePitch="326"/>
        </w:sectPr>
      </w:pPr>
    </w:p>
    <w:p w:rsidR="00B27586" w:rsidRPr="00366E2A" w:rsidRDefault="00B27586" w:rsidP="00D2078E">
      <w:pPr>
        <w:pStyle w:val="ATHeading3"/>
      </w:pPr>
      <w:bookmarkStart w:id="10" w:name="_Toc161821830"/>
      <w:r w:rsidRPr="00366E2A">
        <w:lastRenderedPageBreak/>
        <w:t xml:space="preserve">3. </w:t>
      </w:r>
      <w:bookmarkEnd w:id="10"/>
      <w:r w:rsidR="00D2078E">
        <w:t>Резолюция на Европейския парламент от 11 април 2024 г., съдържаща</w:t>
      </w:r>
      <w:r w:rsidRPr="00366E2A">
        <w:t xml:space="preserve"> забележките, които са неразделна част от решението за освобождаване от отговорност във връзка с изпълнението на бюджета на Агенцията за снабдяване към Евратом за финансовата 2022 година</w:t>
      </w:r>
      <w:r w:rsidR="00D2078E">
        <w:t xml:space="preserve"> (2023</w:t>
      </w:r>
      <w:r w:rsidRPr="00366E2A">
        <w:t>/2161(DEC))</w:t>
      </w:r>
    </w:p>
    <w:p w:rsidR="00B27586" w:rsidRPr="00366E2A" w:rsidRDefault="00B27586" w:rsidP="00B27586">
      <w:pPr>
        <w:pStyle w:val="EPComma"/>
      </w:pPr>
      <w:r w:rsidRPr="00366E2A">
        <w:rPr>
          <w:i/>
        </w:rPr>
        <w:t>Европейският парламент</w:t>
      </w:r>
      <w:r w:rsidRPr="00366E2A">
        <w:t>,</w:t>
      </w:r>
    </w:p>
    <w:p w:rsidR="00B27586" w:rsidRPr="00366E2A" w:rsidRDefault="00B27586" w:rsidP="00B27586">
      <w:pPr>
        <w:pStyle w:val="NormalHanging12a"/>
      </w:pPr>
      <w:r w:rsidRPr="00366E2A">
        <w:t>–</w:t>
      </w:r>
      <w:r w:rsidRPr="00366E2A">
        <w:tab/>
        <w:t>като взе предвид своето решение за освобождаване от отговорност във връзка с изпълнението на бюджета на Агенцията за снабдяване към Евратом („Агенцията“) за финансовата 2022 година,</w:t>
      </w:r>
    </w:p>
    <w:p w:rsidR="00B27586" w:rsidRPr="00366E2A" w:rsidRDefault="00B27586" w:rsidP="00B27586">
      <w:pPr>
        <w:pStyle w:val="NormalHanging12a"/>
      </w:pPr>
      <w:r w:rsidRPr="00366E2A">
        <w:t>–</w:t>
      </w:r>
      <w:r w:rsidRPr="00366E2A">
        <w:tab/>
        <w:t>като взе предвид член 100 и приложение V към своя Правилник за дейността,</w:t>
      </w:r>
    </w:p>
    <w:p w:rsidR="00B27586" w:rsidRPr="00366E2A" w:rsidRDefault="00B27586" w:rsidP="00B27586">
      <w:pPr>
        <w:pStyle w:val="NormalHanging12a"/>
      </w:pPr>
      <w:r w:rsidRPr="00366E2A">
        <w:t>–</w:t>
      </w:r>
      <w:r w:rsidRPr="00366E2A">
        <w:tab/>
        <w:t>като взе предвид доклада на комисията по бюджетен контрол (A9-0108/2024),</w:t>
      </w:r>
    </w:p>
    <w:p w:rsidR="00B27586" w:rsidRPr="00366E2A" w:rsidRDefault="00B27586" w:rsidP="00B27586">
      <w:pPr>
        <w:spacing w:after="240"/>
        <w:ind w:left="567" w:hanging="567"/>
        <w:rPr>
          <w:szCs w:val="24"/>
        </w:rPr>
      </w:pPr>
      <w:r w:rsidRPr="00366E2A">
        <w:t>А.</w:t>
      </w:r>
      <w:r w:rsidRPr="00366E2A">
        <w:tab/>
        <w:t>като има предвид, че според финансовите отчети за приходите и разходите на Агенцията нейният окончателен бюджет за финансовата 2022 година възлиза на 167 000 EUR, което представлява намаление с 20,48 % спрямо 2021 г. (210 000 EUR); като има предвид, че целият бюджет на Агенцията се осигурява от бюджета на Съюза;</w:t>
      </w:r>
    </w:p>
    <w:p w:rsidR="00B27586" w:rsidRPr="00366E2A" w:rsidRDefault="00B27586" w:rsidP="00B27586">
      <w:pPr>
        <w:spacing w:after="240"/>
        <w:ind w:left="567" w:hanging="567"/>
        <w:rPr>
          <w:szCs w:val="24"/>
        </w:rPr>
      </w:pPr>
      <w:r w:rsidRPr="00366E2A">
        <w:t>Б.</w:t>
      </w:r>
      <w:r w:rsidRPr="00366E2A">
        <w:tab/>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B27586" w:rsidRPr="00366E2A" w:rsidRDefault="00B27586" w:rsidP="00B27586">
      <w:pPr>
        <w:spacing w:after="240"/>
        <w:ind w:left="567" w:hanging="567"/>
        <w:rPr>
          <w:szCs w:val="24"/>
        </w:rPr>
      </w:pPr>
      <w:r w:rsidRPr="00366E2A">
        <w:t>В.</w:t>
      </w:r>
      <w:r w:rsidRPr="00366E2A">
        <w:tab/>
        <w:t>като има предвид, че по отношение на системите за вътрешен контрол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B27586" w:rsidRPr="00366E2A" w:rsidRDefault="00B27586" w:rsidP="00B27586">
      <w:pPr>
        <w:spacing w:after="240"/>
        <w:ind w:left="567" w:hanging="567"/>
        <w:rPr>
          <w:b/>
          <w:i/>
          <w:szCs w:val="24"/>
        </w:rPr>
      </w:pPr>
      <w:r w:rsidRPr="00366E2A">
        <w:rPr>
          <w:b/>
          <w:i/>
        </w:rPr>
        <w:t>Бюджетно и финансово управление</w:t>
      </w:r>
    </w:p>
    <w:p w:rsidR="00B27586" w:rsidRPr="00366E2A" w:rsidRDefault="00B27586" w:rsidP="00B27586">
      <w:pPr>
        <w:spacing w:after="240"/>
        <w:ind w:left="567" w:hanging="567"/>
        <w:rPr>
          <w:szCs w:val="24"/>
        </w:rPr>
      </w:pPr>
      <w:r w:rsidRPr="00366E2A">
        <w:t>1.</w:t>
      </w:r>
      <w:r w:rsidRPr="00366E2A">
        <w:tab/>
        <w:t>отбелязва, че в резултат на усилията за контрол на бюджета през финансовата 2022 година степента на изпълнение на бюджетните кредити за поети задължения за текущата година е 96,88 %, което представлява леко намаление с 2,88 % спрямо 2021 г., и отбелязва, че степента на изпълнение на бюджетните кредити за плащания за текущата година е 34,81 %, което представлява намаление с 16,4 % спрямо 2021 г.;</w:t>
      </w:r>
    </w:p>
    <w:p w:rsidR="00B27586" w:rsidRPr="00366E2A" w:rsidRDefault="00B27586" w:rsidP="00B27586">
      <w:pPr>
        <w:spacing w:after="240"/>
        <w:ind w:left="567" w:hanging="567"/>
        <w:rPr>
          <w:szCs w:val="24"/>
        </w:rPr>
      </w:pPr>
      <w:r w:rsidRPr="00366E2A">
        <w:t>2.</w:t>
      </w:r>
      <w:r w:rsidRPr="00366E2A">
        <w:tab/>
        <w:t>отбелязва, че голяма част от разходите на Агенцията се покриват от Комисията, включително заплатите, в размер на 1 937 817 EUR, разходите за помещения и информационни технологии, в размер на 467 708 EUR, и информационната система NOEMI („Ядрена обсерватория и управление на информацията на Агенцията за снабдяване към Евратом“), в размер на 84 644 EUR; отбелязва освен това, че тези разходи са включени в годишните отчети на Комисията и допринасят положително за административния капацитет на Агенцията;</w:t>
      </w:r>
    </w:p>
    <w:p w:rsidR="00B27586" w:rsidRPr="00366E2A" w:rsidRDefault="00B27586" w:rsidP="00B27586">
      <w:pPr>
        <w:spacing w:after="240"/>
        <w:ind w:left="567" w:hanging="567"/>
        <w:rPr>
          <w:b/>
          <w:i/>
          <w:szCs w:val="24"/>
        </w:rPr>
      </w:pPr>
      <w:r w:rsidRPr="00366E2A">
        <w:rPr>
          <w:b/>
          <w:i/>
        </w:rPr>
        <w:t>Резултати от изпълнението</w:t>
      </w:r>
    </w:p>
    <w:p w:rsidR="00B27586" w:rsidRPr="00366E2A" w:rsidRDefault="00B27586" w:rsidP="00B27586">
      <w:pPr>
        <w:pStyle w:val="NormalHanging12a"/>
      </w:pPr>
      <w:r w:rsidRPr="00366E2A">
        <w:t>3.</w:t>
      </w:r>
      <w:r w:rsidRPr="00366E2A">
        <w:tab/>
        <w:t xml:space="preserve">подчертава, че 2022 г. беше белязана от руското нашествие в Украйна, което </w:t>
      </w:r>
      <w:r w:rsidRPr="00366E2A">
        <w:lastRenderedPageBreak/>
        <w:t>породи опасения на ЕС за енергийната сигурност като цяло и по-специално подкопава сигурността на доставките за ЕС на ядрени материали и гориво и задълбочава проблемите със зависимостта; отбелязва, че много атомни електроцентрали в Съюза разчитат на руски доставчици за гориво, а комуналните услуги на Съюза като цяло са зависими от руски доставки на ядрени материали и услуги, свързани с горивния цикъл, като тази зависимост варира между 20 и 30 %; отбелязва, че отчитайки ролята на скъпите цени за внос на енергия, които подкрепят действията на Русия, Съюзът реши да намали зависимостта си от Русия в различни сектори и че ядреният пазар, предвид неговите уникални характеристики, също може да претърпи промени в бъдеще като част от тази по-широка промяна; изисква от Агенцията да докладва на органа по освобождаване от отговорност как е намалила зависимостта на Съюза от руско ядрено гориво от 2022 г. насам, особено след началото на войната, когато ядрената промишленост беше освободена от санкции, и как намаляването и диверсификацията са повлияли на разходите;</w:t>
      </w:r>
    </w:p>
    <w:p w:rsidR="00B27586" w:rsidRPr="00366E2A" w:rsidRDefault="00B27586" w:rsidP="00B27586">
      <w:pPr>
        <w:spacing w:after="240"/>
        <w:ind w:left="567" w:hanging="567"/>
      </w:pPr>
      <w:r w:rsidRPr="00366E2A">
        <w:t>4.</w:t>
      </w:r>
      <w:r w:rsidRPr="00366E2A">
        <w:tab/>
        <w:t>отбелязва със задоволство, че Агенцията е обърнала специално внимание на преразглеждането на договорите, при които съществуват рискове от зависимост от Русия, което включва задълбочен анализ на клаузите, технологичната информация, веригите на доставки, наличието на алтернативни горива и оперативната автономност на предприятията за комунални услуги при съществуващите запаси от горива; приветства факта, че Агенцията е предприела стъпки за опростяване на процеса на представяне на договори, като същевременно поддържа високо равнище на сигурност, и че специални сигурни ИТ инструменти са улеснили дистанционното попълване и подаване; отбелязва, че в резултат на тези усилия през 2022 г. се е увеличил броят на подписаните по електронен път актове, които са в съответствие с разпоредбите относно идентификацията при електронни трансакции на единния пазар;</w:t>
      </w:r>
    </w:p>
    <w:p w:rsidR="00B27586" w:rsidRPr="00366E2A" w:rsidRDefault="00B27586" w:rsidP="00B27586">
      <w:pPr>
        <w:spacing w:after="240"/>
        <w:ind w:left="567" w:hanging="567"/>
        <w:rPr>
          <w:szCs w:val="24"/>
        </w:rPr>
      </w:pPr>
      <w:r w:rsidRPr="00366E2A">
        <w:t>5.</w:t>
      </w:r>
      <w:r w:rsidRPr="00366E2A">
        <w:tab/>
        <w:t>отбелязва, че Агенцията, в съответствие със своите стратегически цели и политиките на Комисията, е имала за цел да разпредели източниците на доставки в ядрения горивен цикъл за енергийни и неенергийни цели, допринасяйки за сигурността на доставките в средносрочен и дългосрочен план;</w:t>
      </w:r>
    </w:p>
    <w:p w:rsidR="00B27586" w:rsidRPr="00366E2A" w:rsidRDefault="00B27586" w:rsidP="00B27586">
      <w:pPr>
        <w:spacing w:after="240"/>
        <w:ind w:left="567" w:hanging="567"/>
        <w:rPr>
          <w:szCs w:val="24"/>
        </w:rPr>
      </w:pPr>
      <w:r w:rsidRPr="00366E2A">
        <w:t>6.</w:t>
      </w:r>
      <w:r w:rsidRPr="00366E2A">
        <w:tab/>
        <w:t>отбелязва, че Агенцията отговаря за наблюдението на пазара с цел идентифициране на тенденции, които биха могли да засегнат сигурността на доставките на ядрени материали и услуги в Съюза; отбелязва освен това, че в своя годишен доклад Агенцията е публикувала анализ на пазара, предоставила е информация относно европейския и световния ядрен пазар и е споделила информация и знания с други международни организации за анализ на пазара;</w:t>
      </w:r>
    </w:p>
    <w:p w:rsidR="00B27586" w:rsidRPr="00366E2A" w:rsidRDefault="00B27586" w:rsidP="00B27586">
      <w:pPr>
        <w:pStyle w:val="NormalHanging12a"/>
      </w:pPr>
      <w:r w:rsidRPr="00366E2A">
        <w:t>7.</w:t>
      </w:r>
      <w:r w:rsidRPr="00366E2A">
        <w:tab/>
        <w:t xml:space="preserve">приветства факта, че през 2022 г. Агенцията е ръководила действията за осигуряване на доставките на изходни материали за медицинските </w:t>
      </w:r>
      <w:proofErr w:type="spellStart"/>
      <w:r w:rsidRPr="00366E2A">
        <w:t>радиоизотопи</w:t>
      </w:r>
      <w:proofErr w:type="spellEnd"/>
      <w:r w:rsidRPr="00366E2A">
        <w:t xml:space="preserve">, като е допринесла за изпълнението на Стратегическата програма за приложенията на йонизиращите лъчения в медицината (SAMIRA), и е ръководила Европейската обсерватория за снабдяване с </w:t>
      </w:r>
      <w:proofErr w:type="spellStart"/>
      <w:r w:rsidRPr="00366E2A">
        <w:t>радиоизотопи</w:t>
      </w:r>
      <w:proofErr w:type="spellEnd"/>
      <w:r w:rsidRPr="00366E2A">
        <w:t xml:space="preserve"> за медицински цели;</w:t>
      </w:r>
    </w:p>
    <w:p w:rsidR="00B27586" w:rsidRPr="00366E2A" w:rsidRDefault="00B27586" w:rsidP="00B27586">
      <w:pPr>
        <w:spacing w:after="240"/>
        <w:ind w:left="567" w:hanging="567"/>
        <w:rPr>
          <w:szCs w:val="24"/>
        </w:rPr>
      </w:pPr>
      <w:r w:rsidRPr="00366E2A">
        <w:t>8.</w:t>
      </w:r>
      <w:r w:rsidRPr="00366E2A">
        <w:tab/>
        <w:t xml:space="preserve">приветства усилията на Агенцията за сътрудничество с партньори и заинтересовани страни за укрепване на сигурността на доставките на ядрени материали предвид незаконното и </w:t>
      </w:r>
      <w:proofErr w:type="spellStart"/>
      <w:r w:rsidRPr="00366E2A">
        <w:t>непровокирано</w:t>
      </w:r>
      <w:proofErr w:type="spellEnd"/>
      <w:r w:rsidRPr="00366E2A">
        <w:t xml:space="preserve"> нашествие на Русия в Украйна;</w:t>
      </w:r>
    </w:p>
    <w:p w:rsidR="00B27586" w:rsidRPr="00366E2A" w:rsidRDefault="00B27586" w:rsidP="00B27586">
      <w:pPr>
        <w:spacing w:after="240"/>
        <w:ind w:left="567" w:hanging="567"/>
        <w:rPr>
          <w:b/>
          <w:i/>
          <w:szCs w:val="24"/>
        </w:rPr>
      </w:pPr>
      <w:r w:rsidRPr="00366E2A">
        <w:rPr>
          <w:b/>
          <w:i/>
        </w:rPr>
        <w:lastRenderedPageBreak/>
        <w:t>Ефикасност и успехи</w:t>
      </w:r>
    </w:p>
    <w:p w:rsidR="00B27586" w:rsidRPr="00366E2A" w:rsidRDefault="00B27586" w:rsidP="00B27586">
      <w:pPr>
        <w:spacing w:after="240"/>
        <w:ind w:left="567" w:hanging="567"/>
        <w:rPr>
          <w:szCs w:val="24"/>
        </w:rPr>
      </w:pPr>
      <w:r w:rsidRPr="00366E2A">
        <w:t>9.</w:t>
      </w:r>
      <w:r w:rsidRPr="00366E2A">
        <w:tab/>
        <w:t>отбелязва, че Агенцията е работила в тясно сътрудничество с Комисията за насърчаване на диверсификацията на доставките; отбелязва освен това, че Агенцията има отдавна установени отношения в областта на ядрената енергия с Международната агенция за атомна енергия и Агенцията за ядрена енергия към Организацията за икономическо сътрудничество и развитие; посочва хоризонталните ползи от съвместната работа и адаптирането на най-добрите практики, както и това, че съвместните инициативи обединяват различни гледни точки, намаляват дублирането на усилия, подобряват ученето и укрепват отношенията между участниците;</w:t>
      </w:r>
    </w:p>
    <w:p w:rsidR="00B27586" w:rsidRPr="00366E2A" w:rsidRDefault="00B27586" w:rsidP="00B27586">
      <w:pPr>
        <w:spacing w:after="240"/>
        <w:ind w:left="567" w:hanging="567"/>
        <w:rPr>
          <w:szCs w:val="24"/>
        </w:rPr>
      </w:pPr>
      <w:r w:rsidRPr="00366E2A">
        <w:t>10.</w:t>
      </w:r>
      <w:r w:rsidRPr="00366E2A">
        <w:tab/>
        <w:t>отбелязва, че Агенцията разработва информационната система NOEMI, за да даде възможност за пълна цифрова обработка на договорите за доставка на ядрена енергия и пазарна информация в пълно съответствие с правилата за защита на информацията, и успоредно с това работи за разширяване на своя аналитичен капацитет във връзка с наличните данни;</w:t>
      </w:r>
    </w:p>
    <w:p w:rsidR="00B27586" w:rsidRPr="00366E2A" w:rsidRDefault="00B27586" w:rsidP="00B27586">
      <w:pPr>
        <w:spacing w:after="240"/>
        <w:ind w:left="567" w:hanging="567"/>
        <w:rPr>
          <w:szCs w:val="24"/>
        </w:rPr>
      </w:pPr>
      <w:r w:rsidRPr="00366E2A">
        <w:t>11.</w:t>
      </w:r>
      <w:r w:rsidRPr="00366E2A">
        <w:tab/>
        <w:t>отбелязва, че Агенцията е положила усилия да повиши ефективността и да преразпредели човешки ресурси към новите предстоящи задачи и предизвикателства; отбелязва, че по-нататъшно повишаване на ефективността би било възможно единствено чрез използване на полезни взаимодействия и подкрепа от Комисията чрез предоставяне на специализирани помощни функции, разширяване на използването на корпоративни инструменти и увеличаване на средствата за разработване на информационните технологии на NOEMI; приканва Агенцията да набележи и други вътрешни процедури, които биха могли да бъдат рационализирани чрез ИТ инструменти;</w:t>
      </w:r>
    </w:p>
    <w:p w:rsidR="00B27586" w:rsidRPr="00366E2A" w:rsidRDefault="00B27586" w:rsidP="00B27586">
      <w:pPr>
        <w:pStyle w:val="NormalHanging12a"/>
      </w:pPr>
      <w:r w:rsidRPr="00366E2A">
        <w:t>12.</w:t>
      </w:r>
      <w:r w:rsidRPr="00366E2A">
        <w:tab/>
        <w:t xml:space="preserve">припомня, че е важно да се увеличи цифровизацията на Агенцията във връзка с вътрешното функциониране и управление, но също така и с цел ускоряване на цифровизацията на процедурите; подчертава необходимостта Агенцията да продължи да бъде проактивна в това отношение, за да се избегне цифрово разделение между агенциите; при все това обръща внимание, че трябва да се предприемат необходимите мерки за сигурност, за да се избегне всякакъв риск за онлайн сигурността на обработваната информация; настоява за засилване на борбата срещу </w:t>
      </w:r>
      <w:proofErr w:type="spellStart"/>
      <w:r w:rsidRPr="00366E2A">
        <w:t>кибератаките</w:t>
      </w:r>
      <w:proofErr w:type="spellEnd"/>
      <w:r w:rsidRPr="00366E2A">
        <w:t xml:space="preserve"> и опитите за проникване, и по-специално тези, които идват от Русия или от Китай;</w:t>
      </w:r>
    </w:p>
    <w:p w:rsidR="00B27586" w:rsidRPr="00366E2A" w:rsidRDefault="00B27586" w:rsidP="00B27586">
      <w:pPr>
        <w:spacing w:after="240"/>
        <w:ind w:left="567" w:hanging="567"/>
        <w:rPr>
          <w:b/>
          <w:i/>
          <w:szCs w:val="24"/>
        </w:rPr>
      </w:pPr>
      <w:r w:rsidRPr="00366E2A">
        <w:rPr>
          <w:b/>
          <w:i/>
        </w:rPr>
        <w:t>Политика относно персонала</w:t>
      </w:r>
    </w:p>
    <w:p w:rsidR="00B27586" w:rsidRPr="00366E2A" w:rsidRDefault="00B27586" w:rsidP="00B27586">
      <w:pPr>
        <w:spacing w:after="240"/>
        <w:ind w:left="567" w:hanging="567"/>
        <w:rPr>
          <w:szCs w:val="24"/>
        </w:rPr>
      </w:pPr>
      <w:r w:rsidRPr="00366E2A">
        <w:t>13.</w:t>
      </w:r>
      <w:r w:rsidRPr="00366E2A">
        <w:tab/>
        <w:t>отбелязва, че към 31 декември 2022 г. щатното разписание е било запълнено на 100 % със 17 постоянни длъжности, 8 администратори, 7 длъжности за асистенти и 2 длъжности за асистент/секретар; отбелязва освен това, че по-високият от разрешения брой администратори се дължи на промяната на една асистентска позиция в позиция за администратор, разрешена от Комисията;</w:t>
      </w:r>
    </w:p>
    <w:p w:rsidR="00B27586" w:rsidRPr="00366E2A" w:rsidRDefault="00B27586" w:rsidP="00B27586">
      <w:pPr>
        <w:spacing w:after="240"/>
        <w:ind w:left="567" w:hanging="567"/>
        <w:rPr>
          <w:szCs w:val="24"/>
        </w:rPr>
      </w:pPr>
      <w:r w:rsidRPr="00366E2A">
        <w:t>14.</w:t>
      </w:r>
      <w:r w:rsidRPr="00366E2A">
        <w:tab/>
        <w:t>припомня трудностите на Агенцията да намери асистенти на по-ниски степени, предвид изисквания специализиран профил и свързаните с него нива на заплащане, в сравнение с издръжката на живота в Люксембург; отбелязва обаче, че въпреки усилията, през 2022 г. Агенцията е назначила 2 срочно наети служители на постоянни длъжности (1 асистент и 1 асистент/секретар);</w:t>
      </w:r>
    </w:p>
    <w:p w:rsidR="00B27586" w:rsidRPr="00366E2A" w:rsidRDefault="00B27586" w:rsidP="00B27586">
      <w:pPr>
        <w:spacing w:after="240"/>
        <w:ind w:left="567" w:hanging="567"/>
        <w:rPr>
          <w:szCs w:val="24"/>
        </w:rPr>
      </w:pPr>
      <w:r w:rsidRPr="00366E2A">
        <w:lastRenderedPageBreak/>
        <w:t>15.</w:t>
      </w:r>
      <w:r w:rsidRPr="00366E2A">
        <w:tab/>
        <w:t>отбелязва, че Агенцията е докладвала, че съотношението между половете за персонала като цяло е 59 % жени и 41 % мъже, което демонстрира политика за равни възможности;</w:t>
      </w:r>
    </w:p>
    <w:p w:rsidR="00B27586" w:rsidRPr="00366E2A" w:rsidRDefault="00B27586" w:rsidP="00B27586">
      <w:pPr>
        <w:pStyle w:val="NormalHanging12a"/>
      </w:pPr>
      <w:r w:rsidRPr="00366E2A">
        <w:t>16.</w:t>
      </w:r>
      <w:r w:rsidRPr="00366E2A">
        <w:tab/>
        <w:t>припомня значението на разработването на дългосрочна политика в областта на човешките ресурси за осигуряването на баланс между професионалния и личния живот, професионалното ориентиране през целия живот и предлагането на специфични възможности за обучение за професионално развитие, баланса между половете на всички професионални равнища, работата от разстояние, правото на откъсване от работната среда, подобряването на географския баланс с цел обезпечаване на подходящо представителство на всички държави членки и наемането и интегрирането на лица с увреждания и насърчаването на тяхното равно третиране и възможности;</w:t>
      </w:r>
    </w:p>
    <w:p w:rsidR="00B27586" w:rsidRPr="00366E2A" w:rsidRDefault="00B27586" w:rsidP="00B27586">
      <w:pPr>
        <w:spacing w:after="240"/>
        <w:ind w:left="567" w:hanging="567"/>
        <w:rPr>
          <w:b/>
          <w:i/>
          <w:szCs w:val="24"/>
        </w:rPr>
      </w:pPr>
      <w:r w:rsidRPr="00366E2A">
        <w:rPr>
          <w:b/>
          <w:i/>
        </w:rPr>
        <w:t>Обществени поръчки</w:t>
      </w:r>
    </w:p>
    <w:p w:rsidR="00B27586" w:rsidRPr="00366E2A" w:rsidRDefault="00B27586" w:rsidP="00B27586">
      <w:pPr>
        <w:spacing w:after="240"/>
        <w:ind w:left="567" w:hanging="567"/>
        <w:rPr>
          <w:rFonts w:eastAsia="Calibri"/>
          <w:szCs w:val="24"/>
        </w:rPr>
      </w:pPr>
      <w:r w:rsidRPr="00366E2A">
        <w:t>17.</w:t>
      </w:r>
      <w:r w:rsidRPr="00366E2A">
        <w:tab/>
        <w:t>отбелязва въз основа на доклада на Палатата констатацията, че Агенцията систематично е възлагала договори с ниска стойност (под 15 000 EUR), без да е изготвяла съответните доклади за оценка и решения за възлагане, което е в противоречие с точки 30.3 и 30.4 от приложение I към Финансовия регламент; отбелязва освен това въз основа на отговора на Агенцията, че тя взема предвид препоръката и ще предостави подходящи насоки на целия персонал, участващ във възлагането на обществени поръчки и финансовото управление; призовава Агенцията да подобри своите процедури за възлагане на обществени поръчки, за да осигури пълно спазване на приложимите правила, така че да се постига най-добро съотношение между цена и качество,</w:t>
      </w:r>
    </w:p>
    <w:p w:rsidR="00B27586" w:rsidRPr="00366E2A" w:rsidRDefault="00B27586" w:rsidP="00B27586">
      <w:pPr>
        <w:spacing w:after="240"/>
        <w:ind w:left="567" w:hanging="567"/>
        <w:rPr>
          <w:b/>
          <w:i/>
          <w:szCs w:val="24"/>
        </w:rPr>
      </w:pPr>
      <w:r w:rsidRPr="00366E2A">
        <w:rPr>
          <w:b/>
          <w:i/>
        </w:rPr>
        <w:t>Други коментари</w:t>
      </w:r>
    </w:p>
    <w:p w:rsidR="00B27586" w:rsidRPr="00366E2A" w:rsidRDefault="00B27586" w:rsidP="00B27586">
      <w:pPr>
        <w:spacing w:after="240"/>
        <w:ind w:left="567" w:hanging="567"/>
        <w:rPr>
          <w:szCs w:val="24"/>
        </w:rPr>
      </w:pPr>
      <w:r w:rsidRPr="00366E2A">
        <w:t>18.</w:t>
      </w:r>
      <w:r w:rsidRPr="00366E2A">
        <w:tab/>
        <w:t>отбелязва, че Агенцията е подобрила сигурността на достъпа до своите помещения и че всички служители и всички външни изпълнители притежават разрешение за достъп;</w:t>
      </w:r>
    </w:p>
    <w:p w:rsidR="00B27586" w:rsidRPr="00366E2A" w:rsidRDefault="00B27586" w:rsidP="00B27586">
      <w:pPr>
        <w:spacing w:after="240"/>
        <w:ind w:left="567" w:hanging="567"/>
        <w:rPr>
          <w:szCs w:val="24"/>
        </w:rPr>
      </w:pPr>
      <w:r w:rsidRPr="00366E2A">
        <w:t>19.</w:t>
      </w:r>
      <w:r w:rsidRPr="00366E2A">
        <w:tab/>
        <w:t>отбелязва, че информационната система NOEMI е била подложена на оценка на уязвимостта, която трябва да се повтаря след всяка фаза на разработване или след изпълнението на всички препоръки;</w:t>
      </w:r>
    </w:p>
    <w:p w:rsidR="00B27586" w:rsidRPr="00366E2A" w:rsidRDefault="00B27586" w:rsidP="00B27586">
      <w:pPr>
        <w:spacing w:after="240"/>
        <w:ind w:left="567" w:hanging="567"/>
        <w:rPr>
          <w:szCs w:val="24"/>
        </w:rPr>
      </w:pPr>
      <w:r w:rsidRPr="00366E2A">
        <w:t>20.</w:t>
      </w:r>
      <w:r w:rsidRPr="00366E2A">
        <w:tab/>
        <w:t>отбелязва със задоволство, че Агенцията е участвала в Световния симпозиум по въпросите на ядрената енергетика в Лондон през септември 2022 г., като е изпратила ясно послание до участващите водещи лидери, експерти и ръководители от ядрената промишленост относно необходимостта от справяне с рисковете, свързани с новата структура на пазара; отбелязва освен това, че анализът на пазара и перспективите на Агенцията бяха представени на Варшавския форум по сигурността и на Световния форум за цикъла на ядреното гориво; те също така бяха представени на първата международна конференция по ядрено право и на европейската конференция за научноизследователските реактори; отбелязва освен това, че Агенцията е имала принос за прояви на Европейското ядрено общество;</w:t>
      </w:r>
    </w:p>
    <w:p w:rsidR="00B27586" w:rsidRPr="00366E2A" w:rsidRDefault="00B27586" w:rsidP="00B27586">
      <w:pPr>
        <w:spacing w:after="240"/>
        <w:ind w:left="567" w:hanging="567"/>
        <w:rPr>
          <w:szCs w:val="24"/>
        </w:rPr>
      </w:pPr>
      <w:r w:rsidRPr="00366E2A">
        <w:t>21.</w:t>
      </w:r>
      <w:r w:rsidRPr="00366E2A">
        <w:tab/>
        <w:t xml:space="preserve">отбелязва, че Агенцията не издава екологична декларация и не е въвела Схема за управление по околна среда и одит (EMAS); насърчава Агенцията да докладва </w:t>
      </w:r>
      <w:r w:rsidRPr="00366E2A">
        <w:lastRenderedPageBreak/>
        <w:t>относно своите резултати в областта на климата, енергетиката и околната среда и освен това да приложи EMAS;</w:t>
      </w:r>
    </w:p>
    <w:p w:rsidR="00B27586" w:rsidRPr="00366E2A" w:rsidRDefault="00B27586" w:rsidP="00B27586">
      <w:pPr>
        <w:pStyle w:val="NormalCenter12a"/>
      </w:pPr>
      <w:r w:rsidRPr="00366E2A">
        <w:t>°</w:t>
      </w:r>
    </w:p>
    <w:p w:rsidR="00B27586" w:rsidRPr="00366E2A" w:rsidRDefault="00B27586" w:rsidP="00B27586">
      <w:pPr>
        <w:pStyle w:val="NormalCenter12a"/>
      </w:pPr>
      <w:r w:rsidRPr="00366E2A">
        <w:t>°</w:t>
      </w:r>
      <w:r w:rsidRPr="00366E2A">
        <w:tab/>
        <w:t>°</w:t>
      </w:r>
    </w:p>
    <w:p w:rsidR="00B27586" w:rsidRPr="00366E2A" w:rsidRDefault="00B27586" w:rsidP="00B27586">
      <w:pPr>
        <w:pStyle w:val="NormalHanging12a"/>
        <w:widowControl/>
      </w:pPr>
      <w:r w:rsidRPr="00366E2A">
        <w:t>22.</w:t>
      </w:r>
      <w:r w:rsidRPr="00366E2A">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D2078E">
        <w:t>11 април 2024 г.</w:t>
      </w:r>
      <w:r w:rsidRPr="00366E2A">
        <w:t xml:space="preserve"> </w:t>
      </w:r>
      <w:r w:rsidRPr="00366E2A">
        <w:rPr>
          <w:vertAlign w:val="superscript"/>
        </w:rPr>
        <w:footnoteReference w:id="9"/>
      </w:r>
      <w:r w:rsidR="00D2078E">
        <w:t xml:space="preserve"> </w:t>
      </w:r>
      <w:r w:rsidRPr="00366E2A">
        <w:t>относно резултатите от дейността, финансовото управление и контрола на агенциите.</w:t>
      </w:r>
    </w:p>
    <w:p w:rsidR="00B27586" w:rsidRPr="00366E2A" w:rsidRDefault="00B27586" w:rsidP="00B27586"/>
    <w:p w:rsidR="00E365E1" w:rsidRPr="00366E2A" w:rsidRDefault="00E365E1" w:rsidP="00B27586">
      <w:bookmarkStart w:id="11" w:name="TextBodyEnd"/>
      <w:bookmarkEnd w:id="11"/>
    </w:p>
    <w:sectPr w:rsidR="00E365E1" w:rsidRPr="00366E2A" w:rsidSect="00366E2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A34" w:rsidRPr="00366E2A" w:rsidRDefault="00125A34">
      <w:r w:rsidRPr="00366E2A">
        <w:separator/>
      </w:r>
    </w:p>
  </w:endnote>
  <w:endnote w:type="continuationSeparator" w:id="0">
    <w:p w:rsidR="00125A34" w:rsidRPr="00366E2A" w:rsidRDefault="00125A34">
      <w:r w:rsidRPr="00366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86" w:rsidRPr="00366E2A" w:rsidRDefault="00B27586" w:rsidP="00F643D1">
    <w:pPr>
      <w:pStyle w:val="EPFooter"/>
    </w:pPr>
    <w:r w:rsidRPr="00366E2A">
      <w:t>PE</w:t>
    </w:r>
    <w:r w:rsidRPr="00366E2A">
      <w:rPr>
        <w:rStyle w:val="HideTWBExt"/>
      </w:rPr>
      <w:t>&lt;NoPE&gt;</w:t>
    </w:r>
    <w:r w:rsidRPr="00366E2A">
      <w:t>753.529</w:t>
    </w:r>
    <w:r w:rsidRPr="00366E2A">
      <w:rPr>
        <w:rStyle w:val="HideTWBExt"/>
      </w:rPr>
      <w:t>&lt;/NoPE&gt;&lt;Version&gt;</w:t>
    </w:r>
    <w:r w:rsidRPr="00366E2A">
      <w:t>v02-00</w:t>
    </w:r>
    <w:r w:rsidRPr="00366E2A">
      <w:rPr>
        <w:rStyle w:val="HideTWBExt"/>
      </w:rPr>
      <w:t>&lt;/Version&gt;</w:t>
    </w:r>
    <w:r w:rsidRPr="00366E2A">
      <w:tab/>
    </w:r>
    <w:r w:rsidRPr="00366E2A">
      <w:fldChar w:fldCharType="begin"/>
    </w:r>
    <w:r w:rsidRPr="00366E2A">
      <w:instrText xml:space="preserve"> PAGE  \* MERGEFORMAT </w:instrText>
    </w:r>
    <w:r w:rsidRPr="00366E2A">
      <w:fldChar w:fldCharType="separate"/>
    </w:r>
    <w:r w:rsidR="00366E2A" w:rsidRPr="00366E2A">
      <w:rPr>
        <w:noProof/>
      </w:rPr>
      <w:t>4</w:t>
    </w:r>
    <w:r w:rsidRPr="00366E2A">
      <w:fldChar w:fldCharType="end"/>
    </w:r>
    <w:r w:rsidRPr="00366E2A">
      <w:t>/</w:t>
    </w:r>
    <w:r w:rsidR="0034151A">
      <w:fldChar w:fldCharType="begin"/>
    </w:r>
    <w:r w:rsidR="0034151A">
      <w:instrText xml:space="preserve"> NUMPAGES  \* MERGEFORMAT </w:instrText>
    </w:r>
    <w:r w:rsidR="0034151A">
      <w:fldChar w:fldCharType="separate"/>
    </w:r>
    <w:r w:rsidR="00366E2A" w:rsidRPr="00366E2A">
      <w:rPr>
        <w:noProof/>
      </w:rPr>
      <w:t>8</w:t>
    </w:r>
    <w:r w:rsidR="0034151A">
      <w:rPr>
        <w:noProof/>
      </w:rPr>
      <w:fldChar w:fldCharType="end"/>
    </w:r>
    <w:r w:rsidRPr="00366E2A">
      <w:tab/>
    </w:r>
    <w:r w:rsidRPr="00366E2A">
      <w:rPr>
        <w:rStyle w:val="HideTWBExt"/>
      </w:rPr>
      <w:t>&lt;PathFdR&gt;</w:t>
    </w:r>
    <w:r w:rsidRPr="00366E2A">
      <w:t>RR\1298833BG.docx</w:t>
    </w:r>
    <w:r w:rsidRPr="00366E2A">
      <w:rPr>
        <w:rStyle w:val="HideTWBExt"/>
      </w:rPr>
      <w:t>&lt;/PathFdR&gt;</w:t>
    </w:r>
  </w:p>
  <w:p w:rsidR="00B27586" w:rsidRPr="00366E2A" w:rsidRDefault="00B27586" w:rsidP="00F643D1">
    <w:pPr>
      <w:pStyle w:val="EPFooter2"/>
    </w:pPr>
    <w:r w:rsidRPr="00366E2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86" w:rsidRPr="00366E2A" w:rsidRDefault="00B27586" w:rsidP="00F643D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86" w:rsidRPr="00366E2A" w:rsidRDefault="00B27586" w:rsidP="00F643D1">
    <w:pPr>
      <w:pStyle w:val="EPFooter"/>
    </w:pPr>
    <w:r w:rsidRPr="00366E2A">
      <w:rPr>
        <w:rStyle w:val="HideTWBExt"/>
      </w:rPr>
      <w:t>&lt;PathFdR&gt;</w:t>
    </w:r>
    <w:r w:rsidRPr="00366E2A">
      <w:t>RR\1298833BG.docx</w:t>
    </w:r>
    <w:r w:rsidRPr="00366E2A">
      <w:rPr>
        <w:rStyle w:val="HideTWBExt"/>
      </w:rPr>
      <w:t>&lt;/PathFdR&gt;</w:t>
    </w:r>
    <w:r w:rsidRPr="00366E2A">
      <w:tab/>
    </w:r>
    <w:r w:rsidRPr="00366E2A">
      <w:tab/>
      <w:t>PE</w:t>
    </w:r>
    <w:r w:rsidRPr="00366E2A">
      <w:rPr>
        <w:rStyle w:val="HideTWBExt"/>
      </w:rPr>
      <w:t>&lt;NoPE&gt;</w:t>
    </w:r>
    <w:r w:rsidRPr="00366E2A">
      <w:t>753.529</w:t>
    </w:r>
    <w:r w:rsidRPr="00366E2A">
      <w:rPr>
        <w:rStyle w:val="HideTWBExt"/>
      </w:rPr>
      <w:t>&lt;/NoPE&gt;&lt;Version&gt;</w:t>
    </w:r>
    <w:r w:rsidRPr="00366E2A">
      <w:t>v02-00</w:t>
    </w:r>
    <w:r w:rsidRPr="00366E2A">
      <w:rPr>
        <w:rStyle w:val="HideTWBExt"/>
      </w:rPr>
      <w:t>&lt;/Version&gt;</w:t>
    </w:r>
  </w:p>
  <w:p w:rsidR="00B27586" w:rsidRPr="00366E2A" w:rsidRDefault="00B27586" w:rsidP="00F643D1">
    <w:pPr>
      <w:pStyle w:val="EPFooter2"/>
    </w:pPr>
    <w:r w:rsidRPr="00366E2A">
      <w:t>BG</w:t>
    </w:r>
    <w:r w:rsidRPr="00366E2A">
      <w:tab/>
    </w:r>
    <w:r w:rsidRPr="00366E2A">
      <w:rPr>
        <w:b w:val="0"/>
        <w:i/>
        <w:color w:val="C0C0C0"/>
        <w:sz w:val="22"/>
      </w:rPr>
      <w:t>Единство в многообразието</w:t>
    </w:r>
    <w:r w:rsidRPr="00366E2A">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E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E2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E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A34" w:rsidRPr="00366E2A" w:rsidRDefault="00125A34">
      <w:r w:rsidRPr="00366E2A">
        <w:separator/>
      </w:r>
    </w:p>
  </w:footnote>
  <w:footnote w:type="continuationSeparator" w:id="0">
    <w:p w:rsidR="00125A34" w:rsidRPr="00366E2A" w:rsidRDefault="00125A34">
      <w:r w:rsidRPr="00366E2A">
        <w:continuationSeparator/>
      </w:r>
    </w:p>
  </w:footnote>
  <w:footnote w:id="1">
    <w:p w:rsidR="00B27586" w:rsidRPr="00366E2A" w:rsidRDefault="00B27586" w:rsidP="00366E2A">
      <w:pPr>
        <w:pStyle w:val="FootnoteText"/>
        <w:ind w:left="567" w:hanging="567"/>
        <w:rPr>
          <w:sz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ОВ C, C/2023/594, 27.10.2023 г.</w:t>
      </w:r>
    </w:p>
  </w:footnote>
  <w:footnote w:id="2">
    <w:p w:rsidR="00B27586" w:rsidRPr="00366E2A" w:rsidRDefault="00B27586" w:rsidP="00366E2A">
      <w:pPr>
        <w:pStyle w:val="FootnoteText"/>
        <w:ind w:left="567" w:hanging="567"/>
        <w:rPr>
          <w:sz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ОВ C, C/2023/112, 12.10.2023 г.</w:t>
      </w:r>
    </w:p>
  </w:footnote>
  <w:footnote w:id="3">
    <w:p w:rsidR="00B27586" w:rsidRPr="00366E2A" w:rsidRDefault="00B27586" w:rsidP="00366E2A">
      <w:pPr>
        <w:pStyle w:val="FootnoteText"/>
        <w:ind w:left="567" w:hanging="567"/>
        <w:rPr>
          <w:sz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OВ L 193, 30.7.2018 г., стр. 1.</w:t>
      </w:r>
    </w:p>
  </w:footnote>
  <w:footnote w:id="4">
    <w:p w:rsidR="00B27586" w:rsidRPr="00366E2A" w:rsidRDefault="00B27586" w:rsidP="00366E2A">
      <w:pPr>
        <w:pStyle w:val="FootnoteText"/>
        <w:ind w:left="567" w:hanging="567"/>
        <w:rPr>
          <w:sz w:val="24"/>
          <w:szCs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ОВ L 41, 15.2.2008 г., стр. 15.</w:t>
      </w:r>
    </w:p>
  </w:footnote>
  <w:footnote w:id="5">
    <w:p w:rsidR="00B27586" w:rsidRPr="00366E2A" w:rsidRDefault="00B27586" w:rsidP="00366E2A">
      <w:pPr>
        <w:pStyle w:val="FootnoteText"/>
        <w:ind w:left="567" w:hanging="567"/>
        <w:rPr>
          <w:sz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ОВ C, C/2023/594, 27.10.2023 г.</w:t>
      </w:r>
    </w:p>
  </w:footnote>
  <w:footnote w:id="6">
    <w:p w:rsidR="00B27586" w:rsidRPr="00366E2A" w:rsidRDefault="00B27586" w:rsidP="00366E2A">
      <w:pPr>
        <w:pStyle w:val="FootnoteText"/>
        <w:ind w:left="567" w:hanging="567"/>
        <w:rPr>
          <w:sz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ОВ C, C/2023/112, 12.10.2023 г.</w:t>
      </w:r>
    </w:p>
  </w:footnote>
  <w:footnote w:id="7">
    <w:p w:rsidR="00B27586" w:rsidRPr="00366E2A" w:rsidRDefault="00B27586" w:rsidP="00366E2A">
      <w:pPr>
        <w:pStyle w:val="FootnoteText"/>
        <w:ind w:left="567" w:hanging="567"/>
        <w:rPr>
          <w:sz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OВ L 193, 30.7.2018 г., стр. 1.</w:t>
      </w:r>
    </w:p>
  </w:footnote>
  <w:footnote w:id="8">
    <w:p w:rsidR="00B27586" w:rsidRPr="00366E2A" w:rsidRDefault="00B27586" w:rsidP="00366E2A">
      <w:pPr>
        <w:pStyle w:val="FootnoteText"/>
        <w:ind w:left="567" w:hanging="567"/>
        <w:rPr>
          <w:sz w:val="24"/>
          <w:szCs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ОВ L 41, 15.2.2008 г., стр. 15.</w:t>
      </w:r>
    </w:p>
  </w:footnote>
  <w:footnote w:id="9">
    <w:p w:rsidR="00B27586" w:rsidRPr="00366E2A" w:rsidRDefault="00B27586" w:rsidP="00366E2A">
      <w:pPr>
        <w:pStyle w:val="FootnoteText"/>
        <w:ind w:left="567" w:hanging="567"/>
        <w:rPr>
          <w:sz w:val="24"/>
          <w:lang w:val="bg-BG"/>
        </w:rPr>
      </w:pPr>
      <w:r w:rsidRPr="00366E2A">
        <w:rPr>
          <w:rStyle w:val="FootnoteReference"/>
          <w:sz w:val="24"/>
          <w:lang w:val="bg-BG"/>
        </w:rPr>
        <w:footnoteRef/>
      </w:r>
      <w:r w:rsidR="00366E2A" w:rsidRPr="00366E2A">
        <w:rPr>
          <w:sz w:val="24"/>
          <w:lang w:val="bg-BG"/>
        </w:rPr>
        <w:t xml:space="preserve"> </w:t>
      </w:r>
      <w:r w:rsidR="00366E2A" w:rsidRPr="00366E2A">
        <w:rPr>
          <w:sz w:val="24"/>
          <w:lang w:val="bg-BG"/>
        </w:rPr>
        <w:tab/>
      </w:r>
      <w:r w:rsidRPr="00366E2A">
        <w:rPr>
          <w:sz w:val="24"/>
          <w:lang w:val="bg-BG"/>
        </w:rPr>
        <w:t>Приети текстове, P9_TA(2024)</w:t>
      </w:r>
      <w:r w:rsidR="00234FD8" w:rsidRPr="00635445">
        <w:rPr>
          <w:sz w:val="24"/>
          <w:lang w:val="bg-BG"/>
        </w:rPr>
        <w:t>0</w:t>
      </w:r>
      <w:r w:rsidR="00234FD8">
        <w:rPr>
          <w:sz w:val="24"/>
          <w:lang w:val="en-GB"/>
        </w:rPr>
        <w:t>28</w:t>
      </w:r>
      <w:r w:rsidR="00234FD8" w:rsidRPr="00635445">
        <w:rPr>
          <w:sz w:val="24"/>
          <w:lang w:val="bg-BG"/>
        </w:rPr>
        <w:t>0</w:t>
      </w:r>
      <w:r w:rsidRPr="00366E2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86" w:rsidRPr="00366E2A" w:rsidRDefault="00B27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86" w:rsidRPr="00366E2A" w:rsidRDefault="00B27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86" w:rsidRPr="00366E2A" w:rsidRDefault="00B275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E2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E2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E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BG"/>
    <w:docVar w:name="dvnumam" w:val="0"/>
    <w:docVar w:name="dvpe" w:val="753.529"/>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за снабдяване към Евратом за финансовата 2022 година(2023/2161(DEC))"/>
  </w:docVars>
  <w:rsids>
    <w:rsidRoot w:val="00125A34"/>
    <w:rsid w:val="00002272"/>
    <w:rsid w:val="00064002"/>
    <w:rsid w:val="000677B9"/>
    <w:rsid w:val="000831BA"/>
    <w:rsid w:val="000A42CC"/>
    <w:rsid w:val="000E7DD9"/>
    <w:rsid w:val="0010095E"/>
    <w:rsid w:val="00125A34"/>
    <w:rsid w:val="00125B37"/>
    <w:rsid w:val="00187494"/>
    <w:rsid w:val="001F32AE"/>
    <w:rsid w:val="00234FD8"/>
    <w:rsid w:val="002767FF"/>
    <w:rsid w:val="002B18FE"/>
    <w:rsid w:val="002B5493"/>
    <w:rsid w:val="0034151A"/>
    <w:rsid w:val="00343214"/>
    <w:rsid w:val="00361C00"/>
    <w:rsid w:val="00366E2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586"/>
    <w:rsid w:val="00B558F0"/>
    <w:rsid w:val="00BD48FE"/>
    <w:rsid w:val="00BD7BD8"/>
    <w:rsid w:val="00BE6ADC"/>
    <w:rsid w:val="00C05BFE"/>
    <w:rsid w:val="00C23CD4"/>
    <w:rsid w:val="00C61C0C"/>
    <w:rsid w:val="00C941CB"/>
    <w:rsid w:val="00CC2357"/>
    <w:rsid w:val="00CE4A0A"/>
    <w:rsid w:val="00CF071A"/>
    <w:rsid w:val="00D058B8"/>
    <w:rsid w:val="00D2078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0C894"/>
  <w15:chartTrackingRefBased/>
  <w15:docId w15:val="{36A9D43C-001F-4267-B6F8-9E8282D93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75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7586"/>
    <w:pPr>
      <w:spacing w:before="480" w:after="240"/>
    </w:pPr>
  </w:style>
  <w:style w:type="paragraph" w:customStyle="1" w:styleId="PageHeading">
    <w:name w:val="PageHeading"/>
    <w:basedOn w:val="Normal"/>
    <w:rsid w:val="00B27586"/>
    <w:pPr>
      <w:keepNext/>
      <w:spacing w:after="480"/>
      <w:jc w:val="center"/>
    </w:pPr>
    <w:rPr>
      <w:rFonts w:ascii="Arial" w:hAnsi="Arial" w:cs="Arial"/>
      <w:b/>
    </w:rPr>
  </w:style>
  <w:style w:type="paragraph" w:customStyle="1" w:styleId="NormalBold">
    <w:name w:val="NormalBold"/>
    <w:basedOn w:val="Normal"/>
    <w:rsid w:val="00B27586"/>
    <w:rPr>
      <w:b/>
    </w:rPr>
  </w:style>
  <w:style w:type="paragraph" w:customStyle="1" w:styleId="NormalHanging12a">
    <w:name w:val="NormalHanging12a"/>
    <w:basedOn w:val="Normal"/>
    <w:link w:val="NormalHanging12aChar"/>
    <w:rsid w:val="00B27586"/>
    <w:pPr>
      <w:spacing w:after="240"/>
      <w:ind w:left="567" w:hanging="567"/>
    </w:pPr>
  </w:style>
  <w:style w:type="paragraph" w:customStyle="1" w:styleId="NormalCenter12a">
    <w:name w:val="NormalCenter12a"/>
    <w:basedOn w:val="Normal"/>
    <w:rsid w:val="00B27586"/>
    <w:pPr>
      <w:spacing w:after="240"/>
      <w:jc w:val="center"/>
    </w:pPr>
  </w:style>
  <w:style w:type="paragraph" w:styleId="Header">
    <w:name w:val="header"/>
    <w:basedOn w:val="Normal"/>
    <w:link w:val="HeaderChar"/>
    <w:rsid w:val="00B27586"/>
    <w:pPr>
      <w:tabs>
        <w:tab w:val="center" w:pos="4513"/>
        <w:tab w:val="right" w:pos="9026"/>
      </w:tabs>
    </w:pPr>
  </w:style>
  <w:style w:type="character" w:customStyle="1" w:styleId="HeaderChar">
    <w:name w:val="Header Char"/>
    <w:basedOn w:val="DefaultParagraphFont"/>
    <w:link w:val="Header"/>
    <w:rsid w:val="00B27586"/>
    <w:rPr>
      <w:sz w:val="24"/>
      <w:lang w:val="bg-BG"/>
    </w:rPr>
  </w:style>
  <w:style w:type="paragraph" w:customStyle="1" w:styleId="EPFooter">
    <w:name w:val="EPFooter"/>
    <w:basedOn w:val="Normal"/>
    <w:rsid w:val="00B2758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2758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005B0-FA18-4A91-8412-C8559070A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2518</Words>
  <Characters>14618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2024-04-11T11:09:00Z</dcterms:created>
  <dcterms:modified xsi:type="dcterms:W3CDTF">2024-04-11T11:09:00Z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A9-0108/2024</vt:lpwstr>
  </property>
  <property fmtid="{D5CDD505-2E9C-101B-9397-08002B2CF9AE}" pid="4" name="&lt;Type&gt;">
    <vt:lpwstr>RR</vt:lpwstr>
  </property>
</Properties>
</file>