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A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0A6C" w:rsidRDefault="00C61E4F" w:rsidP="0010095E">
            <w:pPr>
              <w:pStyle w:val="EPName"/>
            </w:pPr>
            <w:r w:rsidRPr="00D70A6C">
              <w:t>Evropský parlament</w:t>
            </w:r>
          </w:p>
          <w:p w:rsidR="00751A4A" w:rsidRPr="00D70A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0A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0A6C" w:rsidRDefault="00187494" w:rsidP="0010095E">
            <w:pPr>
              <w:pStyle w:val="EPLogo"/>
            </w:pPr>
            <w:r w:rsidRPr="00D70A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0A6C" w:rsidRDefault="00D058B8" w:rsidP="004C5D52">
      <w:pPr>
        <w:pStyle w:val="LineTop"/>
      </w:pPr>
    </w:p>
    <w:p w:rsidR="00680577" w:rsidRPr="00D70A6C" w:rsidRDefault="00C61E4F" w:rsidP="00680577">
      <w:pPr>
        <w:pStyle w:val="EPBodyTA1"/>
      </w:pPr>
      <w:r w:rsidRPr="00D70A6C">
        <w:t>PŘIJATÉ TEXTY</w:t>
      </w:r>
    </w:p>
    <w:p w:rsidR="00D058B8" w:rsidRPr="00D70A6C" w:rsidRDefault="00D058B8" w:rsidP="00D058B8">
      <w:pPr>
        <w:pStyle w:val="LineBottom"/>
      </w:pPr>
    </w:p>
    <w:p w:rsidR="00C61E4F" w:rsidRPr="00D70A6C" w:rsidRDefault="00C61E4F" w:rsidP="00C61E4F">
      <w:pPr>
        <w:pStyle w:val="ATHeading1"/>
      </w:pPr>
      <w:bookmarkStart w:id="0" w:name="TANumber"/>
      <w:r w:rsidRPr="00D70A6C">
        <w:t>P9_TA(2024)0</w:t>
      </w:r>
      <w:r w:rsidR="004777D2">
        <w:t>259</w:t>
      </w:r>
      <w:bookmarkEnd w:id="0"/>
    </w:p>
    <w:p w:rsidR="00C61E4F" w:rsidRPr="00D70A6C" w:rsidRDefault="00C61E4F" w:rsidP="00C61E4F">
      <w:pPr>
        <w:pStyle w:val="ATHeading2"/>
      </w:pPr>
      <w:bookmarkStart w:id="1" w:name="title"/>
      <w:r w:rsidRPr="00D70A6C">
        <w:t>Udělení absolutoria za rok 2022: Zásobovací agentura Euratomu</w:t>
      </w:r>
      <w:bookmarkEnd w:id="1"/>
    </w:p>
    <w:p w:rsidR="00C61E4F" w:rsidRPr="00D70A6C" w:rsidRDefault="00C61E4F" w:rsidP="00C61E4F">
      <w:pPr>
        <w:rPr>
          <w:i/>
          <w:vanish/>
        </w:rPr>
      </w:pPr>
      <w:r w:rsidRPr="00D70A6C">
        <w:rPr>
          <w:i/>
        </w:rPr>
        <w:fldChar w:fldCharType="begin"/>
      </w:r>
      <w:r w:rsidRPr="00D70A6C">
        <w:rPr>
          <w:i/>
        </w:rPr>
        <w:instrText xml:space="preserve"> TC"(</w:instrText>
      </w:r>
      <w:bookmarkStart w:id="2" w:name="DocNumber"/>
      <w:r w:rsidRPr="00D70A6C">
        <w:rPr>
          <w:i/>
        </w:rPr>
        <w:instrText>A9-0108/2024</w:instrText>
      </w:r>
      <w:bookmarkEnd w:id="2"/>
      <w:r w:rsidRPr="00D70A6C">
        <w:rPr>
          <w:i/>
        </w:rPr>
        <w:instrText xml:space="preserve"> - Zpravodaj: Petri Sarvamaa)"\l3 \n&gt; \* MERGEFORMAT </w:instrText>
      </w:r>
      <w:r w:rsidRPr="00D70A6C">
        <w:rPr>
          <w:i/>
        </w:rPr>
        <w:fldChar w:fldCharType="end"/>
      </w:r>
    </w:p>
    <w:p w:rsidR="00C61E4F" w:rsidRPr="00D70A6C" w:rsidRDefault="00C61E4F" w:rsidP="00C61E4F">
      <w:pPr>
        <w:rPr>
          <w:vanish/>
        </w:rPr>
      </w:pPr>
      <w:bookmarkStart w:id="3" w:name="Commission"/>
      <w:r w:rsidRPr="00D70A6C">
        <w:rPr>
          <w:vanish/>
        </w:rPr>
        <w:t>Výbor pro rozpočtovou kontrolu</w:t>
      </w:r>
      <w:bookmarkEnd w:id="3"/>
    </w:p>
    <w:p w:rsidR="00C61E4F" w:rsidRPr="00D70A6C" w:rsidRDefault="00C61E4F" w:rsidP="00C61E4F">
      <w:pPr>
        <w:rPr>
          <w:vanish/>
        </w:rPr>
      </w:pPr>
      <w:bookmarkStart w:id="4" w:name="PE"/>
      <w:r w:rsidRPr="00D70A6C">
        <w:rPr>
          <w:vanish/>
        </w:rPr>
        <w:t>PE753.529</w:t>
      </w:r>
      <w:bookmarkEnd w:id="4"/>
    </w:p>
    <w:p w:rsidR="00C61E4F" w:rsidRPr="00D70A6C" w:rsidRDefault="00C61E4F" w:rsidP="00C61E4F">
      <w:pPr>
        <w:pStyle w:val="ATHeading3"/>
      </w:pPr>
      <w:bookmarkStart w:id="5" w:name="Sujet"/>
      <w:r w:rsidRPr="00D70A6C">
        <w:t>1. Rozhodnutí Evropského parlamentu ze dne</w:t>
      </w:r>
      <w:r w:rsidR="009B2B92">
        <w:t xml:space="preserve"> </w:t>
      </w:r>
      <w:r w:rsidRPr="00D70A6C">
        <w:t>11. dubna 2024 o udělení absolutoria za plnění rozpočtu Zásobovací agentury Euratomu na rozpočtový rok 2022</w:t>
      </w:r>
      <w:bookmarkEnd w:id="5"/>
      <w:r w:rsidRPr="00D70A6C">
        <w:t xml:space="preserve"> </w:t>
      </w:r>
      <w:bookmarkStart w:id="6" w:name="References"/>
      <w:r w:rsidRPr="00D70A6C">
        <w:t>(2023/2161(DEC))</w:t>
      </w:r>
      <w:bookmarkEnd w:id="6"/>
    </w:p>
    <w:p w:rsidR="007E5E45" w:rsidRPr="00D70A6C" w:rsidRDefault="007E5E45" w:rsidP="007E5E45">
      <w:pPr>
        <w:pStyle w:val="EPComma"/>
      </w:pPr>
      <w:bookmarkStart w:id="7" w:name="TextBodyBegin"/>
      <w:bookmarkEnd w:id="7"/>
      <w:r w:rsidRPr="00D70A6C">
        <w:rPr>
          <w:i/>
        </w:rPr>
        <w:t>Evropský parlament</w:t>
      </w:r>
      <w:r w:rsidRPr="00D70A6C">
        <w:t>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konečnou roční účetní závěrku Zásobovací agentury Euratomu za rozpočtový rok 2022,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výroční zprávu Účetního dvora o agenturách EU za rozpočtový rok 2022 spolu s odpověďmi agentur</w:t>
      </w:r>
      <w:r w:rsidRPr="00D70A6C">
        <w:rPr>
          <w:rStyle w:val="FootnoteReference"/>
        </w:rPr>
        <w:footnoteReference w:id="1"/>
      </w:r>
      <w:r w:rsidRPr="00D70A6C">
        <w:t>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prohlášení o věrohodnosti</w:t>
      </w:r>
      <w:r w:rsidRPr="00D70A6C">
        <w:rPr>
          <w:rStyle w:val="FootnoteReference"/>
        </w:rPr>
        <w:footnoteReference w:id="2"/>
      </w:r>
      <w:r w:rsidRPr="00D70A6C">
        <w:t xml:space="preserve"> účetnictví a o legalitě a správnosti uskutečněných operací, které předložil Účetní dvůr za rozpočtový rok 2022 podle článku 287 Smlouvy o fungování Evropské unie,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doporučení Rady ze dne 22. února 2024 o udělení absolutoria agentuře za plnění rozpočtu na rozpočtový rok 2022 (0</w:t>
      </w:r>
      <w:r w:rsidR="002761D9">
        <w:t>618</w:t>
      </w:r>
      <w:r w:rsidRPr="00D70A6C">
        <w:t>0/2024 – C9</w:t>
      </w:r>
      <w:r w:rsidRPr="00D70A6C">
        <w:noBreakHyphen/>
        <w:t>0</w:t>
      </w:r>
      <w:r w:rsidR="002761D9">
        <w:t>099</w:t>
      </w:r>
      <w:r w:rsidRPr="00D70A6C">
        <w:t>/2024),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319 Smlouvy o fungování Evropské unie,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106a Smlouvy o založení Evropského společenství pro atomovou energii,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D70A6C">
        <w:rPr>
          <w:rStyle w:val="FootnoteReference"/>
        </w:rPr>
        <w:footnoteReference w:id="3"/>
      </w:r>
      <w:r w:rsidRPr="00D70A6C">
        <w:t>, a zejména na článek 68 tohoto nařízení,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 xml:space="preserve">s ohledem na rozhodnutí Rady 2008/114/ES, Euratom ze dne 12. února 2008, kterým se </w:t>
      </w:r>
      <w:r w:rsidRPr="00D70A6C">
        <w:lastRenderedPageBreak/>
        <w:t>stanoví stanovy Zásobovací agentury Euratomu</w:t>
      </w:r>
      <w:r w:rsidRPr="00D70A6C">
        <w:rPr>
          <w:rStyle w:val="FootnoteReference"/>
        </w:rPr>
        <w:footnoteReference w:id="4"/>
      </w:r>
      <w:r w:rsidRPr="00D70A6C">
        <w:t>, a zejména na článek 8 přílohy tohoto rozhodnutí,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100 a přílohu V jednacího řádu,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zprávu Výboru pro rozpočtovou kontrolu (A9</w:t>
      </w:r>
      <w:r w:rsidRPr="00D70A6C">
        <w:noBreakHyphen/>
        <w:t>0108/2024),</w:t>
      </w:r>
    </w:p>
    <w:p w:rsidR="007E5E45" w:rsidRPr="00D70A6C" w:rsidRDefault="007E5E45" w:rsidP="00656348">
      <w:pPr>
        <w:pStyle w:val="NormalHanging12a"/>
      </w:pPr>
      <w:r w:rsidRPr="00D70A6C">
        <w:t>1.</w:t>
      </w:r>
      <w:r w:rsidRPr="00D70A6C">
        <w:tab/>
        <w:t>uděluje absolutorium úřadujícímu generálnímu řediteli Zásobovací agentury Euratomu za plnění rozpočtu agentury na rozpočtový rok 2022;</w:t>
      </w:r>
    </w:p>
    <w:p w:rsidR="007E5E45" w:rsidRPr="00D70A6C" w:rsidRDefault="007E5E45" w:rsidP="00656348">
      <w:pPr>
        <w:pStyle w:val="NormalHanging12a"/>
      </w:pPr>
      <w:r w:rsidRPr="00D70A6C">
        <w:t>2.</w:t>
      </w:r>
      <w:r w:rsidRPr="00D70A6C">
        <w:tab/>
        <w:t>předkládá své připomínky v níže uvedeném usnesení;</w:t>
      </w:r>
    </w:p>
    <w:p w:rsidR="007E5E45" w:rsidRPr="00D70A6C" w:rsidRDefault="007E5E45" w:rsidP="00656348">
      <w:pPr>
        <w:pStyle w:val="NormalHanging12a"/>
      </w:pPr>
      <w:r w:rsidRPr="00D70A6C">
        <w:t>3.</w:t>
      </w:r>
      <w:r w:rsidRPr="00D70A6C">
        <w:tab/>
        <w:t xml:space="preserve">pověřuje svou předsedkyni, aby předala toto rozhodnutí a usnesení, které je jeho nedílnou součástí, úřadujícímu generálnímu řediteli Zásobovací agentury Euratomu, Radě, Komisi a Účetnímu dvoru a aby zajistila jejich zveřejnění v </w:t>
      </w:r>
      <w:r w:rsidRPr="00D70A6C">
        <w:rPr>
          <w:i/>
        </w:rPr>
        <w:t>Úředním věstníku Evropské unie</w:t>
      </w:r>
      <w:r w:rsidRPr="00D70A6C">
        <w:t xml:space="preserve"> (řada L).</w:t>
      </w:r>
    </w:p>
    <w:p w:rsidR="007E5E45" w:rsidRPr="00D70A6C" w:rsidRDefault="007E5E45" w:rsidP="007E5E45"/>
    <w:p w:rsidR="007E5E45" w:rsidRPr="00D70A6C" w:rsidRDefault="007E5E45" w:rsidP="007E5E45">
      <w:pPr>
        <w:pStyle w:val="PageHeading"/>
        <w:sectPr w:rsidR="007E5E45" w:rsidRPr="00D70A6C" w:rsidSect="00D70A6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5E45" w:rsidRPr="00D70A6C" w:rsidRDefault="007E5E45" w:rsidP="00656348">
      <w:pPr>
        <w:pStyle w:val="ATHeading3"/>
      </w:pPr>
      <w:bookmarkStart w:id="8" w:name="_Toc161930082"/>
      <w:r w:rsidRPr="00D70A6C">
        <w:lastRenderedPageBreak/>
        <w:t xml:space="preserve">2. </w:t>
      </w:r>
      <w:r w:rsidR="00656348" w:rsidRPr="00D70A6C">
        <w:t>Rozhodnutí Evropského parlamentu</w:t>
      </w:r>
      <w:bookmarkEnd w:id="8"/>
      <w:r w:rsidR="00656348">
        <w:t xml:space="preserve"> </w:t>
      </w:r>
      <w:r w:rsidR="009B2B92" w:rsidRPr="00D70A6C">
        <w:t>ze dne</w:t>
      </w:r>
      <w:r w:rsidR="009B2B92">
        <w:t xml:space="preserve"> </w:t>
      </w:r>
      <w:r w:rsidR="009B2B92" w:rsidRPr="00D70A6C">
        <w:t xml:space="preserve">11. dubna 2024 </w:t>
      </w:r>
      <w:r w:rsidRPr="00D70A6C">
        <w:t>o uzavření účtů Zásobovací agentury Euratomu za rozpočtový rok 2022</w:t>
      </w:r>
      <w:r w:rsidR="00656348">
        <w:t xml:space="preserve"> </w:t>
      </w:r>
      <w:r w:rsidRPr="00D70A6C">
        <w:t>(2023/2161(DEC))</w:t>
      </w:r>
    </w:p>
    <w:p w:rsidR="007E5E45" w:rsidRPr="00D70A6C" w:rsidRDefault="007E5E45" w:rsidP="007E5E45">
      <w:pPr>
        <w:pStyle w:val="EPComma"/>
      </w:pPr>
      <w:r w:rsidRPr="00D70A6C">
        <w:rPr>
          <w:i/>
        </w:rPr>
        <w:t>Evropský parlament</w:t>
      </w:r>
      <w:r w:rsidRPr="00D70A6C">
        <w:t>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konečnou roční účetní závěrku Zásobovací agentury Euratomu za rozpočtový rok 2022,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výroční zprávu Účetního dvora o agenturách EU za rozpočtový rok 2022 spolu s odpověďmi agentur</w:t>
      </w:r>
      <w:r w:rsidRPr="00D70A6C">
        <w:rPr>
          <w:rStyle w:val="FootnoteReference"/>
        </w:rPr>
        <w:footnoteReference w:id="5"/>
      </w:r>
      <w:r w:rsidRPr="00D70A6C">
        <w:t>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prohlášení o věrohodnosti</w:t>
      </w:r>
      <w:r w:rsidRPr="00D70A6C">
        <w:rPr>
          <w:rStyle w:val="FootnoteReference"/>
        </w:rPr>
        <w:footnoteReference w:id="6"/>
      </w:r>
      <w:r w:rsidRPr="00D70A6C">
        <w:t xml:space="preserve"> účetnictví a o legalitě a správnosti uskutečněných operací, které předložil Účetní dvůr za rozpočtový rok 2022 podle článku 287 Smlouvy o fungování Evropské unie,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doporučení Rady ze dne 22. února 2024 o udělení absolutoria agentuře za plnění rozpočtu na rozpočtový rok 2022 (0</w:t>
      </w:r>
      <w:r w:rsidR="002761D9">
        <w:t>618</w:t>
      </w:r>
      <w:r w:rsidRPr="00D70A6C">
        <w:t>0/2024 – C9</w:t>
      </w:r>
      <w:r w:rsidRPr="00D70A6C">
        <w:noBreakHyphen/>
        <w:t>0</w:t>
      </w:r>
      <w:r w:rsidR="002761D9">
        <w:t>099</w:t>
      </w:r>
      <w:r w:rsidRPr="00D70A6C">
        <w:t>/2024),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319 Smlouvy o fungování Evropské unie,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106a Smlouvy o založení Evropského společenství pro atomovou energii,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D70A6C">
        <w:rPr>
          <w:rStyle w:val="FootnoteReference"/>
        </w:rPr>
        <w:footnoteReference w:id="7"/>
      </w:r>
      <w:r w:rsidRPr="00D70A6C">
        <w:t>, a zejména na článek 68 tohoto nařízení,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rozhodnutí Rady 2008/114/ES, Euratom ze dne 12. února 2008, kterým se stanoví stanovy Zásobovací agentury Euratomu</w:t>
      </w:r>
      <w:r w:rsidRPr="00D70A6C">
        <w:rPr>
          <w:rStyle w:val="FootnoteReference"/>
        </w:rPr>
        <w:footnoteReference w:id="8"/>
      </w:r>
      <w:r w:rsidRPr="00D70A6C">
        <w:t>, a zejména na článek 8 přílohy tohoto rozhodnutí,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 100 a přílohu V jednacího řádu,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zprávu Výboru pro rozpočtovou kontrolu (A9</w:t>
      </w:r>
      <w:r w:rsidRPr="00D70A6C">
        <w:noBreakHyphen/>
        <w:t>0108/2024),</w:t>
      </w:r>
    </w:p>
    <w:p w:rsidR="007E5E45" w:rsidRPr="00D70A6C" w:rsidRDefault="007E5E45" w:rsidP="00656348">
      <w:pPr>
        <w:pStyle w:val="NormalHanging12a"/>
      </w:pPr>
      <w:r w:rsidRPr="00D70A6C">
        <w:t>1.</w:t>
      </w:r>
      <w:r w:rsidRPr="00D70A6C">
        <w:tab/>
        <w:t>schvaluje uzavření účtů Zásobovací agentury Euratomu za rozpočtový rok 2022;</w:t>
      </w:r>
    </w:p>
    <w:p w:rsidR="007E5E45" w:rsidRPr="00D70A6C" w:rsidRDefault="007E5E45" w:rsidP="00656348">
      <w:pPr>
        <w:pStyle w:val="NormalHanging12a"/>
      </w:pPr>
      <w:r w:rsidRPr="00D70A6C">
        <w:t>2.</w:t>
      </w:r>
      <w:r w:rsidRPr="00D70A6C">
        <w:tab/>
        <w:t xml:space="preserve">pověřuje svou předsedkyni, aby předala toto rozhodnutí úřadujícímu generálnímu řediteli Zásobovací agentury Euratomu, Radě, Komisi a Účetnímu dvoru a aby zajistila jeho zveřejnění v </w:t>
      </w:r>
      <w:r w:rsidRPr="00D70A6C">
        <w:rPr>
          <w:i/>
        </w:rPr>
        <w:t>Úředním věstníku Evropské unie</w:t>
      </w:r>
      <w:r w:rsidRPr="00D70A6C">
        <w:t xml:space="preserve"> (řada L).</w:t>
      </w:r>
    </w:p>
    <w:p w:rsidR="007E5E45" w:rsidRPr="00D70A6C" w:rsidRDefault="007E5E45" w:rsidP="007E5E45"/>
    <w:p w:rsidR="007E5E45" w:rsidRPr="00D70A6C" w:rsidRDefault="007E5E45" w:rsidP="007E5E45">
      <w:pPr>
        <w:pStyle w:val="PageHeading"/>
        <w:sectPr w:rsidR="007E5E45" w:rsidRPr="00D70A6C" w:rsidSect="00D70A6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E5E45" w:rsidRPr="00D70A6C" w:rsidRDefault="007E5E45" w:rsidP="00656348">
      <w:pPr>
        <w:pStyle w:val="ATHeading3"/>
      </w:pPr>
      <w:bookmarkStart w:id="9" w:name="_Toc161930083"/>
      <w:r w:rsidRPr="00D70A6C">
        <w:lastRenderedPageBreak/>
        <w:t xml:space="preserve">3. </w:t>
      </w:r>
      <w:r w:rsidR="00656348" w:rsidRPr="00D70A6C">
        <w:t>Usnesení Evropského parlamentu</w:t>
      </w:r>
      <w:bookmarkEnd w:id="9"/>
      <w:r w:rsidR="00656348">
        <w:t xml:space="preserve"> </w:t>
      </w:r>
      <w:r w:rsidR="009B2B92" w:rsidRPr="00D70A6C">
        <w:t>ze dne</w:t>
      </w:r>
      <w:r w:rsidR="009B2B92">
        <w:t xml:space="preserve"> </w:t>
      </w:r>
      <w:r w:rsidR="009B2B92" w:rsidRPr="00D70A6C">
        <w:t xml:space="preserve">11. dubna 2024 </w:t>
      </w:r>
      <w:r w:rsidRPr="00D70A6C">
        <w:t>obsahující připomínky, které jsou nedílnou součástí rozhodnutí o udělení absolutoria za plnění rozpočtu Zásobovací agentury Euratomu na rozpočtový rok 2022</w:t>
      </w:r>
      <w:r w:rsidR="00656348">
        <w:t xml:space="preserve"> </w:t>
      </w:r>
      <w:r w:rsidRPr="00D70A6C">
        <w:t>(2023/2161(DEC))</w:t>
      </w:r>
    </w:p>
    <w:p w:rsidR="007E5E45" w:rsidRPr="00D70A6C" w:rsidRDefault="007E5E45" w:rsidP="007E5E45">
      <w:pPr>
        <w:pStyle w:val="EPComma"/>
      </w:pPr>
      <w:r w:rsidRPr="00D70A6C">
        <w:rPr>
          <w:i/>
        </w:rPr>
        <w:t>Evropský parlament</w:t>
      </w:r>
      <w:r w:rsidRPr="00D70A6C">
        <w:t>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své rozhodnutí o udělení absolutoria za plnění rozpočtu Zásobovací agentury Euratomu (dále „agentury“) na rozpočtový rok 2022,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článek 100 a přílohu V jednacího řádu,</w:t>
      </w:r>
    </w:p>
    <w:p w:rsidR="007E5E45" w:rsidRPr="00D70A6C" w:rsidRDefault="007E5E45" w:rsidP="00656348">
      <w:pPr>
        <w:pStyle w:val="NormalHanging12a"/>
      </w:pPr>
      <w:r w:rsidRPr="00D70A6C">
        <w:t>–</w:t>
      </w:r>
      <w:r w:rsidRPr="00D70A6C">
        <w:tab/>
        <w:t>s ohledem na zprávu Výboru pro rozpočtovou kontrolu (A9-0108/2024),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A.</w:t>
      </w:r>
      <w:r w:rsidRPr="00D70A6C">
        <w:tab/>
        <w:t>vzhledem k tomu, že podle výkazu příjmů a výdajů agentury dosahoval její konečný rozpočet na rozpočtový rok 2022 výše 167 000 EUR, což ve srovnání s rokem 2021 (210 000 EUR) představuje snížení o 20,48 %; vzhledem k tomu, že celý rozpočet agentury se odvíjí od rozpočtu Unie;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B.</w:t>
      </w:r>
      <w:r w:rsidRPr="00D70A6C">
        <w:tab/>
        <w:t>vzhledem k tomu, že Účetní dvůr ve své zprávě o ověření roční účetní závěrky agentury za rozpočtový rok 2022 (dále jen „zpráva Účetního dvora“) prohlásil, že získal přiměřenou jistotu, že roční účetní závěrka agentury je spolehlivá a uskutečněné operace jsou legální a správné;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C.</w:t>
      </w:r>
      <w:r w:rsidRPr="00D70A6C">
        <w:tab/>
        <w:t>vzhledem k tomu, že pokud jde o interní kontrolní systémy agentury,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Rozpočtové a finanční řízení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1.</w:t>
      </w:r>
      <w:r w:rsidRPr="00D70A6C">
        <w:tab/>
        <w:t>konstatuje, že díky monitorování rozpočtu v rozpočtovém roce 2022 dosáhla míra plnění prostředků na závazky v běžném roce 96,88 %, což oproti roku 2021 představuje mírný pokles o 2,88 %, a konstatuje, že míra čerpání prostředků na platby v běžném roce činila 34,81 %, což rovněž představuje ve srovnání s předchozím rokem pokles, a sice o 16,4 %;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2.</w:t>
      </w:r>
      <w:r w:rsidRPr="00D70A6C">
        <w:tab/>
        <w:t>konstatuje, že velká část výdajů agentury je hrazena Komisí, včetně platů vypočtených na 1 937 817 EUR, výdajů na prostory a IT vypočtených na 467 708 EUR a výdajů na IT systém jaderné observatoře a správy informací ESA (NOEMI) vypočtených na 84 644 EUR; dále konstatuje, že tyto výdaje jsou zahrnuty v roční účetní závěrce Komise, což pozitivně přispívá ke správní kapacitě agentury;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Výkonnost</w:t>
      </w:r>
    </w:p>
    <w:p w:rsidR="007E5E45" w:rsidRPr="00D70A6C" w:rsidRDefault="007E5E45" w:rsidP="00656348">
      <w:pPr>
        <w:pStyle w:val="NormalHanging12a"/>
      </w:pPr>
      <w:r w:rsidRPr="00D70A6C">
        <w:t>3.</w:t>
      </w:r>
      <w:r w:rsidRPr="00D70A6C">
        <w:tab/>
        <w:t xml:space="preserve">zdůrazňuje, že rok 2022 byl poznamenán ruskou invazí na Ukrajinu, což v EU vyvolalo obavy ohledně energetické bezpečnosti obecně, a zejména oslabilo bezpečnost dodávek jaderných materiálů a paliv do Unie a zhoršilo problém závislosti; konstatuje, že mnohé jaderné elektrárny v Unii jsou závislé na ruských dodavatelích paliva a veřejné služby Unie jako celek jsou z 20–30 % závislé na ruských dodávkách jaderných materiálů a službách jaderného palivového cyklu; konstatuje, že Unie si uvědomila, že vyplácí-li se Rusku vysoké částky za dovoz energie, podporuje se tím jeho činnost, a rozhodla se </w:t>
      </w:r>
      <w:r w:rsidRPr="00D70A6C">
        <w:lastRenderedPageBreak/>
        <w:t>proto snížit svou závislost na Rusku v různých odvětvích, a to i pokud jde o jaderný trh, jehož se změny v rámci těchto všeobecných snah mohou vzhledem k jeho specifičnosti dotknout později; žádá agenturu, aby orgánu příslušnému k udělení absolutoria podala zprávu o tom, jak od roku 2022 snížila závislost Unie na ruském jaderném palivu, zejména od začátku války, kdy byl jaderný průmysl osvobozen od sankcí, a jak toto snížení a diverzifikace ovlivnily náklady;</w:t>
      </w:r>
    </w:p>
    <w:p w:rsidR="007E5E45" w:rsidRPr="00D70A6C" w:rsidRDefault="007E5E45" w:rsidP="00656348">
      <w:pPr>
        <w:spacing w:after="240"/>
        <w:ind w:left="567" w:hanging="567"/>
      </w:pPr>
      <w:r w:rsidRPr="00D70A6C">
        <w:t>4.</w:t>
      </w:r>
      <w:r w:rsidRPr="00D70A6C">
        <w:tab/>
        <w:t>s uspokojením konstatuje, že agentura věnovala zvláštní pozornost přezkumu smluv s rizikem závislosti na Rusku, včetně důkladné analýzy doložek, technologických informací, dodavatelských řetězců, dostupnosti alternativních paliv a provozní nezávislosti veřejných služeb s ohledem na stávající zásoby paliva; oceňuje, že agentura podnikla kroky ke zjednodušení procesu předkládání smluv při zachování vysoké úrovně bezpečnosti a že specializované zabezpečené nástroje IT usnadnily dokončování a předkládání smluv na dálku; všímá si, že v roce 2022 se díky tomuto úsilí zvýšil počet elektronicky podepsaných aktů odpovídajících předpisům o identifikaci pro elektronické transakce na jednotném trhu;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5.</w:t>
      </w:r>
      <w:r w:rsidRPr="00D70A6C">
        <w:tab/>
        <w:t>konstatuje, že agentura se v souladu se svými strategickými cíli a politikami Komise snažila distribuovat zdroje dodávek v rámci jaderného palivového cyklu pro energetické a neenergetické účely, a přispívat tak ke střednědobému a dlouhodobému zabezpečení dodávek;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6.</w:t>
      </w:r>
      <w:r w:rsidRPr="00D70A6C">
        <w:tab/>
        <w:t xml:space="preserve">konstatuje, že agentura je odpovědná za sledování trhu s cílem identifikovat trendy, které by mohly ovlivnit bezpečnost dodávek jaderného materiálu a služeb v Unii; dále konstatuje, že agentura ve své výroční zprávě uveřejnila analýzu trhu, poskytla informace o </w:t>
      </w:r>
      <w:proofErr w:type="spellStart"/>
      <w:r w:rsidRPr="00D70A6C">
        <w:t>unjních</w:t>
      </w:r>
      <w:proofErr w:type="spellEnd"/>
      <w:r w:rsidRPr="00D70A6C">
        <w:t xml:space="preserve"> a světových trzích s jadernou energií a sdílela informace a poznatky s dalšími mezinárodními organizacemi zabývajícími se analýzou trhu;</w:t>
      </w:r>
    </w:p>
    <w:p w:rsidR="007E5E45" w:rsidRPr="00D70A6C" w:rsidRDefault="007E5E45" w:rsidP="00656348">
      <w:pPr>
        <w:pStyle w:val="NormalHanging12a"/>
      </w:pPr>
      <w:r w:rsidRPr="00D70A6C">
        <w:t>7.</w:t>
      </w:r>
      <w:r w:rsidRPr="00D70A6C">
        <w:tab/>
        <w:t>vítá, že v roce 2022 agentura stála v čele úsilí o zajištění dodávek zdrojových materiálů pro radioizotopy pro použití v lékařství, neboť přispěla k provádění „Strategické agendy pro lékařské aplikace jaderných a radiačních technologií využívající ionizujícího záření (SAMIRA)“ a vedla Evropské středisko pro zabezpečování dodávek radioizotopů pro použití v lékařství;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8.</w:t>
      </w:r>
      <w:r w:rsidRPr="00D70A6C">
        <w:tab/>
        <w:t>vítá, že agentura ve spolupráci s partnery a zúčastněnými stranami usilovala o posílení zabezpečení dodávek jaderného materiálu s ohledem na nezákonnou a nevyprovokovanou ruskou invazi na Ukrajinu;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Efektivita a související přínosy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9.</w:t>
      </w:r>
      <w:r w:rsidRPr="00D70A6C">
        <w:tab/>
        <w:t>konstatuje, že agentura úzce spolupracovala s Komisí na podpoře diverzifikace dodávek; dále konstatuje, že agentura má již dlouho zavedené vztahy v oblasti jaderné energie s Mezinárodní agenturou pro atomovou energii a Agenturou pro jadernou energii v rámci Organizace pro hospodářskou spolupráci a rozvoj; zdůrazňuje horizontální přínosy spolupráce a přizpůsobování osvědčených postupů a také to, že společné iniciativy slučují různé pohledy, omezují zdvojování úsilí a posilují učení a vztahy mezi účastníky;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10.</w:t>
      </w:r>
      <w:r w:rsidRPr="00D70A6C">
        <w:tab/>
        <w:t xml:space="preserve">konstatuje, že agentura vyvíjí informační systém NOEMI s cílem umožnit plně digitální zpracování smluv o dodávkách jaderné energie a informací o trhu v plném souladu s pravidly pro ochranu informací a současně pracuje na rozšíření své analytické kapacity </w:t>
      </w:r>
      <w:r w:rsidRPr="00D70A6C">
        <w:lastRenderedPageBreak/>
        <w:t>na dostupné údaje;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11.</w:t>
      </w:r>
      <w:r w:rsidRPr="00D70A6C">
        <w:tab/>
        <w:t>konstatuje, že agentura vyvinula úsilí o zvýšení efektivity a přerozdělení lidských zdrojů na nové úkoly a výzvy; konstatuje, že další zvýšení efektivity by bylo možné pouze využitím synergií a podpory od Komise, a to prostřednictvím poskytnutí specializovaných podpůrných funkcí, rozšířením využívání podnikových nástrojů a zvýšením přidělené částky na vývoj informačního systému NOEMI; vyzývá agenturu, aby nalezla více interních postupů, které by mohly být zjednodušeny prostřednictvím nových IT nástrojů;</w:t>
      </w:r>
    </w:p>
    <w:p w:rsidR="007E5E45" w:rsidRPr="00D70A6C" w:rsidRDefault="007E5E45" w:rsidP="00656348">
      <w:pPr>
        <w:pStyle w:val="NormalHanging12a"/>
      </w:pPr>
      <w:r w:rsidRPr="00D70A6C">
        <w:t>12.</w:t>
      </w:r>
      <w:r w:rsidRPr="00D70A6C">
        <w:tab/>
        <w:t>připomíná, že je důležité posílit digitalizaci agentury, pokud jde o její vnitřní chod a řízení i o rychlejší digitalizaci postupů; zdůrazňuje, že je třeba, aby byl orgán v tomto ohledu nadále proaktivní, aby se zabránilo rozdílům v digitalizaci jednotlivých agentur; upozorňuje však na to, že je třeba přijmout veškerá nezbytná bezpečnostní opatření, aby se zabránilo jakémukoli riziku pro on-line bezpečnost zpracovávaných informací, a trvá na zintenzivnění boje proti kybernetickým útokům nebo pokusům o infiltraci přicházejícím zejména z Ruska nebo Číny;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Personální politika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13.</w:t>
      </w:r>
      <w:r w:rsidRPr="00D70A6C">
        <w:tab/>
        <w:t>konstatuje, že ke dni 31. prosince 2022 byl plán pracovních míst naplněn ze 100 % se 17 stálými pracovními místy, 8 místy pro administrátory, 7 místy pro asistenty a 2 pracovními místy pro administrativní pracovníky; dále konstatuje, že vyšší počet administrátorů, než je povoleno, je způsoben povýšením jednoho asistenta, které Komise schválila;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14.</w:t>
      </w:r>
      <w:r w:rsidRPr="00D70A6C">
        <w:tab/>
        <w:t>opakuje, že vzhledem k požadovanému specializovanému profilu a souvisejícím úrovním platů ve srovnání s životními náklady v Lucembursku je pro agenturu obtížné najít asistenty v nižších platových třídách; konstatuje však, že agentura navzdory svému úsilí v roce 2022 přijala 2 dočasné zaměstnance na stálá pracovní místa (1 asistenta a 1 administrativního pracovníka);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15.</w:t>
      </w:r>
      <w:r w:rsidRPr="00D70A6C">
        <w:tab/>
        <w:t>bere na vědomí, že agentura uvedla, že v roce 2022 celkový počet zaměstnanců tvořilo 59 % žen a 41 % mužů, což odráží politiku rovných příležitostí agentury;</w:t>
      </w:r>
    </w:p>
    <w:p w:rsidR="007E5E45" w:rsidRPr="00D70A6C" w:rsidRDefault="007E5E45" w:rsidP="00656348">
      <w:pPr>
        <w:pStyle w:val="NormalHanging12a"/>
      </w:pPr>
      <w:r w:rsidRPr="00D70A6C">
        <w:t>16.</w:t>
      </w:r>
      <w:r w:rsidRPr="00D70A6C">
        <w:tab/>
        <w:t>připomíná, že je důležité rozvíjet dlouhodobou politiku v oblasti lidských zdrojů týkající se rovnováhy mezi pracovním a soukromým životem, celoživotního poradenství a nabídky specifických možností odborné přípravy pro profesní rozvoj, vyváženého zastoupení žen a mužů na všech úrovních zaměstnanců, práce z domova, práva odpojit se, posílení zeměpisné vyváženosti, aby bylo zajištěno odpovídající zastoupení ze všech členských států, náboru a integrace osob se zdravotním postižením, jakož i podpory rovného zacházení s nimi a jejich příležitostí;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Zadávání veřejných zakázek</w:t>
      </w:r>
    </w:p>
    <w:p w:rsidR="007E5E45" w:rsidRPr="00D70A6C" w:rsidRDefault="007E5E45" w:rsidP="00656348">
      <w:pPr>
        <w:spacing w:after="240"/>
        <w:ind w:left="567" w:hanging="567"/>
        <w:rPr>
          <w:rFonts w:eastAsia="Calibri"/>
          <w:szCs w:val="24"/>
        </w:rPr>
      </w:pPr>
      <w:r w:rsidRPr="00D70A6C">
        <w:t>17.</w:t>
      </w:r>
      <w:r w:rsidRPr="00D70A6C">
        <w:tab/>
        <w:t xml:space="preserve">na základě zprávy Účetního dvora bere na vědomí připomínku, že agentura systematicky zadává veřejné zakázky nízké hodnoty (pod 15 000 EUR), aniž by vydávala příslušné hodnotící zprávy a rozhodnutí o zadání zakázky, což je v rozporu s body 30.3 a 30.4 přílohy I finančního nařízení; dále bere na vědomí odpověď agentury, že toto doporučení zohlední a všem zaměstnancům zapojeným do zadávání veřejných zakázek a finančního řízení poskytne vhodné pokyny; vyzývá agenturu, aby zlepšila </w:t>
      </w:r>
      <w:r w:rsidRPr="00D70A6C">
        <w:lastRenderedPageBreak/>
        <w:t>postupy zadávání veřejných zakázek a zajistila jejich plný soulad s platnými pravidly, tak aby bylo dosaženo co nejlepšího poměru mezi kvalitou a cenou těchto zakázek;</w:t>
      </w:r>
    </w:p>
    <w:p w:rsidR="007E5E45" w:rsidRPr="00D70A6C" w:rsidRDefault="007E5E45" w:rsidP="00656348">
      <w:pPr>
        <w:spacing w:after="240"/>
        <w:ind w:left="567" w:hanging="567"/>
        <w:rPr>
          <w:b/>
          <w:i/>
          <w:szCs w:val="24"/>
        </w:rPr>
      </w:pPr>
      <w:r w:rsidRPr="00D70A6C">
        <w:rPr>
          <w:b/>
          <w:i/>
        </w:rPr>
        <w:t>Další připomínky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18.</w:t>
      </w:r>
      <w:r w:rsidRPr="00D70A6C">
        <w:tab/>
        <w:t>konstatuje, že agentura posílila zabezpečení přístupu do svých prostor a všichni zaměstnanci a externí dodavatelé mají bezpečnostní prověrku;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19.</w:t>
      </w:r>
      <w:r w:rsidRPr="00D70A6C">
        <w:tab/>
        <w:t>bere na vědomí, že informační systém NOEMI prošel hodnocením zranitelnosti, které se má opakovat po každé vývojové fázi nebo po provedení všech doporučení;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20.</w:t>
      </w:r>
      <w:r w:rsidRPr="00D70A6C">
        <w:tab/>
        <w:t>s uspokojením konstatuje, že se agentura v září 2022 zúčastnila „Světového jaderného sympozia“ (</w:t>
      </w:r>
      <w:proofErr w:type="spellStart"/>
      <w:r w:rsidRPr="00D70A6C">
        <w:t>World</w:t>
      </w:r>
      <w:proofErr w:type="spellEnd"/>
      <w:r w:rsidRPr="00D70A6C">
        <w:t xml:space="preserve"> </w:t>
      </w:r>
      <w:proofErr w:type="spellStart"/>
      <w:r w:rsidRPr="00D70A6C">
        <w:t>Nuclear</w:t>
      </w:r>
      <w:proofErr w:type="spellEnd"/>
      <w:r w:rsidRPr="00D70A6C">
        <w:t xml:space="preserve"> Symposium) v Londýně a vyslala jasný signál zúčastněným vedoucím představitelům jaderného průmyslu, odborníkům a vedoucím pracovníkům, že je potřeba řešit rizika spojená s novým uspořádáním trhu; dále konstatuje, že analýza trhu a výhled agentury byly představeny na Varšavském bezpečnostním fóru a na konferenci „Světový jaderný palivový cyklus“ (</w:t>
      </w:r>
      <w:proofErr w:type="spellStart"/>
      <w:r w:rsidRPr="00D70A6C">
        <w:t>World</w:t>
      </w:r>
      <w:proofErr w:type="spellEnd"/>
      <w:r w:rsidRPr="00D70A6C">
        <w:t xml:space="preserve"> </w:t>
      </w:r>
      <w:proofErr w:type="spellStart"/>
      <w:r w:rsidRPr="00D70A6C">
        <w:t>Nuclear</w:t>
      </w:r>
      <w:proofErr w:type="spellEnd"/>
      <w:r w:rsidRPr="00D70A6C">
        <w:t xml:space="preserve"> </w:t>
      </w:r>
      <w:proofErr w:type="spellStart"/>
      <w:r w:rsidRPr="00D70A6C">
        <w:t>Fuel</w:t>
      </w:r>
      <w:proofErr w:type="spellEnd"/>
      <w:r w:rsidRPr="00D70A6C">
        <w:t xml:space="preserve"> </w:t>
      </w:r>
      <w:proofErr w:type="spellStart"/>
      <w:r w:rsidRPr="00D70A6C">
        <w:t>Cycle</w:t>
      </w:r>
      <w:proofErr w:type="spellEnd"/>
      <w:r w:rsidRPr="00D70A6C">
        <w:t>) a prezentovány na konferencích „První mezinárodní konference o jaderném právu“ (</w:t>
      </w:r>
      <w:proofErr w:type="spellStart"/>
      <w:r w:rsidRPr="00D70A6C">
        <w:t>First</w:t>
      </w:r>
      <w:proofErr w:type="spellEnd"/>
      <w:r w:rsidRPr="00D70A6C">
        <w:t xml:space="preserve"> International </w:t>
      </w:r>
      <w:proofErr w:type="spellStart"/>
      <w:r w:rsidRPr="00D70A6C">
        <w:t>conference</w:t>
      </w:r>
      <w:proofErr w:type="spellEnd"/>
      <w:r w:rsidRPr="00D70A6C">
        <w:t xml:space="preserve"> on </w:t>
      </w:r>
      <w:proofErr w:type="spellStart"/>
      <w:r w:rsidRPr="00D70A6C">
        <w:t>Nuclear</w:t>
      </w:r>
      <w:proofErr w:type="spellEnd"/>
      <w:r w:rsidRPr="00D70A6C">
        <w:t xml:space="preserve"> </w:t>
      </w:r>
      <w:proofErr w:type="spellStart"/>
      <w:r w:rsidRPr="00D70A6C">
        <w:t>Law</w:t>
      </w:r>
      <w:proofErr w:type="spellEnd"/>
      <w:r w:rsidRPr="00D70A6C">
        <w:t>) a „Konference o evropských výzkumných reaktorech“ (</w:t>
      </w:r>
      <w:proofErr w:type="spellStart"/>
      <w:r w:rsidRPr="00D70A6C">
        <w:t>European</w:t>
      </w:r>
      <w:proofErr w:type="spellEnd"/>
      <w:r w:rsidRPr="00D70A6C">
        <w:t xml:space="preserve"> </w:t>
      </w:r>
      <w:proofErr w:type="spellStart"/>
      <w:r w:rsidRPr="00D70A6C">
        <w:t>Research</w:t>
      </w:r>
      <w:proofErr w:type="spellEnd"/>
      <w:r w:rsidRPr="00D70A6C">
        <w:t xml:space="preserve"> </w:t>
      </w:r>
      <w:proofErr w:type="spellStart"/>
      <w:r w:rsidRPr="00D70A6C">
        <w:t>Reactor</w:t>
      </w:r>
      <w:proofErr w:type="spellEnd"/>
      <w:r w:rsidRPr="00D70A6C">
        <w:t xml:space="preserve"> </w:t>
      </w:r>
      <w:proofErr w:type="spellStart"/>
      <w:r w:rsidRPr="00D70A6C">
        <w:t>Conference</w:t>
      </w:r>
      <w:proofErr w:type="spellEnd"/>
      <w:r w:rsidRPr="00D70A6C">
        <w:t>); dále konstatuje, že agentura přispěla k akcím pořádaným Evropskou jadernou společností;</w:t>
      </w:r>
    </w:p>
    <w:p w:rsidR="007E5E45" w:rsidRPr="00D70A6C" w:rsidRDefault="007E5E45" w:rsidP="00656348">
      <w:pPr>
        <w:spacing w:after="240"/>
        <w:ind w:left="567" w:hanging="567"/>
        <w:rPr>
          <w:szCs w:val="24"/>
        </w:rPr>
      </w:pPr>
      <w:r w:rsidRPr="00D70A6C">
        <w:t>21.</w:t>
      </w:r>
      <w:r w:rsidRPr="00D70A6C">
        <w:tab/>
        <w:t>konstatuje, že agentura nevydává environmentální prohlášení ani nezavedla systém pro environmentální řízení podniků a audit (EMAS); vybízí agenturu, aby podala zprávu o své výkonnosti v oblasti klimatu, energetiky a životního prostředí a rovněž zavedla systém EMAS;</w:t>
      </w:r>
    </w:p>
    <w:p w:rsidR="00656348" w:rsidRDefault="00656348" w:rsidP="00656348">
      <w:pPr>
        <w:pStyle w:val="NormalCenter12a"/>
        <w:widowControl/>
      </w:pPr>
      <w:r>
        <w:t>°</w:t>
      </w:r>
    </w:p>
    <w:p w:rsidR="00656348" w:rsidRDefault="00656348" w:rsidP="00656348">
      <w:pPr>
        <w:pStyle w:val="NormalCenter12a"/>
        <w:widowControl/>
      </w:pPr>
      <w:r>
        <w:t>°     °</w:t>
      </w:r>
    </w:p>
    <w:p w:rsidR="007E5E45" w:rsidRPr="00D70A6C" w:rsidRDefault="007E5E45" w:rsidP="00656348">
      <w:pPr>
        <w:pStyle w:val="NormalHanging12a"/>
      </w:pPr>
      <w:r w:rsidRPr="00D70A6C">
        <w:t>22.</w:t>
      </w:r>
      <w:r w:rsidRPr="00D70A6C">
        <w:tab/>
        <w:t xml:space="preserve">pokud jde o další připomínky, které jsou připojeny k rozhodnutí o udělení absolutoria a jsou horizontální povahy, odkazuje na své usnesení ze dne </w:t>
      </w:r>
      <w:r w:rsidR="00656348">
        <w:t>11. dubna 2024</w:t>
      </w:r>
      <w:r w:rsidRPr="00D70A6C">
        <w:rPr>
          <w:vertAlign w:val="superscript"/>
        </w:rPr>
        <w:footnoteReference w:id="9"/>
      </w:r>
      <w:r w:rsidRPr="00D70A6C">
        <w:t xml:space="preserve"> o výkonnosti, finančním řízení a kontrole evropských agentur.</w:t>
      </w:r>
    </w:p>
    <w:sectPr w:rsidR="007E5E45" w:rsidRPr="00D70A6C" w:rsidSect="00D70A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E4F" w:rsidRPr="00D70A6C" w:rsidRDefault="00C61E4F">
      <w:r w:rsidRPr="00D70A6C">
        <w:separator/>
      </w:r>
    </w:p>
  </w:endnote>
  <w:endnote w:type="continuationSeparator" w:id="0">
    <w:p w:rsidR="00C61E4F" w:rsidRPr="00D70A6C" w:rsidRDefault="00C61E4F">
      <w:r w:rsidRPr="00D70A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E45" w:rsidRPr="00D70A6C" w:rsidRDefault="007E5E45" w:rsidP="00054A63">
    <w:pPr>
      <w:pStyle w:val="EPFooter"/>
    </w:pPr>
    <w:r w:rsidRPr="00D70A6C">
      <w:t>PE</w:t>
    </w:r>
    <w:r w:rsidRPr="00D70A6C">
      <w:rPr>
        <w:rStyle w:val="HideTWBExt"/>
      </w:rPr>
      <w:t>&lt;</w:t>
    </w:r>
    <w:proofErr w:type="spellStart"/>
    <w:r w:rsidRPr="00D70A6C">
      <w:rPr>
        <w:rStyle w:val="HideTWBExt"/>
      </w:rPr>
      <w:t>NoPE</w:t>
    </w:r>
    <w:proofErr w:type="spellEnd"/>
    <w:r w:rsidRPr="00D70A6C">
      <w:rPr>
        <w:rStyle w:val="HideTWBExt"/>
      </w:rPr>
      <w:t>&gt;</w:t>
    </w:r>
    <w:r w:rsidRPr="00D70A6C">
      <w:t>753.529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NoPE</w:t>
    </w:r>
    <w:proofErr w:type="spellEnd"/>
    <w:r w:rsidRPr="00D70A6C">
      <w:rPr>
        <w:rStyle w:val="HideTWBExt"/>
      </w:rPr>
      <w:t>&gt;&lt;Version&gt;</w:t>
    </w:r>
    <w:r w:rsidRPr="00D70A6C">
      <w:t>v02-00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Version</w:t>
    </w:r>
    <w:proofErr w:type="spellEnd"/>
    <w:r w:rsidRPr="00D70A6C">
      <w:rPr>
        <w:rStyle w:val="HideTWBExt"/>
      </w:rPr>
      <w:t>&gt;</w:t>
    </w:r>
    <w:r w:rsidRPr="00D70A6C">
      <w:tab/>
    </w:r>
    <w:r w:rsidRPr="00D70A6C">
      <w:fldChar w:fldCharType="begin"/>
    </w:r>
    <w:r w:rsidRPr="00D70A6C">
      <w:instrText xml:space="preserve"> PAGE  \* MERGEFORMAT </w:instrText>
    </w:r>
    <w:r w:rsidRPr="00D70A6C">
      <w:fldChar w:fldCharType="separate"/>
    </w:r>
    <w:r w:rsidR="00D70A6C" w:rsidRPr="00D70A6C">
      <w:rPr>
        <w:noProof/>
      </w:rPr>
      <w:t>2</w:t>
    </w:r>
    <w:r w:rsidRPr="00D70A6C">
      <w:fldChar w:fldCharType="end"/>
    </w:r>
    <w:r w:rsidRPr="00D70A6C">
      <w:t>/</w:t>
    </w:r>
    <w:r w:rsidR="00ED3C6D">
      <w:fldChar w:fldCharType="begin"/>
    </w:r>
    <w:r w:rsidR="00ED3C6D">
      <w:instrText xml:space="preserve"> NUMPAGES  \* MERGEFORMAT </w:instrText>
    </w:r>
    <w:r w:rsidR="00ED3C6D">
      <w:fldChar w:fldCharType="separate"/>
    </w:r>
    <w:r w:rsidR="00D70A6C" w:rsidRPr="00D70A6C">
      <w:rPr>
        <w:noProof/>
      </w:rPr>
      <w:t>9</w:t>
    </w:r>
    <w:r w:rsidR="00ED3C6D">
      <w:rPr>
        <w:noProof/>
      </w:rPr>
      <w:fldChar w:fldCharType="end"/>
    </w:r>
    <w:r w:rsidRPr="00D70A6C">
      <w:tab/>
    </w:r>
    <w:r w:rsidRPr="00D70A6C">
      <w:rPr>
        <w:rStyle w:val="HideTWBExt"/>
      </w:rPr>
      <w:t>&lt;PathFdR&gt;</w:t>
    </w:r>
    <w:r w:rsidRPr="00D70A6C">
      <w:t>RR\1298833CS.docx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PathFdR</w:t>
    </w:r>
    <w:proofErr w:type="spellEnd"/>
    <w:r w:rsidRPr="00D70A6C">
      <w:rPr>
        <w:rStyle w:val="HideTWBExt"/>
      </w:rPr>
      <w:t>&gt;</w:t>
    </w:r>
  </w:p>
  <w:p w:rsidR="007E5E45" w:rsidRPr="00D70A6C" w:rsidRDefault="007E5E45" w:rsidP="00054A63">
    <w:pPr>
      <w:pStyle w:val="EPFooter2"/>
    </w:pPr>
    <w:r w:rsidRPr="00D70A6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E45" w:rsidRPr="00D70A6C" w:rsidRDefault="007E5E45" w:rsidP="00054A63">
    <w:pPr>
      <w:pStyle w:val="EPFooter"/>
    </w:pPr>
    <w:r w:rsidRPr="00D70A6C">
      <w:rPr>
        <w:rStyle w:val="HideTWBExt"/>
      </w:rPr>
      <w:t>&lt;PathFdR&gt;</w:t>
    </w:r>
    <w:r w:rsidRPr="00D70A6C">
      <w:t>RR\1298833CS.docx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PathFdR</w:t>
    </w:r>
    <w:proofErr w:type="spellEnd"/>
    <w:r w:rsidRPr="00D70A6C">
      <w:rPr>
        <w:rStyle w:val="HideTWBExt"/>
      </w:rPr>
      <w:t>&gt;</w:t>
    </w:r>
    <w:r w:rsidRPr="00D70A6C">
      <w:tab/>
    </w:r>
    <w:r w:rsidRPr="00D70A6C">
      <w:tab/>
      <w:t>PE</w:t>
    </w:r>
    <w:r w:rsidRPr="00D70A6C">
      <w:rPr>
        <w:rStyle w:val="HideTWBExt"/>
      </w:rPr>
      <w:t>&lt;</w:t>
    </w:r>
    <w:proofErr w:type="spellStart"/>
    <w:r w:rsidRPr="00D70A6C">
      <w:rPr>
        <w:rStyle w:val="HideTWBExt"/>
      </w:rPr>
      <w:t>NoPE</w:t>
    </w:r>
    <w:proofErr w:type="spellEnd"/>
    <w:r w:rsidRPr="00D70A6C">
      <w:rPr>
        <w:rStyle w:val="HideTWBExt"/>
      </w:rPr>
      <w:t>&gt;</w:t>
    </w:r>
    <w:r w:rsidRPr="00D70A6C">
      <w:t>753.529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NoPE</w:t>
    </w:r>
    <w:proofErr w:type="spellEnd"/>
    <w:r w:rsidRPr="00D70A6C">
      <w:rPr>
        <w:rStyle w:val="HideTWBExt"/>
      </w:rPr>
      <w:t>&gt;&lt;Version&gt;</w:t>
    </w:r>
    <w:r w:rsidRPr="00D70A6C">
      <w:t>v02-00</w:t>
    </w:r>
    <w:r w:rsidRPr="00D70A6C">
      <w:rPr>
        <w:rStyle w:val="HideTWBExt"/>
      </w:rPr>
      <w:t>&lt;/</w:t>
    </w:r>
    <w:proofErr w:type="spellStart"/>
    <w:r w:rsidRPr="00D70A6C">
      <w:rPr>
        <w:rStyle w:val="HideTWBExt"/>
      </w:rPr>
      <w:t>Version</w:t>
    </w:r>
    <w:proofErr w:type="spellEnd"/>
    <w:r w:rsidRPr="00D70A6C">
      <w:rPr>
        <w:rStyle w:val="HideTWBExt"/>
      </w:rPr>
      <w:t>&gt;</w:t>
    </w:r>
  </w:p>
  <w:p w:rsidR="007E5E45" w:rsidRPr="00D70A6C" w:rsidRDefault="007E5E45" w:rsidP="00054A63">
    <w:pPr>
      <w:pStyle w:val="EPFooter2"/>
    </w:pPr>
    <w:r w:rsidRPr="00D70A6C">
      <w:t>CS</w:t>
    </w:r>
    <w:r w:rsidRPr="00D70A6C">
      <w:tab/>
    </w:r>
    <w:r w:rsidRPr="00D70A6C">
      <w:rPr>
        <w:b w:val="0"/>
        <w:i/>
        <w:color w:val="C0C0C0"/>
        <w:sz w:val="22"/>
      </w:rPr>
      <w:t>Jednotná v rozmanitosti</w:t>
    </w:r>
    <w:r w:rsidRPr="00D70A6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E4F" w:rsidRPr="00D70A6C" w:rsidRDefault="00C61E4F">
      <w:r w:rsidRPr="00D70A6C">
        <w:separator/>
      </w:r>
    </w:p>
  </w:footnote>
  <w:footnote w:type="continuationSeparator" w:id="0">
    <w:p w:rsidR="00C61E4F" w:rsidRPr="00D70A6C" w:rsidRDefault="00C61E4F">
      <w:r w:rsidRPr="00D70A6C">
        <w:continuationSeparator/>
      </w:r>
    </w:p>
  </w:footnote>
  <w:footnote w:id="1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C/2023/594, 27.10.2023.</w:t>
      </w:r>
    </w:p>
  </w:footnote>
  <w:footnote w:id="2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C/2023/112, 12.10.2023.</w:t>
      </w:r>
    </w:p>
  </w:footnote>
  <w:footnote w:id="3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L 193, 30.7.2018, s. 1.</w:t>
      </w:r>
    </w:p>
  </w:footnote>
  <w:footnote w:id="4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L 41, 15.2.2008, s. 15.</w:t>
      </w:r>
    </w:p>
  </w:footnote>
  <w:footnote w:id="5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C /2023/594, 27.10.2023.</w:t>
      </w:r>
    </w:p>
  </w:footnote>
  <w:footnote w:id="6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C/2023/112, 12.10.2023.</w:t>
      </w:r>
    </w:p>
  </w:footnote>
  <w:footnote w:id="7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L 193, 30.7.2018, s. 1.</w:t>
      </w:r>
    </w:p>
  </w:footnote>
  <w:footnote w:id="8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proofErr w:type="spellStart"/>
      <w:r w:rsidRPr="00D70A6C">
        <w:rPr>
          <w:sz w:val="24"/>
          <w:lang w:val="cs-CZ"/>
        </w:rPr>
        <w:t>Úř</w:t>
      </w:r>
      <w:proofErr w:type="spellEnd"/>
      <w:r w:rsidRPr="00D70A6C">
        <w:rPr>
          <w:sz w:val="24"/>
          <w:lang w:val="cs-CZ"/>
        </w:rPr>
        <w:t xml:space="preserve">. </w:t>
      </w:r>
      <w:proofErr w:type="spellStart"/>
      <w:r w:rsidRPr="00D70A6C">
        <w:rPr>
          <w:sz w:val="24"/>
          <w:lang w:val="cs-CZ"/>
        </w:rPr>
        <w:t>věst</w:t>
      </w:r>
      <w:proofErr w:type="spellEnd"/>
      <w:r w:rsidRPr="00D70A6C">
        <w:rPr>
          <w:sz w:val="24"/>
          <w:lang w:val="cs-CZ"/>
        </w:rPr>
        <w:t>. L 41, 15.2.2008, s. 15.</w:t>
      </w:r>
    </w:p>
  </w:footnote>
  <w:footnote w:id="9">
    <w:p w:rsidR="007E5E45" w:rsidRPr="00D70A6C" w:rsidRDefault="007E5E45" w:rsidP="00D70A6C">
      <w:pPr>
        <w:pStyle w:val="FootnoteText"/>
        <w:ind w:left="567" w:hanging="567"/>
        <w:rPr>
          <w:sz w:val="24"/>
          <w:lang w:val="cs-CZ"/>
        </w:rPr>
      </w:pPr>
      <w:r w:rsidRPr="00D70A6C">
        <w:rPr>
          <w:rStyle w:val="FootnoteReference"/>
          <w:sz w:val="24"/>
          <w:lang w:val="cs-CZ"/>
        </w:rPr>
        <w:footnoteRef/>
      </w:r>
      <w:r w:rsidR="00D70A6C" w:rsidRPr="00D70A6C">
        <w:rPr>
          <w:sz w:val="24"/>
          <w:lang w:val="cs-CZ"/>
        </w:rPr>
        <w:t xml:space="preserve"> </w:t>
      </w:r>
      <w:r w:rsidR="00D70A6C" w:rsidRPr="00D70A6C">
        <w:rPr>
          <w:sz w:val="24"/>
          <w:lang w:val="cs-CZ"/>
        </w:rPr>
        <w:tab/>
      </w:r>
      <w:r w:rsidRPr="00D70A6C">
        <w:rPr>
          <w:sz w:val="24"/>
          <w:lang w:val="cs-CZ"/>
        </w:rPr>
        <w:t xml:space="preserve">Přijaté texty, </w:t>
      </w:r>
      <w:r w:rsidRPr="00D70A6C">
        <w:rPr>
          <w:sz w:val="24"/>
          <w:lang w:val="cs-CZ"/>
        </w:rPr>
        <w:t>P9_TA(2024)0</w:t>
      </w:r>
      <w:r w:rsidR="004777D2">
        <w:rPr>
          <w:sz w:val="24"/>
          <w:lang w:val="cs-CZ"/>
        </w:rPr>
        <w:t>28</w:t>
      </w:r>
      <w:r w:rsidRPr="00D70A6C">
        <w:rPr>
          <w:sz w:val="24"/>
          <w:lang w:val="cs-CZ"/>
        </w:rPr>
        <w:t>0</w:t>
      </w:r>
      <w:bookmarkStart w:id="10" w:name="_GoBack"/>
      <w:bookmarkEnd w:id="10"/>
      <w:r w:rsidRPr="00D70A6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A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8/2024"/>
    <w:docVar w:name="dvlangue" w:val="CS"/>
    <w:docVar w:name="dvnumam" w:val="0"/>
    <w:docVar w:name="dvpe" w:val="753.529"/>
    <w:docVar w:name="dvrapporteur" w:val="Zpravodaj: "/>
    <w:docVar w:name="dvtitre" w:val="1. Rozhodnutí Evropského parlamentu ze dne11. dubna 2024 o udělení absolutoria za plnění rozpočtu Zásobovací agentury Euratomu na rozpočtový rok 2022(2023/2161(DEC))"/>
  </w:docVars>
  <w:rsids>
    <w:rsidRoot w:val="00C61E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1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7D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634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E4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B9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1E4F"/>
    <w:rsid w:val="00C941CB"/>
    <w:rsid w:val="00CC2357"/>
    <w:rsid w:val="00CF071A"/>
    <w:rsid w:val="00D058B8"/>
    <w:rsid w:val="00D56C11"/>
    <w:rsid w:val="00D70A6C"/>
    <w:rsid w:val="00D834A0"/>
    <w:rsid w:val="00D872DF"/>
    <w:rsid w:val="00D91E21"/>
    <w:rsid w:val="00DA7FCD"/>
    <w:rsid w:val="00E365E1"/>
    <w:rsid w:val="00E80190"/>
    <w:rsid w:val="00E820A4"/>
    <w:rsid w:val="00EB006A"/>
    <w:rsid w:val="00EB4772"/>
    <w:rsid w:val="00ED169E"/>
    <w:rsid w:val="00ED4235"/>
    <w:rsid w:val="00EE0CD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F3E1D"/>
  <w15:chartTrackingRefBased/>
  <w15:docId w15:val="{C07F65A4-F3FF-46DD-A87F-C01198FE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E5E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E5E45"/>
    <w:pPr>
      <w:spacing w:before="480" w:after="240"/>
    </w:pPr>
  </w:style>
  <w:style w:type="paragraph" w:customStyle="1" w:styleId="PageHeading">
    <w:name w:val="PageHeading"/>
    <w:basedOn w:val="Normal"/>
    <w:rsid w:val="007E5E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E5E45"/>
    <w:rPr>
      <w:b/>
    </w:rPr>
  </w:style>
  <w:style w:type="paragraph" w:customStyle="1" w:styleId="NormalHanging12a">
    <w:name w:val="NormalHanging12a"/>
    <w:basedOn w:val="Normal"/>
    <w:link w:val="NormalHanging12aChar"/>
    <w:rsid w:val="007E5E4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E5E45"/>
    <w:pPr>
      <w:spacing w:after="240"/>
      <w:jc w:val="center"/>
    </w:pPr>
  </w:style>
  <w:style w:type="paragraph" w:styleId="Header">
    <w:name w:val="header"/>
    <w:basedOn w:val="Normal"/>
    <w:link w:val="HeaderChar"/>
    <w:rsid w:val="007E5E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5E45"/>
    <w:rPr>
      <w:sz w:val="24"/>
      <w:lang w:val="cs-CZ"/>
    </w:rPr>
  </w:style>
  <w:style w:type="paragraph" w:customStyle="1" w:styleId="EPFooter">
    <w:name w:val="EPFooter"/>
    <w:basedOn w:val="Normal"/>
    <w:rsid w:val="007E5E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7E5E45"/>
    <w:rPr>
      <w:sz w:val="24"/>
      <w:lang w:val="cs-CZ"/>
    </w:rPr>
  </w:style>
  <w:style w:type="paragraph" w:styleId="Footer">
    <w:name w:val="footer"/>
    <w:basedOn w:val="Normal"/>
    <w:link w:val="FooterChar"/>
    <w:rsid w:val="006563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634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C59DD-9362-4EFA-BE86-49A69424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2024-04-11T11:29:00Z</dcterms:created>
  <dcterms:modified xsi:type="dcterms:W3CDTF">2024-04-11T11:29:00Z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A9-0108/2024</vt:lpwstr>
  </property>
  <property fmtid="{D5CDD505-2E9C-101B-9397-08002B2CF9AE}" pid="4" name="&lt;Type&gt;">
    <vt:lpwstr>RR</vt:lpwstr>
  </property>
</Properties>
</file>