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F73" w14:paraId="69540871" w14:textId="77777777" w:rsidTr="0010095E">
        <w:trPr>
          <w:trHeight w:hRule="exact" w:val="1418"/>
        </w:trPr>
        <w:tc>
          <w:tcPr>
            <w:tcW w:w="6804" w:type="dxa"/>
            <w:shd w:val="clear" w:color="auto" w:fill="auto"/>
            <w:vAlign w:val="center"/>
          </w:tcPr>
          <w:p w14:paraId="47ABA1F7" w14:textId="77777777" w:rsidR="00751A4A" w:rsidRPr="00F72F73" w:rsidRDefault="002B603C" w:rsidP="0010095E">
            <w:pPr>
              <w:pStyle w:val="EPName"/>
            </w:pPr>
            <w:r w:rsidRPr="00F72F73">
              <w:t>Europa-Parlamentet</w:t>
            </w:r>
          </w:p>
          <w:p w14:paraId="1E715CAB" w14:textId="77777777" w:rsidR="00751A4A" w:rsidRPr="00F72F73" w:rsidRDefault="00817416" w:rsidP="00756632">
            <w:pPr>
              <w:pStyle w:val="EPTerm"/>
              <w:rPr>
                <w:rStyle w:val="HideTWBExt"/>
                <w:noProof w:val="0"/>
                <w:vanish w:val="0"/>
                <w:color w:val="auto"/>
              </w:rPr>
            </w:pPr>
            <w:r w:rsidRPr="00F72F73">
              <w:t>2019-2024</w:t>
            </w:r>
          </w:p>
        </w:tc>
        <w:tc>
          <w:tcPr>
            <w:tcW w:w="2268" w:type="dxa"/>
            <w:shd w:val="clear" w:color="auto" w:fill="auto"/>
          </w:tcPr>
          <w:p w14:paraId="7DFCE116" w14:textId="77777777" w:rsidR="00751A4A" w:rsidRPr="00F72F73" w:rsidRDefault="00187494" w:rsidP="0010095E">
            <w:pPr>
              <w:pStyle w:val="EPLogo"/>
            </w:pPr>
            <w:r w:rsidRPr="00F72F73">
              <w:rPr>
                <w:noProof/>
                <w:lang w:eastAsia="da-DK"/>
              </w:rPr>
              <w:drawing>
                <wp:inline distT="0" distB="0" distL="0" distR="0" wp14:anchorId="750AE739" wp14:editId="3E5578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D4D634" w14:textId="77777777" w:rsidR="00D058B8" w:rsidRPr="00F72F73" w:rsidRDefault="00D058B8" w:rsidP="004C5D52">
      <w:pPr>
        <w:pStyle w:val="LineTop"/>
      </w:pPr>
    </w:p>
    <w:p w14:paraId="1B2A6C19" w14:textId="77777777" w:rsidR="00680577" w:rsidRPr="00F72F73" w:rsidRDefault="002B603C" w:rsidP="00680577">
      <w:pPr>
        <w:pStyle w:val="EPBodyTA1"/>
      </w:pPr>
      <w:r w:rsidRPr="00F72F73">
        <w:t>VEDTAGNE TEKSTER</w:t>
      </w:r>
    </w:p>
    <w:p w14:paraId="4581C171" w14:textId="77777777" w:rsidR="00D058B8" w:rsidRPr="00F72F73" w:rsidRDefault="00D058B8" w:rsidP="00D058B8">
      <w:pPr>
        <w:pStyle w:val="LineBottom"/>
      </w:pPr>
    </w:p>
    <w:p w14:paraId="1DE6D509" w14:textId="4CFCEA9E" w:rsidR="002B603C" w:rsidRPr="00F72F73" w:rsidRDefault="002B603C" w:rsidP="002B603C">
      <w:pPr>
        <w:pStyle w:val="ATHeading1"/>
      </w:pPr>
      <w:bookmarkStart w:id="0" w:name="TANumber"/>
      <w:r w:rsidRPr="00F72F73">
        <w:t>P9_TA(2024)0</w:t>
      </w:r>
      <w:bookmarkEnd w:id="0"/>
      <w:r w:rsidR="00263DAA">
        <w:t>259</w:t>
      </w:r>
    </w:p>
    <w:p w14:paraId="3B876A99" w14:textId="77777777" w:rsidR="002B603C" w:rsidRPr="00F72F73" w:rsidRDefault="008A5272" w:rsidP="002B603C">
      <w:pPr>
        <w:pStyle w:val="ATHeading2"/>
      </w:pPr>
      <w:r w:rsidRPr="008A5272">
        <w:t>Decharge 2022: Euratoms Forsyningsagentur</w:t>
      </w:r>
    </w:p>
    <w:p w14:paraId="55114F7D" w14:textId="77777777" w:rsidR="002B603C" w:rsidRPr="00F72F73" w:rsidRDefault="002B603C" w:rsidP="002B603C">
      <w:pPr>
        <w:rPr>
          <w:i/>
          <w:vanish/>
        </w:rPr>
      </w:pPr>
      <w:r w:rsidRPr="00F72F73">
        <w:rPr>
          <w:i/>
        </w:rPr>
        <w:fldChar w:fldCharType="begin"/>
      </w:r>
      <w:r w:rsidRPr="00F72F73">
        <w:rPr>
          <w:i/>
        </w:rPr>
        <w:instrText xml:space="preserve"> TC"(</w:instrText>
      </w:r>
      <w:bookmarkStart w:id="1" w:name="DocNumber"/>
      <w:r w:rsidRPr="00F72F73">
        <w:rPr>
          <w:i/>
        </w:rPr>
        <w:instrText>A9-0108/2024</w:instrText>
      </w:r>
      <w:bookmarkEnd w:id="1"/>
      <w:r w:rsidRPr="00F72F73">
        <w:rPr>
          <w:i/>
        </w:rPr>
        <w:instrText xml:space="preserve"> - Ordfører: Petri Sarvamaa)"\l3 \n&gt; \* MERGEFORMAT </w:instrText>
      </w:r>
      <w:r w:rsidRPr="00F72F73">
        <w:rPr>
          <w:i/>
        </w:rPr>
        <w:fldChar w:fldCharType="end"/>
      </w:r>
    </w:p>
    <w:p w14:paraId="14235B6F" w14:textId="77777777" w:rsidR="002B603C" w:rsidRPr="00F72F73" w:rsidRDefault="002B603C" w:rsidP="002B603C">
      <w:pPr>
        <w:rPr>
          <w:vanish/>
        </w:rPr>
      </w:pPr>
      <w:bookmarkStart w:id="2" w:name="Commission"/>
      <w:r w:rsidRPr="00F72F73">
        <w:rPr>
          <w:vanish/>
        </w:rPr>
        <w:t>Budgetkontroludvalget</w:t>
      </w:r>
      <w:bookmarkEnd w:id="2"/>
    </w:p>
    <w:p w14:paraId="2B776FD1" w14:textId="77777777" w:rsidR="002B603C" w:rsidRPr="00F72F73" w:rsidRDefault="002B603C" w:rsidP="002B603C">
      <w:pPr>
        <w:rPr>
          <w:vanish/>
        </w:rPr>
      </w:pPr>
      <w:bookmarkStart w:id="3" w:name="PE"/>
      <w:r w:rsidRPr="00F72F73">
        <w:rPr>
          <w:vanish/>
        </w:rPr>
        <w:t>PE753.529</w:t>
      </w:r>
      <w:bookmarkEnd w:id="3"/>
    </w:p>
    <w:p w14:paraId="20096B23" w14:textId="77777777" w:rsidR="002B603C" w:rsidRPr="00F72F73" w:rsidRDefault="005F172C" w:rsidP="002B603C">
      <w:pPr>
        <w:pStyle w:val="ATHeading3"/>
      </w:pPr>
      <w:bookmarkStart w:id="4" w:name="Sujet"/>
      <w:r>
        <w:t xml:space="preserve">1. </w:t>
      </w:r>
      <w:r w:rsidRPr="009574E6">
        <w:t xml:space="preserve">Europa-Parlamentets </w:t>
      </w:r>
      <w:r>
        <w:t xml:space="preserve">afgørelse af 11. april 2024 </w:t>
      </w:r>
      <w:r w:rsidRPr="009574E6">
        <w:t>om decharge</w:t>
      </w:r>
      <w:r w:rsidR="002B603C" w:rsidRPr="00F72F73">
        <w:t xml:space="preserve"> for gennemførelsen af budgettet for Euratoms Forsyningsagentur for regnskabsåret 2022</w:t>
      </w:r>
      <w:bookmarkEnd w:id="4"/>
      <w:r w:rsidR="002B603C" w:rsidRPr="00F72F73">
        <w:t xml:space="preserve"> </w:t>
      </w:r>
      <w:bookmarkStart w:id="5" w:name="References"/>
      <w:r w:rsidR="002B603C" w:rsidRPr="00F72F73">
        <w:t>(2023/2161(DEC))</w:t>
      </w:r>
      <w:bookmarkEnd w:id="5"/>
    </w:p>
    <w:p w14:paraId="245FD8C3" w14:textId="77777777" w:rsidR="00AF7D7A" w:rsidRPr="00F72F73" w:rsidRDefault="00AF7D7A" w:rsidP="00AF7D7A">
      <w:pPr>
        <w:pStyle w:val="EPComma"/>
      </w:pPr>
      <w:bookmarkStart w:id="6" w:name="TextBodyBegin"/>
      <w:bookmarkEnd w:id="6"/>
      <w:r w:rsidRPr="00F72F73">
        <w:rPr>
          <w:i/>
        </w:rPr>
        <w:t>Europa-Parlamentet</w:t>
      </w:r>
      <w:r w:rsidRPr="00F72F73">
        <w:t>,</w:t>
      </w:r>
    </w:p>
    <w:p w14:paraId="0C0B696A" w14:textId="77777777" w:rsidR="00AF7D7A" w:rsidRPr="00F72F73" w:rsidRDefault="00AF7D7A" w:rsidP="00AF7D7A">
      <w:pPr>
        <w:pStyle w:val="NormalHanging12a"/>
      </w:pPr>
      <w:r w:rsidRPr="00F72F73">
        <w:t>–</w:t>
      </w:r>
      <w:r w:rsidRPr="00F72F73">
        <w:tab/>
        <w:t>der henviser til det endelige årsregnskab for Euratoms Forsyningsagentur for regnskabsåret 2022,</w:t>
      </w:r>
    </w:p>
    <w:p w14:paraId="2CD7C04E" w14:textId="77777777" w:rsidR="00AF7D7A" w:rsidRPr="00F72F73" w:rsidRDefault="00AF7D7A" w:rsidP="00AF7D7A">
      <w:pPr>
        <w:pStyle w:val="NormalHanging12a"/>
      </w:pPr>
      <w:r w:rsidRPr="00F72F73">
        <w:t>–</w:t>
      </w:r>
      <w:r w:rsidRPr="00F72F73">
        <w:tab/>
        <w:t>der henviser til Revisionsrettens årsberetning om EU-agenturerne for regnskabsåret 2022, med agenturernes svar</w:t>
      </w:r>
      <w:r w:rsidRPr="00F72F73">
        <w:rPr>
          <w:rStyle w:val="FootnoteReference"/>
        </w:rPr>
        <w:footnoteReference w:id="1"/>
      </w:r>
      <w:r w:rsidRPr="00F72F73">
        <w:t>,</w:t>
      </w:r>
    </w:p>
    <w:p w14:paraId="6BF93E09" w14:textId="77777777" w:rsidR="00AF7D7A" w:rsidRPr="00F72F73" w:rsidRDefault="00AF7D7A" w:rsidP="00AF7D7A">
      <w:pPr>
        <w:pStyle w:val="NormalHanging12a"/>
      </w:pPr>
      <w:r w:rsidRPr="00F72F73">
        <w:t>–</w:t>
      </w:r>
      <w:r w:rsidRPr="00F72F73">
        <w:tab/>
        <w:t>der henviser til Revisionsrettens erklæring for regnskabsåret 2022 om regnskabernes rigtighed</w:t>
      </w:r>
      <w:r w:rsidRPr="00F72F73">
        <w:rPr>
          <w:rStyle w:val="FootnoteReference"/>
        </w:rPr>
        <w:footnoteReference w:id="2"/>
      </w:r>
      <w:r w:rsidRPr="00F72F73">
        <w:t xml:space="preserve"> og de underliggende transaktioners lovlighed og formelle rigtighed, jf. artikel 287 i traktaten om Den Europæiske Unions funktionsmåde,</w:t>
      </w:r>
    </w:p>
    <w:p w14:paraId="53CDC6F8" w14:textId="739EAA21" w:rsidR="00AF7D7A" w:rsidRPr="00F72F73" w:rsidRDefault="00AF7D7A" w:rsidP="00AF7D7A">
      <w:pPr>
        <w:pStyle w:val="NormalHanging12a"/>
      </w:pPr>
      <w:r w:rsidRPr="00F72F73">
        <w:t>–</w:t>
      </w:r>
      <w:r w:rsidRPr="00F72F73">
        <w:tab/>
        <w:t>der henviser til Rådets henstilling af 22. februar 2024 om decharge til agenturet for gennemførelsen af budgettet for regnskabsåret 2022 (</w:t>
      </w:r>
      <w:r w:rsidR="00A5294A" w:rsidRPr="00487C13">
        <w:t>06180</w:t>
      </w:r>
      <w:r w:rsidRPr="00F72F73">
        <w:t>/2024 – C9</w:t>
      </w:r>
      <w:r w:rsidRPr="00F72F73">
        <w:noBreakHyphen/>
        <w:t>00</w:t>
      </w:r>
      <w:r w:rsidR="00A5294A">
        <w:t>99</w:t>
      </w:r>
      <w:r w:rsidRPr="00F72F73">
        <w:t>/2024),</w:t>
      </w:r>
    </w:p>
    <w:p w14:paraId="185700EC" w14:textId="77777777" w:rsidR="00AF7D7A" w:rsidRPr="00F72F73" w:rsidRDefault="00AF7D7A" w:rsidP="00AF7D7A">
      <w:pPr>
        <w:pStyle w:val="NormalHanging12a"/>
      </w:pPr>
      <w:r w:rsidRPr="00F72F73">
        <w:t>–</w:t>
      </w:r>
      <w:r w:rsidRPr="00F72F73">
        <w:tab/>
        <w:t>der henviser til artikel 319 i traktaten om Den Europæiske Unions funktionsmåde,</w:t>
      </w:r>
    </w:p>
    <w:p w14:paraId="5CCB15A1" w14:textId="77777777" w:rsidR="00AF7D7A" w:rsidRPr="00F72F73" w:rsidRDefault="00AF7D7A" w:rsidP="00AF7D7A">
      <w:pPr>
        <w:pStyle w:val="NormalHanging12a"/>
      </w:pPr>
      <w:r w:rsidRPr="00F72F73">
        <w:t>–</w:t>
      </w:r>
      <w:r w:rsidRPr="00F72F73">
        <w:tab/>
        <w:t>der henviser til artikel 106A i traktaten om oprettelse af Det Europæiske Atomenergifællesskab,</w:t>
      </w:r>
    </w:p>
    <w:p w14:paraId="7609AEA8" w14:textId="77777777" w:rsidR="00AF7D7A" w:rsidRPr="00F72F73" w:rsidRDefault="00AF7D7A" w:rsidP="00AF7D7A">
      <w:pPr>
        <w:pStyle w:val="NormalHanging12a"/>
      </w:pPr>
      <w:r w:rsidRPr="00F72F73">
        <w:t>–</w:t>
      </w:r>
      <w:r w:rsidRPr="00F72F73">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F72F73">
        <w:rPr>
          <w:rStyle w:val="FootnoteReference"/>
        </w:rPr>
        <w:footnoteReference w:id="3"/>
      </w:r>
      <w:r w:rsidRPr="00F72F73">
        <w:t>, særlig artikel 68,</w:t>
      </w:r>
    </w:p>
    <w:p w14:paraId="6C7E55D2" w14:textId="77777777" w:rsidR="00AF7D7A" w:rsidRPr="00F72F73" w:rsidRDefault="00AF7D7A" w:rsidP="00AF7D7A">
      <w:pPr>
        <w:pStyle w:val="NormalHanging12a"/>
      </w:pPr>
      <w:r w:rsidRPr="00F72F73">
        <w:t>–</w:t>
      </w:r>
      <w:r w:rsidRPr="00F72F73">
        <w:tab/>
        <w:t xml:space="preserve">der henviser til Rådets afgørelse 2008/114/EF, Euratom af 12. februar 2008 om </w:t>
      </w:r>
      <w:r w:rsidRPr="00F72F73">
        <w:lastRenderedPageBreak/>
        <w:t>fastsættelse af vedtægterne for Euratoms Forsyningsagentur</w:t>
      </w:r>
      <w:r w:rsidRPr="00F72F73">
        <w:rPr>
          <w:rStyle w:val="FootnoteReference"/>
        </w:rPr>
        <w:footnoteReference w:id="4"/>
      </w:r>
      <w:r w:rsidRPr="00F72F73">
        <w:t>, særlig artikel 8 i bilaget,</w:t>
      </w:r>
    </w:p>
    <w:p w14:paraId="45AF3D9E" w14:textId="77777777" w:rsidR="00AF7D7A" w:rsidRPr="00F72F73" w:rsidRDefault="00AF7D7A" w:rsidP="00AF7D7A">
      <w:pPr>
        <w:pStyle w:val="NormalHanging12a"/>
      </w:pPr>
      <w:r w:rsidRPr="00F72F73">
        <w:t>–</w:t>
      </w:r>
      <w:r w:rsidRPr="00F72F73">
        <w:tab/>
        <w:t>der henviser til forretningsordenens artikel 100 og bilag V,</w:t>
      </w:r>
    </w:p>
    <w:p w14:paraId="6EDBB8A0" w14:textId="77777777" w:rsidR="00AF7D7A" w:rsidRPr="00F72F73" w:rsidRDefault="00AF7D7A" w:rsidP="00AF7D7A">
      <w:pPr>
        <w:pStyle w:val="NormalHanging12a"/>
      </w:pPr>
      <w:r w:rsidRPr="00F72F73">
        <w:t>–</w:t>
      </w:r>
      <w:r w:rsidRPr="00F72F73">
        <w:tab/>
        <w:t>der henviser til betænkning fra Budgetkontroludvalget (A9-0108/2024),</w:t>
      </w:r>
    </w:p>
    <w:p w14:paraId="7E46D758" w14:textId="77777777" w:rsidR="00AF7D7A" w:rsidRPr="00F72F73" w:rsidRDefault="00AF7D7A" w:rsidP="00AF7D7A">
      <w:pPr>
        <w:pStyle w:val="NormalHanging12a"/>
      </w:pPr>
      <w:r w:rsidRPr="00F72F73">
        <w:t>1.</w:t>
      </w:r>
      <w:r w:rsidRPr="00F72F73">
        <w:tab/>
        <w:t>meddeler den fungerende generaldirektør for Euratoms Forsyningsagentur decharge for gennemførelsen af agenturets budget for regnskabsåret 2022;</w:t>
      </w:r>
    </w:p>
    <w:p w14:paraId="7EC049AB" w14:textId="77777777" w:rsidR="00AF7D7A" w:rsidRPr="00F72F73" w:rsidRDefault="00AF7D7A" w:rsidP="00AF7D7A">
      <w:pPr>
        <w:pStyle w:val="NormalHanging12a"/>
      </w:pPr>
      <w:r w:rsidRPr="00F72F73">
        <w:t>2.</w:t>
      </w:r>
      <w:r w:rsidRPr="00F72F73">
        <w:tab/>
        <w:t>fremsætter sine bemærkninger i nedenstående beslutning;</w:t>
      </w:r>
    </w:p>
    <w:p w14:paraId="31D72B52" w14:textId="77777777" w:rsidR="00AF7D7A" w:rsidRPr="00F72F73" w:rsidRDefault="00AF7D7A" w:rsidP="00AF7D7A">
      <w:pPr>
        <w:pStyle w:val="NormalHanging12a"/>
      </w:pPr>
      <w:r w:rsidRPr="00F72F73">
        <w:t>3.</w:t>
      </w:r>
      <w:r w:rsidRPr="00F72F73">
        <w:tab/>
        <w:t xml:space="preserve">pålægger sin formand at sende denne afgørelse og beslutningen, der er en integrerende del heraf, til den fungerende generaldirektør for Euratoms Forsyningsagentur, Rådet, Kommissionen og Revisionsretten og drage omsorg for, at de offentliggøres i </w:t>
      </w:r>
      <w:r w:rsidRPr="00F72F73">
        <w:rPr>
          <w:i/>
        </w:rPr>
        <w:t>Den Europæiske Unions Tidende</w:t>
      </w:r>
      <w:r w:rsidRPr="00F72F73">
        <w:t xml:space="preserve"> (L-udgaven).</w:t>
      </w:r>
    </w:p>
    <w:p w14:paraId="26A5A88E" w14:textId="77777777" w:rsidR="00AF7D7A" w:rsidRPr="00F72F73" w:rsidRDefault="00AF7D7A" w:rsidP="00AF7D7A"/>
    <w:p w14:paraId="3C40192B" w14:textId="77777777" w:rsidR="00AF7D7A" w:rsidRPr="00F72F73" w:rsidRDefault="00AF7D7A" w:rsidP="00AF7D7A">
      <w:pPr>
        <w:widowControl/>
        <w:rPr>
          <w:rFonts w:ascii="Arial" w:hAnsi="Arial" w:cs="Arial"/>
          <w:b/>
        </w:rPr>
        <w:sectPr w:rsidR="00AF7D7A" w:rsidRPr="00F72F73" w:rsidSect="00F72F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02124856" w14:textId="77777777" w:rsidR="005F172C" w:rsidRPr="009574E6" w:rsidRDefault="005F172C" w:rsidP="005F172C">
      <w:pPr>
        <w:pStyle w:val="ATHeading3"/>
      </w:pPr>
      <w:r>
        <w:lastRenderedPageBreak/>
        <w:t xml:space="preserve">2. </w:t>
      </w:r>
      <w:r w:rsidRPr="009574E6">
        <w:t xml:space="preserve">Europa-Parlamentets afgørelse af </w:t>
      </w:r>
      <w:r>
        <w:t>11. april 2024</w:t>
      </w:r>
      <w:r w:rsidRPr="009574E6">
        <w:t xml:space="preserve"> </w:t>
      </w:r>
      <w:r w:rsidRPr="00F72F73">
        <w:t>om afslutning af regnskaberne for Euratoms Forsyningsagentur for regnskabsåret 2022</w:t>
      </w:r>
      <w:r>
        <w:t xml:space="preserve"> </w:t>
      </w:r>
      <w:r w:rsidRPr="00F72F73">
        <w:t>(2023/2161(DEC))</w:t>
      </w:r>
    </w:p>
    <w:p w14:paraId="126DCA2F" w14:textId="77777777" w:rsidR="00AF7D7A" w:rsidRPr="00F72F73" w:rsidRDefault="00AF7D7A" w:rsidP="00AF7D7A">
      <w:pPr>
        <w:pStyle w:val="EPComma"/>
      </w:pPr>
      <w:r w:rsidRPr="00F72F73">
        <w:rPr>
          <w:i/>
        </w:rPr>
        <w:t>Europa-Parlamentet,</w:t>
      </w:r>
    </w:p>
    <w:p w14:paraId="18F236BC" w14:textId="77777777" w:rsidR="00AF7D7A" w:rsidRPr="00F72F73" w:rsidRDefault="00AF7D7A" w:rsidP="00AF7D7A">
      <w:pPr>
        <w:pStyle w:val="NormalHanging12a"/>
      </w:pPr>
      <w:r w:rsidRPr="00F72F73">
        <w:t>–</w:t>
      </w:r>
      <w:r w:rsidRPr="00F72F73">
        <w:tab/>
        <w:t>der henviser til det endelige årsregnskab for Euratoms Forsyningsagentur for regnskabsåret 2022,</w:t>
      </w:r>
    </w:p>
    <w:p w14:paraId="1F2A839F" w14:textId="77777777" w:rsidR="00AF7D7A" w:rsidRPr="00F72F73" w:rsidRDefault="00AF7D7A" w:rsidP="00AF7D7A">
      <w:pPr>
        <w:pStyle w:val="NormalHanging12a"/>
      </w:pPr>
      <w:r w:rsidRPr="00F72F73">
        <w:t>–</w:t>
      </w:r>
      <w:r w:rsidRPr="00F72F73">
        <w:tab/>
        <w:t>der henviser til Revisionsrettens årsberetning om EU-agenturerne for regnskabsåret 2022, med agenturernes svar</w:t>
      </w:r>
      <w:r w:rsidRPr="00F72F73">
        <w:rPr>
          <w:rStyle w:val="FootnoteReference"/>
        </w:rPr>
        <w:footnoteReference w:id="5"/>
      </w:r>
      <w:r w:rsidRPr="00F72F73">
        <w:t>,</w:t>
      </w:r>
    </w:p>
    <w:p w14:paraId="3D081C84" w14:textId="77777777" w:rsidR="00AF7D7A" w:rsidRPr="00F72F73" w:rsidRDefault="00AF7D7A" w:rsidP="00AF7D7A">
      <w:pPr>
        <w:pStyle w:val="NormalHanging12a"/>
      </w:pPr>
      <w:r w:rsidRPr="00F72F73">
        <w:t>–</w:t>
      </w:r>
      <w:r w:rsidRPr="00F72F73">
        <w:tab/>
        <w:t>der henviser til Revisionsrettens erklæring for regnskabsåret 2022 om regnskabernes rigtighed</w:t>
      </w:r>
      <w:r w:rsidRPr="00F72F73">
        <w:rPr>
          <w:rStyle w:val="FootnoteReference"/>
        </w:rPr>
        <w:footnoteReference w:id="6"/>
      </w:r>
      <w:r w:rsidRPr="00F72F73">
        <w:t xml:space="preserve"> og de underliggende transaktioners lovlighed og formelle rigtighed, jf. artikel 287 i traktaten om Den Europæiske Unions funktionsmåde,</w:t>
      </w:r>
    </w:p>
    <w:p w14:paraId="7B3ABECE" w14:textId="5BEB09ED" w:rsidR="00AF7D7A" w:rsidRPr="00F72F73" w:rsidRDefault="00AF7D7A" w:rsidP="00AF7D7A">
      <w:pPr>
        <w:pStyle w:val="NormalHanging12a"/>
      </w:pPr>
      <w:r w:rsidRPr="00F72F73">
        <w:t>–</w:t>
      </w:r>
      <w:r w:rsidRPr="00F72F73">
        <w:tab/>
        <w:t>der henviser til Rådets henstilling af 22. februar 2024 om decharge til agenturet for gennemførelsen af budgettet for regnskabsåret 2022 (</w:t>
      </w:r>
      <w:r w:rsidR="00A5294A" w:rsidRPr="00487C13">
        <w:t>06180</w:t>
      </w:r>
      <w:r w:rsidRPr="00F72F73">
        <w:t>/2024 – C9</w:t>
      </w:r>
      <w:r w:rsidRPr="00F72F73">
        <w:noBreakHyphen/>
        <w:t>00</w:t>
      </w:r>
      <w:r w:rsidR="00A5294A">
        <w:t>99</w:t>
      </w:r>
      <w:r w:rsidRPr="00F72F73">
        <w:t>/2024),</w:t>
      </w:r>
    </w:p>
    <w:p w14:paraId="17B6D049" w14:textId="77777777" w:rsidR="00AF7D7A" w:rsidRPr="00F72F73" w:rsidRDefault="00AF7D7A" w:rsidP="00AF7D7A">
      <w:pPr>
        <w:pStyle w:val="NormalHanging12a"/>
      </w:pPr>
      <w:r w:rsidRPr="00F72F73">
        <w:t>–</w:t>
      </w:r>
      <w:r w:rsidRPr="00F72F73">
        <w:tab/>
        <w:t>der henviser til artikel 319 i traktaten om Den Europæiske Unions funktionsmåde,</w:t>
      </w:r>
    </w:p>
    <w:p w14:paraId="5B614647" w14:textId="77777777" w:rsidR="00AF7D7A" w:rsidRPr="00F72F73" w:rsidRDefault="00AF7D7A" w:rsidP="00AF7D7A">
      <w:pPr>
        <w:pStyle w:val="NormalHanging12a"/>
      </w:pPr>
      <w:r w:rsidRPr="00F72F73">
        <w:t>–</w:t>
      </w:r>
      <w:r w:rsidRPr="00F72F73">
        <w:tab/>
        <w:t>der henviser til artikel 106A i traktaten om oprettelse af Det Europæiske Atomenergifællesskab,</w:t>
      </w:r>
    </w:p>
    <w:p w14:paraId="3DD1EFC1" w14:textId="77777777" w:rsidR="00AF7D7A" w:rsidRPr="00F72F73" w:rsidRDefault="00AF7D7A" w:rsidP="00AF7D7A">
      <w:pPr>
        <w:pStyle w:val="NormalHanging12a"/>
      </w:pPr>
      <w:r w:rsidRPr="00F72F73">
        <w:t>–</w:t>
      </w:r>
      <w:r w:rsidRPr="00F72F73">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F72F73">
        <w:rPr>
          <w:rStyle w:val="FootnoteReference"/>
        </w:rPr>
        <w:footnoteReference w:id="7"/>
      </w:r>
      <w:r w:rsidRPr="00F72F73">
        <w:t>, særlig artikel 68,</w:t>
      </w:r>
    </w:p>
    <w:p w14:paraId="39E79069" w14:textId="77777777" w:rsidR="00AF7D7A" w:rsidRPr="00F72F73" w:rsidRDefault="00AF7D7A" w:rsidP="00AF7D7A">
      <w:pPr>
        <w:pStyle w:val="NormalHanging12a"/>
      </w:pPr>
      <w:r w:rsidRPr="00F72F73">
        <w:t>–</w:t>
      </w:r>
      <w:r w:rsidRPr="00F72F73">
        <w:tab/>
        <w:t>der henviser til Rådets afgørelse 2008/114/EF, Euratom af 12. februar 2008 om fastsættelse af vedtægterne for Euratoms Forsyningsagentur</w:t>
      </w:r>
      <w:r w:rsidRPr="00F72F73">
        <w:rPr>
          <w:rStyle w:val="FootnoteReference"/>
        </w:rPr>
        <w:footnoteReference w:id="8"/>
      </w:r>
      <w:r w:rsidRPr="00F72F73">
        <w:t>, særlig artikel 8 i bilaget,</w:t>
      </w:r>
    </w:p>
    <w:p w14:paraId="039BE90F" w14:textId="77777777" w:rsidR="00AF7D7A" w:rsidRPr="00F72F73" w:rsidRDefault="00AF7D7A" w:rsidP="00AF7D7A">
      <w:pPr>
        <w:pStyle w:val="NormalHanging12a"/>
      </w:pPr>
      <w:r w:rsidRPr="00F72F73">
        <w:t>–</w:t>
      </w:r>
      <w:r w:rsidRPr="00F72F73">
        <w:tab/>
        <w:t>der henviser til forretningsordenens artikel 100 og bilag V,</w:t>
      </w:r>
    </w:p>
    <w:p w14:paraId="0F48A0EB" w14:textId="77777777" w:rsidR="00AF7D7A" w:rsidRPr="00F72F73" w:rsidRDefault="00AF7D7A" w:rsidP="00AF7D7A">
      <w:pPr>
        <w:pStyle w:val="NormalHanging12a"/>
      </w:pPr>
      <w:r w:rsidRPr="00F72F73">
        <w:t>–</w:t>
      </w:r>
      <w:r w:rsidRPr="00F72F73">
        <w:tab/>
        <w:t>der henviser til betænkning fra Budgetkontroludvalget (A9-0108/2024),</w:t>
      </w:r>
    </w:p>
    <w:p w14:paraId="7052213F" w14:textId="77777777" w:rsidR="00AF7D7A" w:rsidRPr="00F72F73" w:rsidRDefault="00AF7D7A" w:rsidP="00AF7D7A">
      <w:pPr>
        <w:pStyle w:val="NormalHanging12a"/>
      </w:pPr>
      <w:r w:rsidRPr="00F72F73">
        <w:t>1.</w:t>
      </w:r>
      <w:r w:rsidRPr="00F72F73">
        <w:tab/>
        <w:t>godkender afslutningen af regnskaberne for Euratoms Forsyningsagentur for regnskabsåret 2022;</w:t>
      </w:r>
    </w:p>
    <w:p w14:paraId="19D271D7" w14:textId="77777777" w:rsidR="00AF7D7A" w:rsidRPr="00F72F73" w:rsidRDefault="00AF7D7A" w:rsidP="00AF7D7A">
      <w:pPr>
        <w:pStyle w:val="NormalHanging12a"/>
      </w:pPr>
      <w:r w:rsidRPr="00F72F73">
        <w:t>2.</w:t>
      </w:r>
      <w:r w:rsidRPr="00F72F73">
        <w:tab/>
        <w:t xml:space="preserve">pålægger sin formand at sende denne afgørelse til den fungerende generaldirektør for Euratoms Forsyningsagentur, Rådet, Kommissionen og Revisionsretten og drage omsorg for, at den offentliggøres i </w:t>
      </w:r>
      <w:r w:rsidRPr="00F72F73">
        <w:rPr>
          <w:i/>
        </w:rPr>
        <w:t>Den Europæiske Unions Tidende</w:t>
      </w:r>
      <w:r w:rsidRPr="00F72F73">
        <w:t xml:space="preserve"> (L-udgaven).</w:t>
      </w:r>
    </w:p>
    <w:p w14:paraId="3965F3A3" w14:textId="77777777" w:rsidR="00AF7D7A" w:rsidRPr="00F72F73" w:rsidRDefault="00AF7D7A" w:rsidP="00AF7D7A"/>
    <w:p w14:paraId="17408657" w14:textId="77777777" w:rsidR="00AF7D7A" w:rsidRPr="00F72F73" w:rsidRDefault="00AF7D7A" w:rsidP="00AF7D7A">
      <w:pPr>
        <w:widowControl/>
        <w:rPr>
          <w:rFonts w:ascii="Arial" w:hAnsi="Arial" w:cs="Arial"/>
          <w:b/>
        </w:rPr>
        <w:sectPr w:rsidR="00AF7D7A" w:rsidRPr="00F72F73" w:rsidSect="00F72F73">
          <w:footnotePr>
            <w:numRestart w:val="eachPage"/>
          </w:footnotePr>
          <w:endnotePr>
            <w:numFmt w:val="decimal"/>
          </w:endnotePr>
          <w:pgSz w:w="11906" w:h="16838"/>
          <w:pgMar w:top="1134" w:right="1418" w:bottom="1418" w:left="1418" w:header="567" w:footer="567" w:gutter="0"/>
          <w:cols w:space="720"/>
          <w:docGrid w:linePitch="326"/>
        </w:sectPr>
      </w:pPr>
    </w:p>
    <w:p w14:paraId="216E6E15" w14:textId="77777777" w:rsidR="005F172C" w:rsidRPr="009574E6" w:rsidRDefault="005F172C" w:rsidP="005F172C">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F72F73">
        <w:t>med bemærkningerne, der er en integrerende del af afgørelsen om decharge for gennemførelsen af budgettet for Euratoms Forsyningsagentur for regnskabsåret 2022</w:t>
      </w:r>
      <w:r>
        <w:t xml:space="preserve"> </w:t>
      </w:r>
      <w:r w:rsidRPr="00F72F73">
        <w:t>(2023/2161(DEC))</w:t>
      </w:r>
    </w:p>
    <w:p w14:paraId="2481D121" w14:textId="77777777" w:rsidR="00AF7D7A" w:rsidRPr="00F72F73" w:rsidRDefault="00AF7D7A" w:rsidP="00AF7D7A">
      <w:pPr>
        <w:pStyle w:val="EPComma"/>
      </w:pPr>
      <w:r w:rsidRPr="00F72F73">
        <w:rPr>
          <w:i/>
        </w:rPr>
        <w:t>Europa-Parlamentet,</w:t>
      </w:r>
    </w:p>
    <w:p w14:paraId="2340ACFE" w14:textId="77777777" w:rsidR="00AF7D7A" w:rsidRPr="00F72F73" w:rsidRDefault="00AF7D7A" w:rsidP="00AF7D7A">
      <w:pPr>
        <w:pStyle w:val="NormalHanging12a"/>
      </w:pPr>
      <w:r w:rsidRPr="00F72F73">
        <w:t>–</w:t>
      </w:r>
      <w:r w:rsidRPr="00F72F73">
        <w:tab/>
        <w:t>der henviser til sin afgørelse om decharge for gennemførelsen af budgettet for Euratoms Forsyningsagentur ("agenturet") for regnskabsåret 2022,</w:t>
      </w:r>
    </w:p>
    <w:p w14:paraId="03394320" w14:textId="77777777" w:rsidR="00AF7D7A" w:rsidRPr="00F72F73" w:rsidRDefault="00AF7D7A" w:rsidP="00AF7D7A">
      <w:pPr>
        <w:pStyle w:val="NormalHanging12a"/>
      </w:pPr>
      <w:r w:rsidRPr="00F72F73">
        <w:t>–</w:t>
      </w:r>
      <w:r w:rsidRPr="00F72F73">
        <w:tab/>
        <w:t>der henviser til forretningsordenens artikel 100 og bilag V,</w:t>
      </w:r>
    </w:p>
    <w:p w14:paraId="46D0D49A" w14:textId="77777777" w:rsidR="00AF7D7A" w:rsidRPr="00F72F73" w:rsidRDefault="00AF7D7A" w:rsidP="00AF7D7A">
      <w:pPr>
        <w:pStyle w:val="NormalHanging12a"/>
      </w:pPr>
      <w:r w:rsidRPr="00F72F73">
        <w:t>–</w:t>
      </w:r>
      <w:r w:rsidRPr="00F72F73">
        <w:tab/>
        <w:t>der henviser til betænkning fra Budgetkontroludvalget (A9-0108/2024),</w:t>
      </w:r>
    </w:p>
    <w:p w14:paraId="5478F7B5" w14:textId="77777777" w:rsidR="00AF7D7A" w:rsidRPr="00F72F73" w:rsidRDefault="00AF7D7A" w:rsidP="00AF7D7A">
      <w:pPr>
        <w:spacing w:after="240"/>
        <w:ind w:left="567" w:hanging="567"/>
        <w:rPr>
          <w:szCs w:val="24"/>
        </w:rPr>
      </w:pPr>
      <w:r w:rsidRPr="00F72F73">
        <w:t>A.</w:t>
      </w:r>
      <w:r w:rsidRPr="00F72F73">
        <w:tab/>
        <w:t>der henviser til, at agenturets endelige budget for regnskabsåret 2022 ifølge dets oversigt over indtægter og udgifter var på 167 000 EUR, hvilket er et fald på 20,48 % i forhold til 2021 (210 000 EUR); der henviser til, at hele agenturets budget stammer fra Unionens budget;</w:t>
      </w:r>
    </w:p>
    <w:p w14:paraId="3FC3AA7A" w14:textId="77777777" w:rsidR="00AF7D7A" w:rsidRPr="00F72F73" w:rsidRDefault="00AF7D7A" w:rsidP="00AF7D7A">
      <w:pPr>
        <w:spacing w:after="240"/>
        <w:ind w:left="567" w:hanging="567"/>
        <w:rPr>
          <w:szCs w:val="24"/>
        </w:rPr>
      </w:pPr>
      <w:r w:rsidRPr="00F72F73">
        <w:t>B.</w:t>
      </w:r>
      <w:r w:rsidRPr="00F72F73">
        <w:tab/>
        <w:t>der henviser til, at Revisionsretten i sin beretning om agenturets årsregnskab for regnskabsåret 2022 ("Revisionsrettens beretning") fastslog, at den havde fået rimelig sikkerhed for, at agenturets årsregnskab er rigtigt, og at de underliggende transaktioner er lovlige og formelt rigtige;</w:t>
      </w:r>
    </w:p>
    <w:p w14:paraId="506FEE59" w14:textId="77777777" w:rsidR="00AF7D7A" w:rsidRPr="00F72F73" w:rsidRDefault="00AF7D7A" w:rsidP="00AF7D7A">
      <w:pPr>
        <w:spacing w:after="240"/>
        <w:ind w:left="567" w:hanging="567"/>
        <w:rPr>
          <w:szCs w:val="24"/>
        </w:rPr>
      </w:pPr>
      <w:r w:rsidRPr="00F72F73">
        <w:t>C.</w:t>
      </w:r>
      <w:r w:rsidRPr="00F72F73">
        <w:tab/>
        <w:t>der henviser til, at der med hensyn til agenturets interne kontrolsystemer ikke blev indberettet nogen problemer, der nødvendiggjorde korrigerende foranstaltninger for 2022, og at der heller ikke er igangværende eller udestående korrigerende foranstaltninger fra tidligere års revisioner og vurderinger;</w:t>
      </w:r>
    </w:p>
    <w:p w14:paraId="7117B8FA" w14:textId="77777777" w:rsidR="00AF7D7A" w:rsidRPr="00F72F73" w:rsidRDefault="00AF7D7A" w:rsidP="00AF7D7A">
      <w:pPr>
        <w:spacing w:after="240"/>
        <w:ind w:left="567" w:hanging="567"/>
        <w:rPr>
          <w:b/>
          <w:i/>
          <w:szCs w:val="24"/>
        </w:rPr>
      </w:pPr>
      <w:r w:rsidRPr="00F72F73">
        <w:rPr>
          <w:b/>
          <w:i/>
        </w:rPr>
        <w:t>Budgetmæssig og økonomisk forvaltning</w:t>
      </w:r>
    </w:p>
    <w:p w14:paraId="36203732" w14:textId="77777777" w:rsidR="00AF7D7A" w:rsidRPr="00F72F73" w:rsidRDefault="00AF7D7A" w:rsidP="00AF7D7A">
      <w:pPr>
        <w:spacing w:after="240"/>
        <w:ind w:left="567" w:hanging="567"/>
        <w:rPr>
          <w:szCs w:val="24"/>
        </w:rPr>
      </w:pPr>
      <w:r w:rsidRPr="00F72F73">
        <w:t>1.</w:t>
      </w:r>
      <w:r w:rsidRPr="00F72F73">
        <w:tab/>
        <w:t>bemærker, at budgetovervågningsindsatsen i regnskabsåret 2022 resulterede i en gennemførelsesgrad i forpligtelsesbevillinger for det pågældende år på 96,88 %, hvilket svarer til et lille fald på 2,88 % i forhold til 2021, og bemærker, at udnyttelsesgraden for betalingsbevillinger for det pågældende år var på 34,81 %, hvilket svarer til et fald på 16,4 % i forhold til 2021;</w:t>
      </w:r>
    </w:p>
    <w:p w14:paraId="0CF2540E" w14:textId="77777777" w:rsidR="00AF7D7A" w:rsidRPr="00F72F73" w:rsidRDefault="00AF7D7A" w:rsidP="00AF7D7A">
      <w:pPr>
        <w:spacing w:after="240"/>
        <w:ind w:left="567" w:hanging="567"/>
        <w:rPr>
          <w:szCs w:val="24"/>
        </w:rPr>
      </w:pPr>
      <w:r w:rsidRPr="00F72F73">
        <w:t>2.</w:t>
      </w:r>
      <w:r w:rsidRPr="00F72F73">
        <w:tab/>
        <w:t>bemærker, at en stor del af agenturets udgifter dækkes af Kommissionen, herunder lønninger beregnet til 1 937 817 EUR, udgifter forbundet med lokaler og IT-udstyr beregnet til 467 708 EUR og det nukleare observatorium og Euratoms Forsyningsagenturs projekt for forvaltning af information (NOEMI) beregnet til 84 644 EUR; bemærker endvidere, at disse udgifter er medtaget i Kommissionens årsregnskab og bidrager positivt til agenturets administrative kapacitet;</w:t>
      </w:r>
    </w:p>
    <w:p w14:paraId="478F5D39" w14:textId="77777777" w:rsidR="00AF7D7A" w:rsidRPr="00F72F73" w:rsidRDefault="00AF7D7A" w:rsidP="00AF7D7A">
      <w:pPr>
        <w:spacing w:after="240"/>
        <w:ind w:left="567" w:hanging="567"/>
        <w:rPr>
          <w:b/>
          <w:i/>
          <w:szCs w:val="24"/>
        </w:rPr>
      </w:pPr>
      <w:r w:rsidRPr="00F72F73">
        <w:rPr>
          <w:b/>
          <w:i/>
        </w:rPr>
        <w:t>Performance</w:t>
      </w:r>
    </w:p>
    <w:p w14:paraId="61F84020" w14:textId="77777777" w:rsidR="00AF7D7A" w:rsidRPr="00F72F73" w:rsidRDefault="00AF7D7A" w:rsidP="00AF7D7A">
      <w:pPr>
        <w:pStyle w:val="NormalHanging12a"/>
      </w:pPr>
      <w:r w:rsidRPr="00F72F73">
        <w:t>3.</w:t>
      </w:r>
      <w:r w:rsidRPr="00F72F73">
        <w:tab/>
        <w:t xml:space="preserve">fremhæver, at 2022 var et år præget af Ruslands invasion af Ukraine, en begivenhed, der gav anledning til bekymringer fra EU's side over energisikkerheden i almindelighed og undermineringen af EU's forsyningssikkerhed for nukleare materialer og nukleart brændsel i særdeleshed såvel som over spørgsmål forbundet med en forværret situation for EU's energiafhængighed; bemærker, at mange EU-atomkraftværker er afhængige af russiske brændstofleverandører, og at EU's forsyningsselskaber som helhed er 20-30 % </w:t>
      </w:r>
      <w:r w:rsidRPr="00F72F73">
        <w:lastRenderedPageBreak/>
        <w:t>afhængige af russiske forsyninger af nukleare materialer og brændselskredsløbstjenester; bemærker, at EU i erkendelse af, at man, hvis man går med til at betale høje priser for energiimport fra Rusland, støtter Ruslands handlinger, har besluttet at mindske sin afhængighed af Rusland på tværs af forskellige sektorer, og bemærker, at det nukleare marked i betragtning af dets unikke karakteristika også kan undergå ændringer i fremtiden som led i dette bredere skift; anmoder agenturet om at aflægge rapport til dechargemyndigheden om, hvordan det har reduceret EU's afhængighed af russisk nukleart brændsel siden 2022, navnlig siden krigens begyndelse, hvor atomindustrien blev fritaget for sanktioner, og hvordan reduktionen og diversificeringen påvirkede omkostningerne;</w:t>
      </w:r>
    </w:p>
    <w:p w14:paraId="0BC10576" w14:textId="77777777" w:rsidR="00AF7D7A" w:rsidRPr="00F72F73" w:rsidRDefault="00AF7D7A" w:rsidP="00AF7D7A">
      <w:pPr>
        <w:spacing w:after="240"/>
        <w:ind w:left="567" w:hanging="567"/>
      </w:pPr>
      <w:r w:rsidRPr="00F72F73">
        <w:t>4.</w:t>
      </w:r>
      <w:r w:rsidRPr="00F72F73">
        <w:tab/>
        <w:t>bemærker med tilfredshed, at agenturet lagde særlig vægt på at gennemgå kontrakter, som indebar en risiko for afhængighed af Rusland, herunder en grundig analyse af klausuler, teknologisk information, forsyningskæder, tilgængelighed af alternative brændstoffer og forsyningsselskabers operationelle autonomi med hensyn til eksisterende brændselslagre; roser agenturet for at have taget skridt til at forenkle processen for indgivelse af kontrakter, samtidig med at det opretholder et højt sikkerhedsniveau, og glæder sig over, at særlige sikre IT-værktøjer har lettet fjernudførelse og -indsendelse; bemærker, at antallet af elektronisk underskrevne retsakter, der er i overensstemmelse med forordningerne om identifikation af elektroniske transaktioner i det indre marked, i 2022 steg som følge af disse bestræbelser;</w:t>
      </w:r>
    </w:p>
    <w:p w14:paraId="06FB40AF" w14:textId="77777777" w:rsidR="00AF7D7A" w:rsidRPr="00F72F73" w:rsidRDefault="00AF7D7A" w:rsidP="00AF7D7A">
      <w:pPr>
        <w:spacing w:after="240"/>
        <w:ind w:left="567" w:hanging="567"/>
        <w:rPr>
          <w:szCs w:val="24"/>
        </w:rPr>
      </w:pPr>
      <w:r w:rsidRPr="00F72F73">
        <w:t>5.</w:t>
      </w:r>
      <w:r w:rsidRPr="00F72F73">
        <w:tab/>
        <w:t>bemærker, at agenturet i overensstemmelse med sine strategiske mål og Kommissionens politikker sigtede mod at distribuere forsyningskilder i det nukleare brændselskredsløb til elproduktion og andre anvendelser og dermed mod at bidrage til forsyningssikkerhed på mellemlang og lang sigt;</w:t>
      </w:r>
    </w:p>
    <w:p w14:paraId="6FED319E" w14:textId="77777777" w:rsidR="00AF7D7A" w:rsidRPr="00F72F73" w:rsidRDefault="00AF7D7A" w:rsidP="00AF7D7A">
      <w:pPr>
        <w:spacing w:after="240"/>
        <w:ind w:left="567" w:hanging="567"/>
        <w:rPr>
          <w:szCs w:val="24"/>
        </w:rPr>
      </w:pPr>
      <w:r w:rsidRPr="00F72F73">
        <w:t>6.</w:t>
      </w:r>
      <w:r w:rsidRPr="00F72F73">
        <w:tab/>
        <w:t>bemærker, at agenturet er ansvarligt for at overvåge markedet for at kortlægge tendenser, der kan påvirke Unionens forsyningssikkerhed for nukleare materialer og relaterede tjenester; bemærker endvidere, at agenturet i sin årsberetning har offentliggjort en markedsanalyse, har leveret oplysninger om EU's og globale nukleare markeder og har udvekslet oplysninger og viden med andre internationale markedsanalyseorganisationer;</w:t>
      </w:r>
    </w:p>
    <w:p w14:paraId="79957581" w14:textId="77777777" w:rsidR="00AF7D7A" w:rsidRPr="00F72F73" w:rsidRDefault="00AF7D7A" w:rsidP="00AF7D7A">
      <w:pPr>
        <w:pStyle w:val="NormalHanging12a"/>
      </w:pPr>
      <w:r w:rsidRPr="00F72F73">
        <w:t>7.</w:t>
      </w:r>
      <w:r w:rsidRPr="00F72F73">
        <w:tab/>
        <w:t>glæder sig over, at agenturet i 2022 gik i spidsen for at sikre forsyningen af udgangsmaterialer til medicinske radioisotoper, idet det har bidraget til gennemførelsen af den strategiske dagsorden for medicinske ioniserende strålingsapplikationer (SAMIRA) og leder Det Europæiske Observationscenter for Forsyning med Medicinske Radioisotoper;</w:t>
      </w:r>
    </w:p>
    <w:p w14:paraId="75C9C07C" w14:textId="77777777" w:rsidR="00AF7D7A" w:rsidRPr="00F72F73" w:rsidRDefault="00AF7D7A" w:rsidP="00AF7D7A">
      <w:pPr>
        <w:spacing w:after="240"/>
        <w:ind w:left="567" w:hanging="567"/>
        <w:rPr>
          <w:szCs w:val="24"/>
        </w:rPr>
      </w:pPr>
      <w:r w:rsidRPr="00F72F73">
        <w:t>8.</w:t>
      </w:r>
      <w:r w:rsidRPr="00F72F73">
        <w:tab/>
        <w:t>glæder sig over agenturets bestræbelser på at samarbejde med partnere og interessenter i den hensigt at styrke forsyningssikkerheden for nukleare materialer i lyset af Ruslands ulovlige og uprovokerede invasion af Ukraine;</w:t>
      </w:r>
    </w:p>
    <w:p w14:paraId="57EA412B" w14:textId="77777777" w:rsidR="00AF7D7A" w:rsidRPr="00F72F73" w:rsidRDefault="00AF7D7A" w:rsidP="00AF7D7A">
      <w:pPr>
        <w:spacing w:after="240"/>
        <w:ind w:left="567" w:hanging="567"/>
        <w:rPr>
          <w:b/>
          <w:i/>
          <w:szCs w:val="24"/>
        </w:rPr>
      </w:pPr>
      <w:r w:rsidRPr="00F72F73">
        <w:rPr>
          <w:b/>
          <w:i/>
        </w:rPr>
        <w:t>Effektivitet og gevinster</w:t>
      </w:r>
    </w:p>
    <w:p w14:paraId="50D2ECA8" w14:textId="77777777" w:rsidR="00AF7D7A" w:rsidRPr="00F72F73" w:rsidRDefault="00AF7D7A" w:rsidP="00AF7D7A">
      <w:pPr>
        <w:spacing w:after="240"/>
        <w:ind w:left="567" w:hanging="567"/>
        <w:rPr>
          <w:szCs w:val="24"/>
        </w:rPr>
      </w:pPr>
      <w:r w:rsidRPr="00F72F73">
        <w:t>9.</w:t>
      </w:r>
      <w:r w:rsidRPr="00F72F73">
        <w:tab/>
        <w:t xml:space="preserve">bemærker, at agenturet har arbejdet tæt sammen med Kommissionen om at fremme diversificeringen af forsyningen; bemærker endvidere, at agenturet for så vidt angår kerneenergi har veletablerede forbindelser med Den Internationale Atomenergiorganisation og Kerneenergiagenturet under Organisationen for Økonomisk </w:t>
      </w:r>
      <w:r w:rsidRPr="00F72F73">
        <w:lastRenderedPageBreak/>
        <w:t>Samarbejde og Udvikling; påpeger de horisontale fordele ved at arbejde sammen og tilpasse bedste praksis, og at fælles initiativer samler forskellige perspektiver, mindsker dobbeltarbejde, fremmer læring og styrker forbindelserne mellem deltagerne;</w:t>
      </w:r>
    </w:p>
    <w:p w14:paraId="46CDC14C" w14:textId="77777777" w:rsidR="00AF7D7A" w:rsidRPr="00F72F73" w:rsidRDefault="00AF7D7A" w:rsidP="00AF7D7A">
      <w:pPr>
        <w:spacing w:after="240"/>
        <w:ind w:left="567" w:hanging="567"/>
        <w:rPr>
          <w:szCs w:val="24"/>
        </w:rPr>
      </w:pPr>
      <w:r w:rsidRPr="00F72F73">
        <w:t>10.</w:t>
      </w:r>
      <w:r w:rsidRPr="00F72F73">
        <w:tab/>
        <w:t>bemærker, at agenturet er i færd med at udvikle IT-systemet NOEMI for at muliggøre fuld digital behandling af nukleare forsyningskontrakter og markedsoplysninger i fuld overensstemmelse med reglerne om databeskyttelse, og at det sideløbende hermed arbejder på at udvide sin analytiske kapacitet med hensyn til de tilgængelige data;</w:t>
      </w:r>
    </w:p>
    <w:p w14:paraId="5E7D5966" w14:textId="77777777" w:rsidR="00AF7D7A" w:rsidRPr="00F72F73" w:rsidRDefault="00AF7D7A" w:rsidP="00AF7D7A">
      <w:pPr>
        <w:spacing w:after="240"/>
        <w:ind w:left="567" w:hanging="567"/>
        <w:rPr>
          <w:szCs w:val="24"/>
        </w:rPr>
      </w:pPr>
      <w:r w:rsidRPr="00F72F73">
        <w:t>11.</w:t>
      </w:r>
      <w:r w:rsidRPr="00F72F73">
        <w:tab/>
        <w:t>bemærker, at agenturet har gjort en indsats for at opnå effektivitetsgevinster og omfordele menneskelige ressourcer til de nye opgaver og udfordringer, der ligger forude; bemærker, at yderligere effektivitetsgevinster kun vil kunne opnås ved at anvende synergier og støtte fra Kommissionen gennem tilvejebringelse af specialiserede støttefunktioner, udvidelse af brugen af virksomhedsværktøjer og øget bevilling til udvikling af IT-systemet NOEMI; opfordrer agenturet til at finde flere interne procedurer, der kan strømlines ved hjælp af nye IT-værktøjer;</w:t>
      </w:r>
    </w:p>
    <w:p w14:paraId="09DB8143" w14:textId="77777777" w:rsidR="00AF7D7A" w:rsidRPr="00F72F73" w:rsidRDefault="00AF7D7A" w:rsidP="00AF7D7A">
      <w:pPr>
        <w:pStyle w:val="NormalHanging12a"/>
      </w:pPr>
      <w:r w:rsidRPr="00F72F73">
        <w:t>12.</w:t>
      </w:r>
      <w:r w:rsidRPr="00F72F73">
        <w:tab/>
        <w:t>minder om betydningen af at øge agenturets digitalisering med hensyn til interne operationer og forvaltning, men også med henblik på at fremskynde digitaliseringen af procedurerne; understreger nødvendigheden af, at agenturet fortsat er proaktivt i denne henseende med henblik på at undgå en digital kløft mellem agenturerne; gør imidlertid opmærksom på behovet for at træffe alle de nødvendige forholdsregler for at undgå enhver risiko med hensyn til onlinesikkerheden af de behandlede oplysninger og insisterer på at bekæmpe cyberangreb eller forsøg på infiltration, der navnlig stammer fra Rusland eller Kina;</w:t>
      </w:r>
    </w:p>
    <w:p w14:paraId="44FAADB3" w14:textId="77777777" w:rsidR="00AF7D7A" w:rsidRPr="00F72F73" w:rsidRDefault="00AF7D7A" w:rsidP="00AF7D7A">
      <w:pPr>
        <w:spacing w:after="240"/>
        <w:ind w:left="567" w:hanging="567"/>
        <w:rPr>
          <w:b/>
          <w:i/>
          <w:szCs w:val="24"/>
        </w:rPr>
      </w:pPr>
      <w:r w:rsidRPr="00F72F73">
        <w:rPr>
          <w:b/>
          <w:i/>
        </w:rPr>
        <w:t>Personalepolitik</w:t>
      </w:r>
    </w:p>
    <w:p w14:paraId="5FE67502" w14:textId="77777777" w:rsidR="00AF7D7A" w:rsidRPr="00F72F73" w:rsidRDefault="00AF7D7A" w:rsidP="00AF7D7A">
      <w:pPr>
        <w:spacing w:after="240"/>
        <w:ind w:left="567" w:hanging="567"/>
        <w:rPr>
          <w:szCs w:val="24"/>
        </w:rPr>
      </w:pPr>
      <w:r w:rsidRPr="00F72F73">
        <w:t>13.</w:t>
      </w:r>
      <w:r w:rsidRPr="00F72F73">
        <w:tab/>
        <w:t>bemærker, at stillingsfortegnelsen pr. 31. december 2022 var gennemført med 100 %, med 17 faste stillinger, otte administratorer, syv assistentstillinger og to assistent- og sekretærstillinger; bemærker endvidere, at det højere antal administratorer end godkendt skyldes en af Kommissionen bevilget opgradering af en assistentstilling;</w:t>
      </w:r>
    </w:p>
    <w:p w14:paraId="2723A46C" w14:textId="77777777" w:rsidR="00AF7D7A" w:rsidRPr="00F72F73" w:rsidRDefault="00AF7D7A" w:rsidP="00AF7D7A">
      <w:pPr>
        <w:spacing w:after="240"/>
        <w:ind w:left="567" w:hanging="567"/>
        <w:rPr>
          <w:szCs w:val="24"/>
        </w:rPr>
      </w:pPr>
      <w:r w:rsidRPr="00F72F73">
        <w:t>14.</w:t>
      </w:r>
      <w:r w:rsidRPr="00F72F73">
        <w:tab/>
        <w:t>minder om agenturets vanskeligheder med at finde assistenter i de lavere lønklasser i betragtning af den særlige profil, der kræves, og de dermed forbundne lønniveauer sammenlignet med leveomkostningerne i Luxembourg; bemærker imidlertid, at agenturet på trods af sine vanskeligheder rekrutterede to midlertidigt ansatte i faste stillinger (én assistentstilling og én assistent- og sekretærstilling) i 2022;</w:t>
      </w:r>
    </w:p>
    <w:p w14:paraId="1D677CC8" w14:textId="77777777" w:rsidR="00AF7D7A" w:rsidRPr="00F72F73" w:rsidRDefault="00AF7D7A" w:rsidP="00AF7D7A">
      <w:pPr>
        <w:spacing w:after="240"/>
        <w:ind w:left="567" w:hanging="567"/>
        <w:rPr>
          <w:szCs w:val="24"/>
        </w:rPr>
      </w:pPr>
      <w:r w:rsidRPr="00F72F73">
        <w:t>15.</w:t>
      </w:r>
      <w:r w:rsidRPr="00F72F73">
        <w:tab/>
        <w:t>bemærker, at agenturet har rapporteret om en kønsfordeling i 2022 blandt alle medarbejdere på 59 % kvinder og 41 % mænd, hvilket er et resultat af ligestillingspolitikken;</w:t>
      </w:r>
    </w:p>
    <w:p w14:paraId="262ACB51" w14:textId="77777777" w:rsidR="00AF7D7A" w:rsidRPr="00F72F73" w:rsidRDefault="00AF7D7A" w:rsidP="00AF7D7A">
      <w:pPr>
        <w:pStyle w:val="NormalHanging12a"/>
      </w:pPr>
      <w:r w:rsidRPr="00F72F73">
        <w:t>16.</w:t>
      </w:r>
      <w:r w:rsidRPr="00F72F73">
        <w:tab/>
        <w:t>minder om vigtigheden af at udvikle en langsigtet personalepolitik om balance mellem arbejdsliv og privatliv, livslang vejledning og tilbuddet om specifikke uddannelsesmuligheder for karriereudvikling, kønsbalance på alle personaleniveauer, telearbejde, retten til at være offline, forbedring af den geografiske balance for at have en passende repræsentation fra alle medlemsstater og rekruttering og integration af personer med handicap samt fremme af ligebehandling af disse og af deres muligheder;</w:t>
      </w:r>
    </w:p>
    <w:p w14:paraId="52C6A0EA" w14:textId="77777777" w:rsidR="00AF7D7A" w:rsidRPr="00F72F73" w:rsidRDefault="00AF7D7A" w:rsidP="00AF7D7A">
      <w:pPr>
        <w:spacing w:after="240"/>
        <w:ind w:left="567" w:hanging="567"/>
        <w:rPr>
          <w:b/>
          <w:i/>
          <w:szCs w:val="24"/>
        </w:rPr>
      </w:pPr>
      <w:r w:rsidRPr="00F72F73">
        <w:rPr>
          <w:b/>
          <w:i/>
        </w:rPr>
        <w:t>Udbud</w:t>
      </w:r>
    </w:p>
    <w:p w14:paraId="29181D95" w14:textId="77777777" w:rsidR="00AF7D7A" w:rsidRPr="00F72F73" w:rsidRDefault="00AF7D7A" w:rsidP="00AF7D7A">
      <w:pPr>
        <w:spacing w:after="240"/>
        <w:ind w:left="567" w:hanging="567"/>
        <w:rPr>
          <w:rFonts w:eastAsia="Calibri"/>
          <w:szCs w:val="24"/>
        </w:rPr>
      </w:pPr>
      <w:r w:rsidRPr="00F72F73">
        <w:lastRenderedPageBreak/>
        <w:t>17.</w:t>
      </w:r>
      <w:r w:rsidRPr="00F72F73">
        <w:tab/>
        <w:t>noterer sig på baggrund af Revisionsrettens beretning, at agenturet systematisk har tildelt kontrakter med lav værdi (under 15 000 EUR) uden at fremlægge tilhørende evalueringsrapporter og tildelingsafgørelser, hvilket er i strid med punkt 30.3 og 30.4 i bilag I til finansforordningen; noterer sig endvidere agenturets svar, hvoraf det fremgår, at man vil tage højde for anbefalingen og vil yde passende vejledning til alle medarbejdere, der beskæftiger sig med indkøb og finansiel forvaltning; opfordrer agenturet til at forbedre sine offentlige udbudsprocedurer og sørge for, at de gældende regler overholdes fuldt ud, så der opnås mest mulig valuta for pengene;</w:t>
      </w:r>
    </w:p>
    <w:p w14:paraId="1D33982D" w14:textId="77777777" w:rsidR="00AF7D7A" w:rsidRPr="00F72F73" w:rsidRDefault="00AF7D7A" w:rsidP="00AF7D7A">
      <w:pPr>
        <w:spacing w:after="240"/>
        <w:ind w:left="567" w:hanging="567"/>
        <w:rPr>
          <w:b/>
          <w:i/>
          <w:szCs w:val="24"/>
        </w:rPr>
      </w:pPr>
      <w:r w:rsidRPr="00F72F73">
        <w:rPr>
          <w:b/>
          <w:i/>
        </w:rPr>
        <w:t>Øvrige bemærkninger</w:t>
      </w:r>
    </w:p>
    <w:p w14:paraId="5F61AEEB" w14:textId="77777777" w:rsidR="00AF7D7A" w:rsidRPr="00F72F73" w:rsidRDefault="00AF7D7A" w:rsidP="00AF7D7A">
      <w:pPr>
        <w:spacing w:after="240"/>
        <w:ind w:left="567" w:hanging="567"/>
        <w:rPr>
          <w:szCs w:val="24"/>
        </w:rPr>
      </w:pPr>
      <w:r w:rsidRPr="00F72F73">
        <w:t>18.</w:t>
      </w:r>
      <w:r w:rsidRPr="00F72F73">
        <w:tab/>
        <w:t>bemærker, at agenturet har styrket sikkerheden i forbindelse med adgangen til sine lokaler, og at alle dets medarbejdere og eksterne kontrahenter er sikkerhedsgodkendt;</w:t>
      </w:r>
    </w:p>
    <w:p w14:paraId="41804C88" w14:textId="77777777" w:rsidR="00AF7D7A" w:rsidRPr="00F72F73" w:rsidRDefault="00AF7D7A" w:rsidP="00AF7D7A">
      <w:pPr>
        <w:spacing w:after="240"/>
        <w:ind w:left="567" w:hanging="567"/>
        <w:rPr>
          <w:szCs w:val="24"/>
        </w:rPr>
      </w:pPr>
      <w:r w:rsidRPr="00F72F73">
        <w:t>19.</w:t>
      </w:r>
      <w:r w:rsidRPr="00F72F73">
        <w:tab/>
        <w:t>noterer sig, at IT-systemet NOEMI blev underkastet en sårbarhedsvurdering, som vil skulle gentages efter hver udviklingsfase, eller efter at alle anbefalinger er blevet gennemført;</w:t>
      </w:r>
    </w:p>
    <w:p w14:paraId="7204CB1B" w14:textId="77777777" w:rsidR="00AF7D7A" w:rsidRPr="00F72F73" w:rsidRDefault="00AF7D7A" w:rsidP="00AF7D7A">
      <w:pPr>
        <w:spacing w:after="240"/>
        <w:ind w:left="567" w:hanging="567"/>
        <w:rPr>
          <w:szCs w:val="24"/>
        </w:rPr>
      </w:pPr>
      <w:r w:rsidRPr="00F72F73">
        <w:t>20.</w:t>
      </w:r>
      <w:r w:rsidRPr="00F72F73">
        <w:tab/>
        <w:t>bemærker med tilfredshed, at agenturet i september 2022 deltog i World Nuclear Symposium i London, hvor det kom med et klart budskab til de deltagende – som bestod af de øverste ledere, eksperter og formænd inden for den nukleare industri – om behovet for at tackle de risici, der er forbundet med den nye markedsstruktur; bemærker endvidere, at agenturets markedsanalyse og fremtidsudsigter blev fremlagt på Warsaw Security Forum og på World Nuclear Fuel Cycle og igen på den første internationale konference om atomenergiret samt på European Research Reactor Conference; bemærker endvidere, at agenturet har bidraget til European Nuclear Society's arrangementer;</w:t>
      </w:r>
    </w:p>
    <w:p w14:paraId="3CF0B283" w14:textId="77777777" w:rsidR="00AF7D7A" w:rsidRPr="00F72F73" w:rsidRDefault="00AF7D7A" w:rsidP="00AF7D7A">
      <w:pPr>
        <w:spacing w:after="240"/>
        <w:ind w:left="567" w:hanging="567"/>
        <w:rPr>
          <w:szCs w:val="24"/>
        </w:rPr>
      </w:pPr>
      <w:r w:rsidRPr="00F72F73">
        <w:t>21.</w:t>
      </w:r>
      <w:r w:rsidRPr="00F72F73">
        <w:tab/>
        <w:t>bemærker, at agenturet hverken udsteder en miljøredegørelse eller har gennemført en ordning for miljøledelse og miljørevision (EMAS); tilskynder agenturet til at aflægge rapport om sine klima-, energi- og miljøpræstationer og desuden gennemføre en EMAS;</w:t>
      </w:r>
    </w:p>
    <w:p w14:paraId="78FD0E0C" w14:textId="77777777" w:rsidR="00AF7D7A" w:rsidRPr="00F72F73" w:rsidRDefault="00AF7D7A" w:rsidP="00AF7D7A">
      <w:pPr>
        <w:pStyle w:val="NormalCenter12a"/>
        <w:spacing w:after="0"/>
      </w:pPr>
      <w:r w:rsidRPr="00F72F73">
        <w:t>°</w:t>
      </w:r>
    </w:p>
    <w:p w14:paraId="1F10E6FC" w14:textId="77777777" w:rsidR="00AF7D7A" w:rsidRPr="00F72F73" w:rsidRDefault="00AF7D7A" w:rsidP="00AF7D7A">
      <w:pPr>
        <w:pStyle w:val="NormalCenter12a"/>
      </w:pPr>
      <w:r w:rsidRPr="00F72F73">
        <w:t>°</w:t>
      </w:r>
      <w:r w:rsidRPr="00F72F73">
        <w:tab/>
        <w:t>°</w:t>
      </w:r>
    </w:p>
    <w:p w14:paraId="667A1880" w14:textId="62E8A927" w:rsidR="00E365E1" w:rsidRPr="00F72F73" w:rsidRDefault="00AF7D7A" w:rsidP="004331FB">
      <w:pPr>
        <w:pStyle w:val="NormalHanging12a"/>
        <w:widowControl/>
      </w:pPr>
      <w:r w:rsidRPr="00F72F73">
        <w:t>22.</w:t>
      </w:r>
      <w:r w:rsidRPr="00F72F73">
        <w:tab/>
        <w:t xml:space="preserve">henviser med hensyn til de øvrige bemærkninger, der ledsager dechargeafgørelsen, og som er af horisontal karakter, til sin beslutning af </w:t>
      </w:r>
      <w:r w:rsidR="00A5294A" w:rsidRPr="00487C13">
        <w:t>11. april 2024</w:t>
      </w:r>
      <w:bookmarkStart w:id="8" w:name="_GoBack"/>
      <w:bookmarkEnd w:id="8"/>
      <w:r w:rsidRPr="00F72F73">
        <w:rPr>
          <w:vertAlign w:val="superscript"/>
        </w:rPr>
        <w:footnoteReference w:id="9"/>
      </w:r>
      <w:r w:rsidRPr="00F72F73">
        <w:t xml:space="preserve"> om agenturernes resultater, økonomiske forvaltning og kontrol.</w:t>
      </w:r>
      <w:bookmarkStart w:id="9" w:name="TextBodyEnd"/>
      <w:bookmarkEnd w:id="9"/>
    </w:p>
    <w:sectPr w:rsidR="00E365E1" w:rsidRPr="00F72F73" w:rsidSect="00F72F7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D1B82" w14:textId="77777777" w:rsidR="002B603C" w:rsidRPr="00F72F73" w:rsidRDefault="002B603C">
      <w:r w:rsidRPr="00F72F73">
        <w:separator/>
      </w:r>
    </w:p>
  </w:endnote>
  <w:endnote w:type="continuationSeparator" w:id="0">
    <w:p w14:paraId="5D62F98D" w14:textId="77777777" w:rsidR="002B603C" w:rsidRPr="00F72F73" w:rsidRDefault="002B603C">
      <w:r w:rsidRPr="00F72F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10268" w14:textId="77777777" w:rsidR="00AF7D7A" w:rsidRPr="00F72F73" w:rsidRDefault="00AF7D7A" w:rsidP="001F7856">
    <w:pPr>
      <w:pStyle w:val="EPFooter"/>
    </w:pPr>
    <w:r w:rsidRPr="00F72F73">
      <w:t>PE</w:t>
    </w:r>
    <w:r w:rsidRPr="00F72F73">
      <w:rPr>
        <w:rStyle w:val="HideTWBExt"/>
      </w:rPr>
      <w:t>&lt;NoPE&gt;</w:t>
    </w:r>
    <w:r w:rsidRPr="00F72F73">
      <w:t>753.529</w:t>
    </w:r>
    <w:r w:rsidRPr="00F72F73">
      <w:rPr>
        <w:rStyle w:val="HideTWBExt"/>
      </w:rPr>
      <w:t>&lt;/NoPE&gt;&lt;Version&gt;</w:t>
    </w:r>
    <w:r w:rsidRPr="00F72F73">
      <w:t>v02-00</w:t>
    </w:r>
    <w:r w:rsidRPr="00F72F73">
      <w:rPr>
        <w:rStyle w:val="HideTWBExt"/>
      </w:rPr>
      <w:t>&lt;/Version&gt;</w:t>
    </w:r>
    <w:r w:rsidRPr="00F72F73">
      <w:tab/>
    </w:r>
    <w:r w:rsidRPr="00F72F73">
      <w:fldChar w:fldCharType="begin"/>
    </w:r>
    <w:r w:rsidRPr="00F72F73">
      <w:instrText xml:space="preserve"> PAGE  \* MERGEFORMAT </w:instrText>
    </w:r>
    <w:r w:rsidRPr="00F72F73">
      <w:fldChar w:fldCharType="separate"/>
    </w:r>
    <w:r w:rsidR="00F72F73" w:rsidRPr="00F72F73">
      <w:rPr>
        <w:noProof/>
      </w:rPr>
      <w:t>2</w:t>
    </w:r>
    <w:r w:rsidRPr="00F72F73">
      <w:fldChar w:fldCharType="end"/>
    </w:r>
    <w:r w:rsidRPr="00F72F73">
      <w:t>/</w:t>
    </w:r>
    <w:r w:rsidR="00677A9A">
      <w:fldChar w:fldCharType="begin"/>
    </w:r>
    <w:r w:rsidR="00677A9A">
      <w:instrText xml:space="preserve"> NUMPAGES  \* MERGEFORMAT </w:instrText>
    </w:r>
    <w:r w:rsidR="00677A9A">
      <w:fldChar w:fldCharType="separate"/>
    </w:r>
    <w:r w:rsidR="00F72F73" w:rsidRPr="00F72F73">
      <w:rPr>
        <w:noProof/>
      </w:rPr>
      <w:t>4</w:t>
    </w:r>
    <w:r w:rsidR="00677A9A">
      <w:rPr>
        <w:noProof/>
      </w:rPr>
      <w:fldChar w:fldCharType="end"/>
    </w:r>
    <w:r w:rsidRPr="00F72F73">
      <w:tab/>
    </w:r>
    <w:r w:rsidRPr="00F72F73">
      <w:rPr>
        <w:rStyle w:val="HideTWBExt"/>
      </w:rPr>
      <w:t>&lt;PathFdR&gt;</w:t>
    </w:r>
    <w:r w:rsidRPr="00F72F73">
      <w:t>RR\1298833DA.docx</w:t>
    </w:r>
    <w:r w:rsidRPr="00F72F73">
      <w:rPr>
        <w:rStyle w:val="HideTWBExt"/>
      </w:rPr>
      <w:t>&lt;/PathFdR&gt;</w:t>
    </w:r>
  </w:p>
  <w:p w14:paraId="2506372F" w14:textId="77777777" w:rsidR="00AF7D7A" w:rsidRPr="00F72F73" w:rsidRDefault="00AF7D7A" w:rsidP="001F7856">
    <w:pPr>
      <w:pStyle w:val="EPFooter2"/>
    </w:pPr>
    <w:r w:rsidRPr="00F72F7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F7BED" w14:textId="77777777" w:rsidR="00AF7D7A" w:rsidRPr="00F72F73" w:rsidRDefault="00AF7D7A" w:rsidP="001F785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384F4" w14:textId="77777777" w:rsidR="00AF7D7A" w:rsidRPr="00F72F73" w:rsidRDefault="00AF7D7A" w:rsidP="001F7856">
    <w:pPr>
      <w:pStyle w:val="EPFooter"/>
    </w:pPr>
    <w:r w:rsidRPr="00F72F73">
      <w:rPr>
        <w:rStyle w:val="HideTWBExt"/>
      </w:rPr>
      <w:t>&lt;PathFdR&gt;</w:t>
    </w:r>
    <w:r w:rsidRPr="00F72F73">
      <w:t>RR\1298833DA.docx</w:t>
    </w:r>
    <w:r w:rsidRPr="00F72F73">
      <w:rPr>
        <w:rStyle w:val="HideTWBExt"/>
      </w:rPr>
      <w:t>&lt;/PathFdR&gt;</w:t>
    </w:r>
    <w:r w:rsidRPr="00F72F73">
      <w:tab/>
    </w:r>
    <w:r w:rsidRPr="00F72F73">
      <w:tab/>
      <w:t>PE</w:t>
    </w:r>
    <w:r w:rsidRPr="00F72F73">
      <w:rPr>
        <w:rStyle w:val="HideTWBExt"/>
      </w:rPr>
      <w:t>&lt;NoPE&gt;</w:t>
    </w:r>
    <w:r w:rsidRPr="00F72F73">
      <w:t>753.529</w:t>
    </w:r>
    <w:r w:rsidRPr="00F72F73">
      <w:rPr>
        <w:rStyle w:val="HideTWBExt"/>
      </w:rPr>
      <w:t>&lt;/NoPE&gt;&lt;Version&gt;</w:t>
    </w:r>
    <w:r w:rsidRPr="00F72F73">
      <w:t>v02-00</w:t>
    </w:r>
    <w:r w:rsidRPr="00F72F73">
      <w:rPr>
        <w:rStyle w:val="HideTWBExt"/>
      </w:rPr>
      <w:t>&lt;/Version&gt;</w:t>
    </w:r>
  </w:p>
  <w:p w14:paraId="0CB04DED" w14:textId="77777777" w:rsidR="00AF7D7A" w:rsidRPr="00F72F73" w:rsidRDefault="00AF7D7A" w:rsidP="001F7856">
    <w:pPr>
      <w:pStyle w:val="EPFooter2"/>
    </w:pPr>
    <w:r w:rsidRPr="00F72F73">
      <w:t>DA</w:t>
    </w:r>
    <w:r w:rsidRPr="00F72F73">
      <w:tab/>
    </w:r>
    <w:r w:rsidRPr="00F72F73">
      <w:rPr>
        <w:b w:val="0"/>
        <w:i/>
        <w:color w:val="C0C0C0"/>
        <w:sz w:val="22"/>
      </w:rPr>
      <w:t>Forenet i mangfoldighed</w:t>
    </w:r>
    <w:r w:rsidRPr="00F72F73">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D5020" w14:textId="77777777" w:rsidR="00064002" w:rsidRPr="00F72F7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E9675" w14:textId="77777777" w:rsidR="00064002" w:rsidRPr="00F72F7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82C06" w14:textId="77777777" w:rsidR="00064002" w:rsidRPr="00F72F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BE847" w14:textId="77777777" w:rsidR="002B603C" w:rsidRPr="00F72F73" w:rsidRDefault="002B603C">
      <w:r w:rsidRPr="00F72F73">
        <w:separator/>
      </w:r>
    </w:p>
  </w:footnote>
  <w:footnote w:type="continuationSeparator" w:id="0">
    <w:p w14:paraId="62C0C45D" w14:textId="77777777" w:rsidR="002B603C" w:rsidRPr="00F72F73" w:rsidRDefault="002B603C">
      <w:r w:rsidRPr="00F72F73">
        <w:continuationSeparator/>
      </w:r>
    </w:p>
  </w:footnote>
  <w:footnote w:id="1">
    <w:p w14:paraId="5B6CBFA1" w14:textId="77777777" w:rsidR="00AF7D7A" w:rsidRPr="00487C13" w:rsidRDefault="00AF7D7A" w:rsidP="00F72F73">
      <w:pPr>
        <w:pStyle w:val="FootnoteText"/>
        <w:ind w:left="567" w:hanging="567"/>
        <w:rPr>
          <w:sz w:val="24"/>
        </w:rPr>
      </w:pPr>
      <w:r w:rsidRPr="00F72F73">
        <w:rPr>
          <w:rStyle w:val="FootnoteReference"/>
          <w:sz w:val="24"/>
          <w:lang w:val="da-DK"/>
        </w:rPr>
        <w:footnoteRef/>
      </w:r>
      <w:r w:rsidR="00F72F73" w:rsidRPr="00487C13">
        <w:rPr>
          <w:sz w:val="24"/>
        </w:rPr>
        <w:t xml:space="preserve"> </w:t>
      </w:r>
      <w:r w:rsidR="00F72F73" w:rsidRPr="00487C13">
        <w:rPr>
          <w:sz w:val="24"/>
        </w:rPr>
        <w:tab/>
      </w:r>
      <w:r w:rsidRPr="00487C13">
        <w:rPr>
          <w:sz w:val="24"/>
        </w:rPr>
        <w:t>EUT C, C/2023/594, 27.10 2023.</w:t>
      </w:r>
    </w:p>
  </w:footnote>
  <w:footnote w:id="2">
    <w:p w14:paraId="7600698A" w14:textId="77777777" w:rsidR="00AF7D7A" w:rsidRPr="00487C13" w:rsidRDefault="00AF7D7A" w:rsidP="00F72F73">
      <w:pPr>
        <w:pStyle w:val="FootnoteText"/>
        <w:ind w:left="567" w:hanging="567"/>
        <w:rPr>
          <w:sz w:val="24"/>
        </w:rPr>
      </w:pPr>
      <w:r w:rsidRPr="00F72F73">
        <w:rPr>
          <w:rStyle w:val="FootnoteReference"/>
          <w:sz w:val="24"/>
          <w:lang w:val="da-DK"/>
        </w:rPr>
        <w:footnoteRef/>
      </w:r>
      <w:r w:rsidR="00F72F73" w:rsidRPr="00487C13">
        <w:rPr>
          <w:sz w:val="24"/>
        </w:rPr>
        <w:t xml:space="preserve"> </w:t>
      </w:r>
      <w:r w:rsidR="00F72F73" w:rsidRPr="00487C13">
        <w:rPr>
          <w:sz w:val="24"/>
        </w:rPr>
        <w:tab/>
      </w:r>
      <w:r w:rsidRPr="00487C13">
        <w:rPr>
          <w:sz w:val="24"/>
        </w:rPr>
        <w:t>EUT C, C/2023/112, 12.10.2023.</w:t>
      </w:r>
    </w:p>
  </w:footnote>
  <w:footnote w:id="3">
    <w:p w14:paraId="08DDBC1C" w14:textId="77777777" w:rsidR="00AF7D7A" w:rsidRPr="00F72F73" w:rsidRDefault="00AF7D7A" w:rsidP="00F72F73">
      <w:pPr>
        <w:pStyle w:val="FootnoteText"/>
        <w:ind w:left="567" w:hanging="567"/>
        <w:rPr>
          <w:sz w:val="24"/>
          <w:lang w:val="da-DK"/>
        </w:rPr>
      </w:pPr>
      <w:r w:rsidRPr="00F72F73">
        <w:rPr>
          <w:rStyle w:val="FootnoteReference"/>
          <w:sz w:val="24"/>
          <w:lang w:val="da-DK"/>
        </w:rPr>
        <w:footnoteRef/>
      </w:r>
      <w:r w:rsidR="00F72F73" w:rsidRPr="00F72F73">
        <w:rPr>
          <w:sz w:val="24"/>
          <w:lang w:val="da-DK"/>
        </w:rPr>
        <w:t xml:space="preserve"> </w:t>
      </w:r>
      <w:r w:rsidR="00F72F73" w:rsidRPr="00F72F73">
        <w:rPr>
          <w:sz w:val="24"/>
          <w:lang w:val="da-DK"/>
        </w:rPr>
        <w:tab/>
      </w:r>
      <w:r w:rsidRPr="00F72F73">
        <w:rPr>
          <w:sz w:val="24"/>
          <w:lang w:val="da-DK"/>
        </w:rPr>
        <w:t>EUT L 193 af 30.7.2018, s. 1.</w:t>
      </w:r>
    </w:p>
  </w:footnote>
  <w:footnote w:id="4">
    <w:p w14:paraId="3D864415" w14:textId="77777777" w:rsidR="00AF7D7A" w:rsidRPr="00F72F73" w:rsidRDefault="00AF7D7A" w:rsidP="00F72F73">
      <w:pPr>
        <w:pStyle w:val="FootnoteText"/>
        <w:ind w:left="567" w:hanging="567"/>
        <w:rPr>
          <w:sz w:val="24"/>
          <w:szCs w:val="24"/>
          <w:lang w:val="da-DK"/>
        </w:rPr>
      </w:pPr>
      <w:r w:rsidRPr="00F72F73">
        <w:rPr>
          <w:rStyle w:val="FootnoteReference"/>
          <w:sz w:val="24"/>
          <w:lang w:val="da-DK"/>
        </w:rPr>
        <w:footnoteRef/>
      </w:r>
      <w:r w:rsidR="00F72F73" w:rsidRPr="00F72F73">
        <w:rPr>
          <w:sz w:val="24"/>
          <w:lang w:val="da-DK"/>
        </w:rPr>
        <w:t xml:space="preserve"> </w:t>
      </w:r>
      <w:r w:rsidR="00F72F73" w:rsidRPr="00F72F73">
        <w:rPr>
          <w:sz w:val="24"/>
          <w:lang w:val="da-DK"/>
        </w:rPr>
        <w:tab/>
      </w:r>
      <w:r w:rsidRPr="00F72F73">
        <w:rPr>
          <w:sz w:val="24"/>
          <w:lang w:val="da-DK"/>
        </w:rPr>
        <w:t>EUT L 41 af 15.2.2008, s. 15.</w:t>
      </w:r>
    </w:p>
  </w:footnote>
  <w:footnote w:id="5">
    <w:p w14:paraId="62EE9F29" w14:textId="77777777" w:rsidR="00AF7D7A" w:rsidRPr="00487C13" w:rsidRDefault="00AF7D7A" w:rsidP="00F72F73">
      <w:pPr>
        <w:pStyle w:val="FootnoteText"/>
        <w:ind w:left="567" w:hanging="567"/>
        <w:rPr>
          <w:sz w:val="24"/>
        </w:rPr>
      </w:pPr>
      <w:r w:rsidRPr="00F72F73">
        <w:rPr>
          <w:rStyle w:val="FootnoteReference"/>
          <w:sz w:val="24"/>
          <w:lang w:val="da-DK"/>
        </w:rPr>
        <w:footnoteRef/>
      </w:r>
      <w:r w:rsidR="00F72F73" w:rsidRPr="00487C13">
        <w:rPr>
          <w:sz w:val="24"/>
        </w:rPr>
        <w:t xml:space="preserve"> </w:t>
      </w:r>
      <w:r w:rsidR="00F72F73" w:rsidRPr="00487C13">
        <w:rPr>
          <w:sz w:val="24"/>
        </w:rPr>
        <w:tab/>
      </w:r>
      <w:r w:rsidRPr="00487C13">
        <w:rPr>
          <w:sz w:val="24"/>
        </w:rPr>
        <w:t>EUT C, C/2023/594, 27.10 2023.</w:t>
      </w:r>
    </w:p>
  </w:footnote>
  <w:footnote w:id="6">
    <w:p w14:paraId="775CD74F" w14:textId="77777777" w:rsidR="00AF7D7A" w:rsidRPr="00487C13" w:rsidRDefault="00AF7D7A" w:rsidP="00F72F73">
      <w:pPr>
        <w:pStyle w:val="FootnoteText"/>
        <w:ind w:left="567" w:hanging="567"/>
        <w:rPr>
          <w:sz w:val="24"/>
        </w:rPr>
      </w:pPr>
      <w:r w:rsidRPr="00F72F73">
        <w:rPr>
          <w:rStyle w:val="FootnoteReference"/>
          <w:sz w:val="24"/>
          <w:lang w:val="da-DK"/>
        </w:rPr>
        <w:footnoteRef/>
      </w:r>
      <w:r w:rsidR="00F72F73" w:rsidRPr="00487C13">
        <w:rPr>
          <w:sz w:val="24"/>
        </w:rPr>
        <w:t xml:space="preserve"> </w:t>
      </w:r>
      <w:r w:rsidR="00F72F73" w:rsidRPr="00487C13">
        <w:rPr>
          <w:sz w:val="24"/>
        </w:rPr>
        <w:tab/>
      </w:r>
      <w:r w:rsidRPr="00487C13">
        <w:rPr>
          <w:sz w:val="24"/>
        </w:rPr>
        <w:t>EUT C, C/2023/112, 12.10.2023.</w:t>
      </w:r>
    </w:p>
  </w:footnote>
  <w:footnote w:id="7">
    <w:p w14:paraId="3FBCF5B9" w14:textId="77777777" w:rsidR="00AF7D7A" w:rsidRPr="00F72F73" w:rsidRDefault="00AF7D7A" w:rsidP="00F72F73">
      <w:pPr>
        <w:pStyle w:val="FootnoteText"/>
        <w:ind w:left="567" w:hanging="567"/>
        <w:rPr>
          <w:sz w:val="24"/>
          <w:lang w:val="da-DK"/>
        </w:rPr>
      </w:pPr>
      <w:r w:rsidRPr="00F72F73">
        <w:rPr>
          <w:rStyle w:val="FootnoteReference"/>
          <w:sz w:val="24"/>
          <w:lang w:val="da-DK"/>
        </w:rPr>
        <w:footnoteRef/>
      </w:r>
      <w:r w:rsidR="00F72F73" w:rsidRPr="00F72F73">
        <w:rPr>
          <w:sz w:val="24"/>
          <w:lang w:val="da-DK"/>
        </w:rPr>
        <w:t xml:space="preserve"> </w:t>
      </w:r>
      <w:r w:rsidR="00F72F73" w:rsidRPr="00F72F73">
        <w:rPr>
          <w:sz w:val="24"/>
          <w:lang w:val="da-DK"/>
        </w:rPr>
        <w:tab/>
      </w:r>
      <w:r w:rsidRPr="00F72F73">
        <w:rPr>
          <w:sz w:val="24"/>
          <w:lang w:val="da-DK"/>
        </w:rPr>
        <w:t>EUT L 193 af 30.7.2018, s. 1.</w:t>
      </w:r>
    </w:p>
  </w:footnote>
  <w:footnote w:id="8">
    <w:p w14:paraId="4F2B9625" w14:textId="77777777" w:rsidR="00AF7D7A" w:rsidRPr="00F72F73" w:rsidRDefault="00AF7D7A" w:rsidP="00F72F73">
      <w:pPr>
        <w:pStyle w:val="FootnoteText"/>
        <w:ind w:left="567" w:hanging="567"/>
        <w:rPr>
          <w:sz w:val="24"/>
          <w:szCs w:val="24"/>
          <w:lang w:val="da-DK"/>
        </w:rPr>
      </w:pPr>
      <w:r w:rsidRPr="00F72F73">
        <w:rPr>
          <w:rStyle w:val="FootnoteReference"/>
          <w:sz w:val="24"/>
          <w:lang w:val="da-DK"/>
        </w:rPr>
        <w:footnoteRef/>
      </w:r>
      <w:r w:rsidR="00F72F73" w:rsidRPr="00F72F73">
        <w:rPr>
          <w:sz w:val="24"/>
          <w:lang w:val="da-DK"/>
        </w:rPr>
        <w:t xml:space="preserve"> </w:t>
      </w:r>
      <w:r w:rsidR="00F72F73" w:rsidRPr="00F72F73">
        <w:rPr>
          <w:sz w:val="24"/>
          <w:lang w:val="da-DK"/>
        </w:rPr>
        <w:tab/>
      </w:r>
      <w:r w:rsidRPr="00F72F73">
        <w:rPr>
          <w:sz w:val="24"/>
          <w:lang w:val="da-DK"/>
        </w:rPr>
        <w:t>EUT L 41 af 15.2.2008, s. 15.</w:t>
      </w:r>
    </w:p>
  </w:footnote>
  <w:footnote w:id="9">
    <w:p w14:paraId="562BDE69" w14:textId="7F91EFCC" w:rsidR="00AF7D7A" w:rsidRPr="00F72F73" w:rsidRDefault="00AF7D7A" w:rsidP="00F72F73">
      <w:pPr>
        <w:pStyle w:val="FootnoteText"/>
        <w:ind w:left="567" w:hanging="567"/>
        <w:rPr>
          <w:sz w:val="24"/>
          <w:lang w:val="da-DK"/>
        </w:rPr>
      </w:pPr>
      <w:r w:rsidRPr="00F72F73">
        <w:rPr>
          <w:rStyle w:val="FootnoteReference"/>
          <w:sz w:val="24"/>
          <w:lang w:val="da-DK"/>
        </w:rPr>
        <w:footnoteRef/>
      </w:r>
      <w:r w:rsidR="00F72F73" w:rsidRPr="00F72F73">
        <w:rPr>
          <w:sz w:val="24"/>
          <w:lang w:val="da-DK"/>
        </w:rPr>
        <w:t xml:space="preserve"> </w:t>
      </w:r>
      <w:r w:rsidR="00F72F73" w:rsidRPr="00F72F73">
        <w:rPr>
          <w:sz w:val="24"/>
          <w:lang w:val="da-DK"/>
        </w:rPr>
        <w:tab/>
      </w:r>
      <w:r w:rsidRPr="00F72F73">
        <w:rPr>
          <w:sz w:val="24"/>
          <w:lang w:val="da-DK"/>
        </w:rPr>
        <w:t>Vedtagne tekster, P9_TA(2024)0</w:t>
      </w:r>
      <w:r w:rsidR="00263DAA">
        <w:rPr>
          <w:sz w:val="24"/>
          <w:lang w:val="da-DK"/>
        </w:rPr>
        <w:t>280</w:t>
      </w:r>
      <w:r w:rsidRPr="00F72F7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309AF" w14:textId="77777777" w:rsidR="00AF7D7A" w:rsidRPr="00F72F73" w:rsidRDefault="00AF7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69878" w14:textId="77777777" w:rsidR="00AF7D7A" w:rsidRPr="00F72F73" w:rsidRDefault="00AF7D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94809" w14:textId="77777777" w:rsidR="00AF7D7A" w:rsidRPr="00F72F73" w:rsidRDefault="00AF7D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B209D" w14:textId="77777777" w:rsidR="00064002" w:rsidRPr="00F72F7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B0191" w14:textId="77777777" w:rsidR="00064002" w:rsidRPr="00F72F7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2B5BF" w14:textId="77777777" w:rsidR="00064002" w:rsidRPr="00F72F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DA"/>
    <w:docVar w:name="dvnumam" w:val="0"/>
    <w:docVar w:name="dvpe" w:val="753.529"/>
    <w:docVar w:name="dvrapporteur" w:val="Ordfører: "/>
    <w:docVar w:name="dvtitre" w:val="Europa-Parlamentets afgørelse af xx.xx 2024 om decharge for gennemførelsen af budgettet for Euratoms Forsyningsagentur for regnskabsåret 2022(2023/2161(DEC))"/>
  </w:docVars>
  <w:rsids>
    <w:rsidRoot w:val="002B603C"/>
    <w:rsid w:val="00002272"/>
    <w:rsid w:val="00064002"/>
    <w:rsid w:val="000677B9"/>
    <w:rsid w:val="000831BA"/>
    <w:rsid w:val="000A42CC"/>
    <w:rsid w:val="000E7DD9"/>
    <w:rsid w:val="0010095E"/>
    <w:rsid w:val="00125B37"/>
    <w:rsid w:val="00187494"/>
    <w:rsid w:val="001F32AE"/>
    <w:rsid w:val="00263DAA"/>
    <w:rsid w:val="002767FF"/>
    <w:rsid w:val="002B18FE"/>
    <w:rsid w:val="002B5493"/>
    <w:rsid w:val="002B603C"/>
    <w:rsid w:val="00343214"/>
    <w:rsid w:val="00361C00"/>
    <w:rsid w:val="00395FA1"/>
    <w:rsid w:val="003E15D4"/>
    <w:rsid w:val="00411CCE"/>
    <w:rsid w:val="0041666E"/>
    <w:rsid w:val="00421060"/>
    <w:rsid w:val="004331FB"/>
    <w:rsid w:val="00471C19"/>
    <w:rsid w:val="004867E3"/>
    <w:rsid w:val="00487C13"/>
    <w:rsid w:val="00494A28"/>
    <w:rsid w:val="004C0004"/>
    <w:rsid w:val="004C5D52"/>
    <w:rsid w:val="0050519A"/>
    <w:rsid w:val="005072A1"/>
    <w:rsid w:val="00514517"/>
    <w:rsid w:val="00545827"/>
    <w:rsid w:val="00560270"/>
    <w:rsid w:val="005C2568"/>
    <w:rsid w:val="005F172C"/>
    <w:rsid w:val="006037C0"/>
    <w:rsid w:val="006631B6"/>
    <w:rsid w:val="00677A9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272"/>
    <w:rsid w:val="008C2AC6"/>
    <w:rsid w:val="00930C23"/>
    <w:rsid w:val="0093193B"/>
    <w:rsid w:val="009509D8"/>
    <w:rsid w:val="00950B64"/>
    <w:rsid w:val="00981893"/>
    <w:rsid w:val="00A1687D"/>
    <w:rsid w:val="00A43E52"/>
    <w:rsid w:val="00A4678D"/>
    <w:rsid w:val="00A5294A"/>
    <w:rsid w:val="00A778C7"/>
    <w:rsid w:val="00AB441E"/>
    <w:rsid w:val="00AB6293"/>
    <w:rsid w:val="00AE0928"/>
    <w:rsid w:val="00AF3B82"/>
    <w:rsid w:val="00AF7D7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F7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08ED4"/>
  <w15:chartTrackingRefBased/>
  <w15:docId w15:val="{8A1E9E31-BEA7-4DEF-9FD0-7BA459393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7D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7D7A"/>
    <w:pPr>
      <w:spacing w:before="480" w:after="240"/>
    </w:pPr>
  </w:style>
  <w:style w:type="paragraph" w:customStyle="1" w:styleId="PageHeading">
    <w:name w:val="PageHeading"/>
    <w:basedOn w:val="Normal"/>
    <w:rsid w:val="00AF7D7A"/>
    <w:pPr>
      <w:keepNext/>
      <w:spacing w:after="480"/>
      <w:jc w:val="center"/>
    </w:pPr>
    <w:rPr>
      <w:rFonts w:ascii="Arial" w:hAnsi="Arial" w:cs="Arial"/>
      <w:b/>
    </w:rPr>
  </w:style>
  <w:style w:type="paragraph" w:customStyle="1" w:styleId="NormalBold">
    <w:name w:val="NormalBold"/>
    <w:basedOn w:val="Normal"/>
    <w:rsid w:val="00AF7D7A"/>
    <w:rPr>
      <w:b/>
    </w:rPr>
  </w:style>
  <w:style w:type="paragraph" w:customStyle="1" w:styleId="NormalHanging12a">
    <w:name w:val="NormalHanging12a"/>
    <w:basedOn w:val="Normal"/>
    <w:link w:val="NormalHanging12aChar"/>
    <w:rsid w:val="00AF7D7A"/>
    <w:pPr>
      <w:spacing w:after="240"/>
      <w:ind w:left="567" w:hanging="567"/>
    </w:pPr>
  </w:style>
  <w:style w:type="paragraph" w:customStyle="1" w:styleId="NormalCenter12a">
    <w:name w:val="NormalCenter12a"/>
    <w:basedOn w:val="Normal"/>
    <w:rsid w:val="00AF7D7A"/>
    <w:pPr>
      <w:spacing w:after="240"/>
      <w:jc w:val="center"/>
    </w:pPr>
  </w:style>
  <w:style w:type="paragraph" w:styleId="Header">
    <w:name w:val="header"/>
    <w:basedOn w:val="Normal"/>
    <w:link w:val="HeaderChar"/>
    <w:rsid w:val="00AF7D7A"/>
    <w:pPr>
      <w:tabs>
        <w:tab w:val="center" w:pos="4513"/>
        <w:tab w:val="right" w:pos="9026"/>
      </w:tabs>
    </w:pPr>
  </w:style>
  <w:style w:type="character" w:customStyle="1" w:styleId="HeaderChar">
    <w:name w:val="Header Char"/>
    <w:basedOn w:val="DefaultParagraphFont"/>
    <w:link w:val="Header"/>
    <w:rsid w:val="00AF7D7A"/>
    <w:rPr>
      <w:sz w:val="24"/>
      <w:lang w:val="da-DK"/>
    </w:rPr>
  </w:style>
  <w:style w:type="paragraph" w:customStyle="1" w:styleId="EPFooter">
    <w:name w:val="EPFooter"/>
    <w:basedOn w:val="Normal"/>
    <w:rsid w:val="00AF7D7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AF7D7A"/>
    <w:rPr>
      <w:sz w:val="24"/>
      <w:lang w:val="da-DK"/>
    </w:rPr>
  </w:style>
  <w:style w:type="paragraph" w:styleId="BalloonText">
    <w:name w:val="Balloon Text"/>
    <w:basedOn w:val="Normal"/>
    <w:link w:val="BalloonTextChar"/>
    <w:rsid w:val="008A5272"/>
    <w:rPr>
      <w:rFonts w:ascii="Segoe UI" w:hAnsi="Segoe UI" w:cs="Segoe UI"/>
      <w:sz w:val="18"/>
      <w:szCs w:val="18"/>
    </w:rPr>
  </w:style>
  <w:style w:type="character" w:customStyle="1" w:styleId="BalloonTextChar">
    <w:name w:val="Balloon Text Char"/>
    <w:basedOn w:val="DefaultParagraphFont"/>
    <w:link w:val="BalloonText"/>
    <w:rsid w:val="008A5272"/>
    <w:rPr>
      <w:rFonts w:ascii="Segoe UI" w:hAnsi="Segoe UI" w:cs="Segoe UI"/>
      <w:sz w:val="18"/>
      <w:szCs w:val="18"/>
      <w:lang w:val="da-DK"/>
    </w:rPr>
  </w:style>
  <w:style w:type="character" w:styleId="CommentReference">
    <w:name w:val="annotation reference"/>
    <w:basedOn w:val="DefaultParagraphFont"/>
    <w:rsid w:val="00A5294A"/>
    <w:rPr>
      <w:sz w:val="16"/>
      <w:szCs w:val="16"/>
    </w:rPr>
  </w:style>
  <w:style w:type="paragraph" w:styleId="CommentText">
    <w:name w:val="annotation text"/>
    <w:basedOn w:val="Normal"/>
    <w:link w:val="CommentTextChar"/>
    <w:rsid w:val="00A5294A"/>
    <w:rPr>
      <w:sz w:val="20"/>
    </w:rPr>
  </w:style>
  <w:style w:type="character" w:customStyle="1" w:styleId="CommentTextChar">
    <w:name w:val="Comment Text Char"/>
    <w:basedOn w:val="DefaultParagraphFont"/>
    <w:link w:val="CommentText"/>
    <w:rsid w:val="00A5294A"/>
    <w:rPr>
      <w:lang w:val="da-DK"/>
    </w:rPr>
  </w:style>
  <w:style w:type="paragraph" w:styleId="CommentSubject">
    <w:name w:val="annotation subject"/>
    <w:basedOn w:val="CommentText"/>
    <w:next w:val="CommentText"/>
    <w:link w:val="CommentSubjectChar"/>
    <w:rsid w:val="00A5294A"/>
    <w:rPr>
      <w:b/>
      <w:bCs/>
    </w:rPr>
  </w:style>
  <w:style w:type="character" w:customStyle="1" w:styleId="CommentSubjectChar">
    <w:name w:val="Comment Subject Char"/>
    <w:basedOn w:val="CommentTextChar"/>
    <w:link w:val="CommentSubject"/>
    <w:rsid w:val="00A5294A"/>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6D541-2856-4754-B927-00D325B1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2153</Words>
  <Characters>13829</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2024-04-11T15:17:00Z</dcterms:created>
  <dcterms:modified xsi:type="dcterms:W3CDTF">2024-04-11T15:17:00Z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A9-0108/2024</vt:lpwstr>
  </property>
  <property fmtid="{D5CDD505-2E9C-101B-9397-08002B2CF9AE}" pid="4" name="&lt;Type&gt;">
    <vt:lpwstr>RR</vt:lpwstr>
  </property>
</Properties>
</file>