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1E95" w:rsidTr="0010095E">
        <w:trPr>
          <w:trHeight w:hRule="exact" w:val="1418"/>
        </w:trPr>
        <w:tc>
          <w:tcPr>
            <w:tcW w:w="6804" w:type="dxa"/>
            <w:shd w:val="clear" w:color="auto" w:fill="auto"/>
            <w:vAlign w:val="center"/>
          </w:tcPr>
          <w:p w:rsidR="00751A4A" w:rsidRPr="00AE1E95" w:rsidRDefault="00C850D6" w:rsidP="0010095E">
            <w:pPr>
              <w:pStyle w:val="EPName"/>
            </w:pPr>
            <w:r w:rsidRPr="00AE1E95">
              <w:t>Europski parlament</w:t>
            </w:r>
          </w:p>
          <w:p w:rsidR="00751A4A" w:rsidRPr="00AE1E95" w:rsidRDefault="00817416" w:rsidP="00756632">
            <w:pPr>
              <w:pStyle w:val="EPTerm"/>
              <w:rPr>
                <w:rStyle w:val="HideTWBExt"/>
                <w:noProof w:val="0"/>
                <w:vanish w:val="0"/>
                <w:color w:val="auto"/>
              </w:rPr>
            </w:pPr>
            <w:r w:rsidRPr="00AE1E95">
              <w:t>2019-2024</w:t>
            </w:r>
          </w:p>
        </w:tc>
        <w:tc>
          <w:tcPr>
            <w:tcW w:w="2268" w:type="dxa"/>
            <w:shd w:val="clear" w:color="auto" w:fill="auto"/>
          </w:tcPr>
          <w:p w:rsidR="00751A4A" w:rsidRPr="00AE1E95" w:rsidRDefault="00187494" w:rsidP="0010095E">
            <w:pPr>
              <w:pStyle w:val="EPLogo"/>
            </w:pPr>
            <w:r w:rsidRPr="00AE1E9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1E95" w:rsidRDefault="00D058B8" w:rsidP="004C5D52">
      <w:pPr>
        <w:pStyle w:val="LineTop"/>
      </w:pPr>
    </w:p>
    <w:p w:rsidR="00680577" w:rsidRPr="00AE1E95" w:rsidRDefault="00C850D6" w:rsidP="00680577">
      <w:pPr>
        <w:pStyle w:val="EPBodyTA1"/>
      </w:pPr>
      <w:r w:rsidRPr="00AE1E95">
        <w:t>USVOJENI TEKSTOVI</w:t>
      </w:r>
    </w:p>
    <w:p w:rsidR="00D058B8" w:rsidRPr="00AE1E95" w:rsidRDefault="00D058B8" w:rsidP="00D058B8">
      <w:pPr>
        <w:pStyle w:val="LineBottom"/>
      </w:pPr>
    </w:p>
    <w:p w:rsidR="00C850D6" w:rsidRPr="00AE1E95" w:rsidRDefault="00C850D6" w:rsidP="00C850D6">
      <w:pPr>
        <w:pStyle w:val="ATHeading1"/>
      </w:pPr>
      <w:bookmarkStart w:id="0" w:name="TANumber"/>
      <w:r w:rsidRPr="00AE1E95">
        <w:t>P9_TA(2024)0</w:t>
      </w:r>
      <w:r w:rsidR="00D56421">
        <w:t>259</w:t>
      </w:r>
      <w:bookmarkEnd w:id="0"/>
    </w:p>
    <w:p w:rsidR="00C850D6" w:rsidRPr="00AE1E95" w:rsidRDefault="00C850D6" w:rsidP="00C850D6">
      <w:pPr>
        <w:pStyle w:val="ATHeading2"/>
      </w:pPr>
      <w:bookmarkStart w:id="1" w:name="title"/>
      <w:r w:rsidRPr="00AE1E95">
        <w:t xml:space="preserve">Razrješnica za 2022.: Agencija za opskrbu </w:t>
      </w:r>
      <w:proofErr w:type="spellStart"/>
      <w:r w:rsidRPr="00AE1E95">
        <w:t>Euratoma</w:t>
      </w:r>
      <w:bookmarkEnd w:id="1"/>
      <w:proofErr w:type="spellEnd"/>
    </w:p>
    <w:p w:rsidR="00C850D6" w:rsidRPr="00AE1E95" w:rsidRDefault="00C850D6" w:rsidP="00C850D6">
      <w:pPr>
        <w:rPr>
          <w:i/>
          <w:vanish/>
        </w:rPr>
      </w:pPr>
      <w:r w:rsidRPr="00AE1E95">
        <w:rPr>
          <w:i/>
        </w:rPr>
        <w:fldChar w:fldCharType="begin"/>
      </w:r>
      <w:r w:rsidRPr="00AE1E95">
        <w:rPr>
          <w:i/>
        </w:rPr>
        <w:instrText xml:space="preserve"> TC"(</w:instrText>
      </w:r>
      <w:bookmarkStart w:id="2" w:name="DocNumber"/>
      <w:r w:rsidRPr="00AE1E95">
        <w:rPr>
          <w:i/>
        </w:rPr>
        <w:instrText>A9-0108/2024</w:instrText>
      </w:r>
      <w:bookmarkEnd w:id="2"/>
      <w:r w:rsidRPr="00AE1E95">
        <w:rPr>
          <w:i/>
        </w:rPr>
        <w:instrText xml:space="preserve"> - Izvjestitelj: Petri </w:instrText>
      </w:r>
      <w:proofErr w:type="spellStart"/>
      <w:r w:rsidRPr="00AE1E95">
        <w:rPr>
          <w:i/>
        </w:rPr>
        <w:instrText>Sarvamaa</w:instrText>
      </w:r>
      <w:proofErr w:type="spellEnd"/>
      <w:r w:rsidRPr="00AE1E95">
        <w:rPr>
          <w:i/>
        </w:rPr>
        <w:instrText xml:space="preserve">)"\l3 \n&gt; \* MERGEFORMAT </w:instrText>
      </w:r>
      <w:r w:rsidRPr="00AE1E95">
        <w:rPr>
          <w:i/>
        </w:rPr>
        <w:fldChar w:fldCharType="end"/>
      </w:r>
    </w:p>
    <w:p w:rsidR="00C850D6" w:rsidRPr="00AE1E95" w:rsidRDefault="00C850D6" w:rsidP="00C850D6">
      <w:pPr>
        <w:rPr>
          <w:vanish/>
        </w:rPr>
      </w:pPr>
      <w:bookmarkStart w:id="3" w:name="Commission"/>
      <w:r w:rsidRPr="00AE1E95">
        <w:rPr>
          <w:vanish/>
        </w:rPr>
        <w:t>Odbor za proračunski nadzor</w:t>
      </w:r>
      <w:bookmarkEnd w:id="3"/>
    </w:p>
    <w:p w:rsidR="00C850D6" w:rsidRPr="00AE1E95" w:rsidRDefault="00C850D6" w:rsidP="00C850D6">
      <w:pPr>
        <w:rPr>
          <w:vanish/>
        </w:rPr>
      </w:pPr>
      <w:bookmarkStart w:id="4" w:name="PE"/>
      <w:r w:rsidRPr="00AE1E95">
        <w:rPr>
          <w:vanish/>
        </w:rPr>
        <w:t>PE753.529</w:t>
      </w:r>
      <w:bookmarkEnd w:id="4"/>
    </w:p>
    <w:p w:rsidR="00C850D6" w:rsidRPr="00AE1E95" w:rsidRDefault="00AE1E95" w:rsidP="00C850D6">
      <w:pPr>
        <w:pStyle w:val="ATHeading3"/>
      </w:pPr>
      <w:bookmarkStart w:id="5" w:name="Sujet"/>
      <w:r>
        <w:t xml:space="preserve">1. </w:t>
      </w:r>
      <w:r w:rsidR="00C850D6" w:rsidRPr="00AE1E95">
        <w:t>Od</w:t>
      </w:r>
      <w:r>
        <w:t>luka Europskog parlamenta od 11</w:t>
      </w:r>
      <w:r w:rsidR="00C850D6" w:rsidRPr="00AE1E95">
        <w:t xml:space="preserve">. </w:t>
      </w:r>
      <w:r>
        <w:t xml:space="preserve">travnja </w:t>
      </w:r>
      <w:r w:rsidR="00C850D6" w:rsidRPr="00AE1E95">
        <w:t xml:space="preserve">2024. o razrješnici za izvršenje proračuna Agencije za opskrbu </w:t>
      </w:r>
      <w:proofErr w:type="spellStart"/>
      <w:r w:rsidR="00C850D6" w:rsidRPr="00AE1E95">
        <w:t>Euratoma</w:t>
      </w:r>
      <w:proofErr w:type="spellEnd"/>
      <w:r w:rsidR="00C850D6" w:rsidRPr="00AE1E95">
        <w:t xml:space="preserve"> za financijsku godinu 2022.</w:t>
      </w:r>
      <w:bookmarkEnd w:id="5"/>
      <w:r w:rsidR="00C850D6" w:rsidRPr="00AE1E95">
        <w:t xml:space="preserve"> </w:t>
      </w:r>
      <w:bookmarkStart w:id="6" w:name="References"/>
      <w:r w:rsidR="00C850D6" w:rsidRPr="00AE1E95">
        <w:t>(2023/2161(DEC))</w:t>
      </w:r>
      <w:bookmarkEnd w:id="6"/>
    </w:p>
    <w:p w:rsidR="005F3AD0" w:rsidRPr="00AE1E95" w:rsidRDefault="005F3AD0" w:rsidP="005F3AD0">
      <w:pPr>
        <w:pStyle w:val="EPComma"/>
      </w:pPr>
      <w:bookmarkStart w:id="7" w:name="TextBodyBegin"/>
      <w:bookmarkEnd w:id="7"/>
      <w:r w:rsidRPr="00AE1E95">
        <w:rPr>
          <w:i/>
        </w:rPr>
        <w:t>Europski parlament</w:t>
      </w:r>
      <w:r w:rsidRPr="00AE1E95">
        <w:t>,</w:t>
      </w:r>
    </w:p>
    <w:p w:rsidR="005F3AD0" w:rsidRPr="00AE1E95" w:rsidRDefault="005F3AD0" w:rsidP="005F3AD0">
      <w:pPr>
        <w:pStyle w:val="NormalHanging12a"/>
      </w:pPr>
      <w:r w:rsidRPr="00AE1E95">
        <w:t>–</w:t>
      </w:r>
      <w:r w:rsidRPr="00AE1E95">
        <w:tab/>
        <w:t xml:space="preserve">uzimajući u obzir završnu godišnju računovodstvenu dokumentaciju Agencije za opskrbu </w:t>
      </w:r>
      <w:proofErr w:type="spellStart"/>
      <w:r w:rsidRPr="00AE1E95">
        <w:t>Euratoma</w:t>
      </w:r>
      <w:proofErr w:type="spellEnd"/>
      <w:r w:rsidRPr="00AE1E95">
        <w:t xml:space="preserve"> za financijsku godinu 2022.,</w:t>
      </w:r>
    </w:p>
    <w:p w:rsidR="005F3AD0" w:rsidRPr="00AE1E95" w:rsidRDefault="005F3AD0" w:rsidP="005F3AD0">
      <w:pPr>
        <w:pStyle w:val="NormalHanging12a"/>
      </w:pPr>
      <w:r w:rsidRPr="00AE1E95">
        <w:t>–</w:t>
      </w:r>
      <w:r w:rsidRPr="00AE1E95">
        <w:tab/>
        <w:t>uzimajući u obzir godišnje izvješće Revizorskog suda o agencijama EU-a za financijsku godinu 2022., kojemu su priloženi odgovori agencija</w:t>
      </w:r>
      <w:r w:rsidRPr="00AE1E95">
        <w:rPr>
          <w:rStyle w:val="FootnoteReference"/>
        </w:rPr>
        <w:footnoteReference w:id="1"/>
      </w:r>
      <w:r w:rsidRPr="00AE1E95">
        <w:t>,</w:t>
      </w:r>
    </w:p>
    <w:p w:rsidR="005F3AD0" w:rsidRPr="00AE1E95" w:rsidRDefault="005F3AD0" w:rsidP="005F3AD0">
      <w:pPr>
        <w:pStyle w:val="NormalHanging12a"/>
      </w:pPr>
      <w:r w:rsidRPr="00AE1E95">
        <w:t>–</w:t>
      </w:r>
      <w:r w:rsidRPr="00AE1E95">
        <w:tab/>
        <w:t>uzimajući u obzir izjavu o jamstvu</w:t>
      </w:r>
      <w:r w:rsidRPr="00AE1E95">
        <w:rPr>
          <w:rStyle w:val="FootnoteReference"/>
        </w:rPr>
        <w:footnoteReference w:id="2"/>
      </w:r>
      <w:r w:rsidRPr="00AE1E95">
        <w:t xml:space="preserve"> u pogledu pouzdanosti računovodstvene dokumentacije te zakonitosti i pravilnosti temeljnih transakcija koju je u skladu s člankom 287. Ugovora o funkcioniranju Europske unije Revizorski sud podnio za financijsku godinu 2022.,</w:t>
      </w:r>
    </w:p>
    <w:p w:rsidR="005F3AD0" w:rsidRPr="00AE1E95" w:rsidRDefault="005F3AD0" w:rsidP="005F3AD0">
      <w:pPr>
        <w:pStyle w:val="NormalHanging12a"/>
      </w:pPr>
      <w:r w:rsidRPr="00AE1E95">
        <w:t>–</w:t>
      </w:r>
      <w:r w:rsidRPr="00AE1E95">
        <w:tab/>
        <w:t>uzimajući u obzir preporuku Vijeća od 22. veljače 2024. o razrješnici koju Agencija treba dobiti za izvršenje proračuna za financijsku godinu 2022. (0</w:t>
      </w:r>
      <w:r w:rsidR="00453DB4">
        <w:t>618</w:t>
      </w:r>
      <w:r w:rsidRPr="00AE1E95">
        <w:t>0/2024 – C9</w:t>
      </w:r>
      <w:r w:rsidRPr="00AE1E95">
        <w:noBreakHyphen/>
        <w:t>0</w:t>
      </w:r>
      <w:r w:rsidR="00453DB4">
        <w:t>099</w:t>
      </w:r>
      <w:r w:rsidRPr="00AE1E95">
        <w:t>/2024),</w:t>
      </w:r>
    </w:p>
    <w:p w:rsidR="005F3AD0" w:rsidRPr="00AE1E95" w:rsidRDefault="005F3AD0" w:rsidP="005F3AD0">
      <w:pPr>
        <w:pStyle w:val="NormalHanging12a"/>
      </w:pPr>
      <w:r w:rsidRPr="00AE1E95">
        <w:t>–</w:t>
      </w:r>
      <w:r w:rsidRPr="00AE1E95">
        <w:tab/>
        <w:t>uzimajući u obzir članak 319. Ugovora o funkcioniranju Europske unije,</w:t>
      </w:r>
    </w:p>
    <w:p w:rsidR="005F3AD0" w:rsidRPr="00AE1E95" w:rsidRDefault="005F3AD0" w:rsidP="005F3AD0">
      <w:pPr>
        <w:pStyle w:val="NormalHanging12a"/>
      </w:pPr>
      <w:r w:rsidRPr="00AE1E95">
        <w:t>–</w:t>
      </w:r>
      <w:r w:rsidRPr="00AE1E95">
        <w:tab/>
        <w:t>uzimajući u obzir članak 106.a Ugovora o osnivanju Europske zajednice za atomsku energiju,</w:t>
      </w:r>
    </w:p>
    <w:p w:rsidR="005F3AD0" w:rsidRPr="00AE1E95" w:rsidRDefault="005F3AD0" w:rsidP="005F3AD0">
      <w:pPr>
        <w:pStyle w:val="NormalHanging12a"/>
      </w:pPr>
      <w:r w:rsidRPr="00AE1E95">
        <w:t>–</w:t>
      </w:r>
      <w:r w:rsidRPr="00AE1E95">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AE1E95">
        <w:lastRenderedPageBreak/>
        <w:t>Euratom) br. 966/2012</w:t>
      </w:r>
      <w:r w:rsidRPr="00AE1E95">
        <w:rPr>
          <w:rStyle w:val="FootnoteReference"/>
        </w:rPr>
        <w:footnoteReference w:id="3"/>
      </w:r>
      <w:r w:rsidRPr="00AE1E95">
        <w:t>, a posebno njezin članak 68.,</w:t>
      </w:r>
    </w:p>
    <w:p w:rsidR="005F3AD0" w:rsidRPr="00AE1E95" w:rsidRDefault="005F3AD0" w:rsidP="005F3AD0">
      <w:pPr>
        <w:pStyle w:val="NormalHanging12a"/>
      </w:pPr>
      <w:r w:rsidRPr="00AE1E95">
        <w:t>–</w:t>
      </w:r>
      <w:r w:rsidRPr="00AE1E95">
        <w:tab/>
        <w:t xml:space="preserve">uzimajući u obzir Odluku Vijeća 2008/114/EZ, Euratom od 12. veljače 2008. kojom se utvrđuju statuti Agencije za opskrbu </w:t>
      </w:r>
      <w:proofErr w:type="spellStart"/>
      <w:r w:rsidRPr="00AE1E95">
        <w:t>Euratoma</w:t>
      </w:r>
      <w:proofErr w:type="spellEnd"/>
      <w:r w:rsidRPr="00AE1E95">
        <w:rPr>
          <w:rStyle w:val="FootnoteReference"/>
        </w:rPr>
        <w:footnoteReference w:id="4"/>
      </w:r>
      <w:r w:rsidRPr="00AE1E95">
        <w:t>, a posebno članak 8. njezinog priloga,</w:t>
      </w:r>
    </w:p>
    <w:p w:rsidR="005F3AD0" w:rsidRPr="00AE1E95" w:rsidRDefault="005F3AD0" w:rsidP="005F3AD0">
      <w:pPr>
        <w:pStyle w:val="NormalHanging12a"/>
      </w:pPr>
      <w:r w:rsidRPr="00AE1E95">
        <w:t>–</w:t>
      </w:r>
      <w:r w:rsidRPr="00AE1E95">
        <w:tab/>
        <w:t>uzimajući u obzir članak 100. Poslovnika i Prilog V. Poslovniku,</w:t>
      </w:r>
    </w:p>
    <w:p w:rsidR="005F3AD0" w:rsidRPr="00AE1E95" w:rsidRDefault="005F3AD0" w:rsidP="005F3AD0">
      <w:pPr>
        <w:pStyle w:val="NormalHanging12a"/>
      </w:pPr>
      <w:r w:rsidRPr="00AE1E95">
        <w:t>–</w:t>
      </w:r>
      <w:r w:rsidRPr="00AE1E95">
        <w:tab/>
        <w:t>uzimajući u obzir izvješće Odbora za proračunski nadzor (A9</w:t>
      </w:r>
      <w:r w:rsidRPr="00AE1E95">
        <w:noBreakHyphen/>
        <w:t>0108/2024),</w:t>
      </w:r>
    </w:p>
    <w:p w:rsidR="005F3AD0" w:rsidRPr="00AE1E95" w:rsidRDefault="005F3AD0" w:rsidP="005F3AD0">
      <w:pPr>
        <w:pStyle w:val="NormalHanging12a"/>
      </w:pPr>
      <w:r w:rsidRPr="00AE1E95">
        <w:t>1.</w:t>
      </w:r>
      <w:r w:rsidRPr="00AE1E95">
        <w:tab/>
        <w:t xml:space="preserve">daje razrješnicu vršitelju dužnosti glavnog direktora Agencije za opskrbu </w:t>
      </w:r>
      <w:proofErr w:type="spellStart"/>
      <w:r w:rsidRPr="00AE1E95">
        <w:t>Euratoma</w:t>
      </w:r>
      <w:proofErr w:type="spellEnd"/>
      <w:r w:rsidRPr="00AE1E95">
        <w:t xml:space="preserve"> za izvršenje proračuna Agencije za financijsku godinu 2022.;</w:t>
      </w:r>
    </w:p>
    <w:p w:rsidR="005F3AD0" w:rsidRPr="00AE1E95" w:rsidRDefault="005F3AD0" w:rsidP="005F3AD0">
      <w:pPr>
        <w:pStyle w:val="NormalHanging12a"/>
      </w:pPr>
      <w:r w:rsidRPr="00AE1E95">
        <w:t>2.</w:t>
      </w:r>
      <w:r w:rsidRPr="00AE1E95">
        <w:tab/>
        <w:t>iznosi svoje primjedbe u Rezoluciji u nastavku;</w:t>
      </w:r>
    </w:p>
    <w:p w:rsidR="005F3AD0" w:rsidRPr="00AE1E95" w:rsidRDefault="005F3AD0" w:rsidP="005F3AD0">
      <w:pPr>
        <w:pStyle w:val="NormalHanging12a"/>
      </w:pPr>
      <w:r w:rsidRPr="00AE1E95">
        <w:t>3.</w:t>
      </w:r>
      <w:r w:rsidRPr="00AE1E95">
        <w:tab/>
        <w:t xml:space="preserve">nalaže svojoj predsjednici da ovu Odluku i Rezoluciju, koja je njezin sastavni dio, proslijedi vršitelju dužnosti glavnog direktora Agencije za opskrbu </w:t>
      </w:r>
      <w:proofErr w:type="spellStart"/>
      <w:r w:rsidRPr="00AE1E95">
        <w:t>Euratoma</w:t>
      </w:r>
      <w:proofErr w:type="spellEnd"/>
      <w:r w:rsidRPr="00AE1E95">
        <w:t xml:space="preserve">, Vijeću, Komisiji i Revizorskom sudu te da ih da na objavu u </w:t>
      </w:r>
      <w:r w:rsidRPr="00AE1E95">
        <w:rPr>
          <w:i/>
        </w:rPr>
        <w:t>Službenom listu Europske unije</w:t>
      </w:r>
      <w:r w:rsidRPr="00AE1E95">
        <w:t xml:space="preserve"> (serija L).</w:t>
      </w:r>
    </w:p>
    <w:p w:rsidR="005F3AD0" w:rsidRPr="00AE1E95" w:rsidRDefault="005F3AD0" w:rsidP="005F3AD0"/>
    <w:p w:rsidR="005F3AD0" w:rsidRPr="00AE1E95" w:rsidRDefault="005F3AD0" w:rsidP="005F3AD0">
      <w:pPr>
        <w:pStyle w:val="PageHeading"/>
        <w:sectPr w:rsidR="005F3AD0" w:rsidRPr="00AE1E95" w:rsidSect="009B180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F3AD0" w:rsidRPr="00AE1E95" w:rsidRDefault="00AE1E95" w:rsidP="00AE1E95">
      <w:pPr>
        <w:pStyle w:val="ATHeading3"/>
      </w:pPr>
      <w:bookmarkStart w:id="8" w:name="_Toc161926440"/>
      <w:r w:rsidRPr="00AE1E95">
        <w:lastRenderedPageBreak/>
        <w:t xml:space="preserve">2. </w:t>
      </w:r>
      <w:r>
        <w:t>Odluka E</w:t>
      </w:r>
      <w:r w:rsidRPr="00AE1E95">
        <w:t>uropskog parlamenta</w:t>
      </w:r>
      <w:bookmarkEnd w:id="8"/>
      <w:r w:rsidRPr="00AE1E95">
        <w:t xml:space="preserve"> </w:t>
      </w:r>
      <w:r>
        <w:t xml:space="preserve">od 11. travnja 2024. </w:t>
      </w:r>
      <w:r w:rsidR="005F3AD0" w:rsidRPr="00AE1E95">
        <w:t xml:space="preserve">o zaključenju poslovnih knjiga Agencije za opskrbu </w:t>
      </w:r>
      <w:proofErr w:type="spellStart"/>
      <w:r w:rsidR="005F3AD0" w:rsidRPr="00AE1E95">
        <w:t>Euratoma</w:t>
      </w:r>
      <w:proofErr w:type="spellEnd"/>
      <w:r w:rsidR="005F3AD0" w:rsidRPr="00AE1E95">
        <w:t xml:space="preserve"> za financijsku godinu 2022.</w:t>
      </w:r>
      <w:r w:rsidRPr="00AE1E95">
        <w:t xml:space="preserve"> </w:t>
      </w:r>
      <w:r w:rsidR="005F3AD0" w:rsidRPr="00AE1E95">
        <w:t>(2023/2161(DEC))</w:t>
      </w:r>
    </w:p>
    <w:p w:rsidR="005F3AD0" w:rsidRPr="00AE1E95" w:rsidRDefault="005F3AD0" w:rsidP="005F3AD0">
      <w:pPr>
        <w:pStyle w:val="EPComma"/>
      </w:pPr>
      <w:r w:rsidRPr="00AE1E95">
        <w:rPr>
          <w:i/>
        </w:rPr>
        <w:t>Europski parlament</w:t>
      </w:r>
      <w:r w:rsidRPr="00AE1E95">
        <w:t>,</w:t>
      </w:r>
    </w:p>
    <w:p w:rsidR="005F3AD0" w:rsidRPr="00AE1E95" w:rsidRDefault="005F3AD0" w:rsidP="005F3AD0">
      <w:pPr>
        <w:pStyle w:val="NormalHanging12a"/>
      </w:pPr>
      <w:r w:rsidRPr="00AE1E95">
        <w:t>–</w:t>
      </w:r>
      <w:r w:rsidRPr="00AE1E95">
        <w:tab/>
        <w:t xml:space="preserve">uzimajući u obzir završnu godišnju računovodstvenu dokumentaciju Agencije za opskrbu </w:t>
      </w:r>
      <w:proofErr w:type="spellStart"/>
      <w:r w:rsidRPr="00AE1E95">
        <w:t>Euratoma</w:t>
      </w:r>
      <w:proofErr w:type="spellEnd"/>
      <w:r w:rsidRPr="00AE1E95">
        <w:t xml:space="preserve"> za financijsku godinu 2022.,</w:t>
      </w:r>
    </w:p>
    <w:p w:rsidR="005F3AD0" w:rsidRPr="00AE1E95" w:rsidRDefault="005F3AD0" w:rsidP="005F3AD0">
      <w:pPr>
        <w:pStyle w:val="NormalHanging12a"/>
      </w:pPr>
      <w:r w:rsidRPr="00AE1E95">
        <w:t>–</w:t>
      </w:r>
      <w:r w:rsidRPr="00AE1E95">
        <w:tab/>
        <w:t>uzimajući u obzir godišnje izvješće Revizorskog suda o agencijama EU-a za financijsku godinu 2022., kojemu su priloženi odgovori agencija</w:t>
      </w:r>
      <w:r w:rsidRPr="00AE1E95">
        <w:rPr>
          <w:rStyle w:val="FootnoteReference"/>
        </w:rPr>
        <w:footnoteReference w:id="5"/>
      </w:r>
      <w:r w:rsidRPr="00AE1E95">
        <w:t>,</w:t>
      </w:r>
    </w:p>
    <w:p w:rsidR="005F3AD0" w:rsidRPr="00AE1E95" w:rsidRDefault="005F3AD0" w:rsidP="005F3AD0">
      <w:pPr>
        <w:pStyle w:val="NormalHanging12a"/>
      </w:pPr>
      <w:r w:rsidRPr="00AE1E95">
        <w:t>–</w:t>
      </w:r>
      <w:r w:rsidRPr="00AE1E95">
        <w:tab/>
        <w:t>uzimajući u obzir izjavu o jamstvu</w:t>
      </w:r>
      <w:r w:rsidRPr="00AE1E95">
        <w:rPr>
          <w:rStyle w:val="FootnoteReference"/>
        </w:rPr>
        <w:footnoteReference w:id="6"/>
      </w:r>
      <w:r w:rsidRPr="00AE1E95">
        <w:t xml:space="preserve"> u pogledu pouzdanosti računovodstvene dokumentacije te zakonitosti i pravilnosti temeljnih transakcija koju je u skladu s člankom 287. Ugovora o funkcioniranju Europske unije Revizorski sud podnio za financijsku godinu 2022.,</w:t>
      </w:r>
    </w:p>
    <w:p w:rsidR="005F3AD0" w:rsidRPr="00AE1E95" w:rsidRDefault="005F3AD0" w:rsidP="005F3AD0">
      <w:pPr>
        <w:pStyle w:val="NormalHanging12a"/>
      </w:pPr>
      <w:r w:rsidRPr="00AE1E95">
        <w:t>–</w:t>
      </w:r>
      <w:r w:rsidRPr="00AE1E95">
        <w:tab/>
        <w:t>uzimajući u obzir preporuku Vijeća od 22. veljače 2024. o razrješnici koju Agencija treba dobiti za izvršenje proračuna za financijsku godinu 2022. (0</w:t>
      </w:r>
      <w:r w:rsidR="00453DB4">
        <w:t>618</w:t>
      </w:r>
      <w:r w:rsidRPr="00AE1E95">
        <w:t>0/2024 – C9</w:t>
      </w:r>
      <w:r w:rsidRPr="00AE1E95">
        <w:noBreakHyphen/>
        <w:t>0</w:t>
      </w:r>
      <w:r w:rsidR="00453DB4">
        <w:t>099</w:t>
      </w:r>
      <w:r w:rsidRPr="00AE1E95">
        <w:t>/2024),</w:t>
      </w:r>
    </w:p>
    <w:p w:rsidR="005F3AD0" w:rsidRPr="00AE1E95" w:rsidRDefault="005F3AD0" w:rsidP="005F3AD0">
      <w:pPr>
        <w:pStyle w:val="NormalHanging12a"/>
      </w:pPr>
      <w:r w:rsidRPr="00AE1E95">
        <w:t>–</w:t>
      </w:r>
      <w:r w:rsidRPr="00AE1E95">
        <w:tab/>
        <w:t>uzimajući u obzir članak 319. Ugovora o funkcioniranju Europske unije,</w:t>
      </w:r>
    </w:p>
    <w:p w:rsidR="005F3AD0" w:rsidRPr="00AE1E95" w:rsidRDefault="005F3AD0" w:rsidP="005F3AD0">
      <w:pPr>
        <w:pStyle w:val="NormalHanging12a"/>
      </w:pPr>
      <w:r w:rsidRPr="00AE1E95">
        <w:t>–</w:t>
      </w:r>
      <w:r w:rsidRPr="00AE1E95">
        <w:tab/>
        <w:t>uzimajući u obzir članak 106.a Ugovora o osnivanju Europske zajednice za atomsku energiju,</w:t>
      </w:r>
    </w:p>
    <w:p w:rsidR="005F3AD0" w:rsidRPr="00AE1E95" w:rsidRDefault="005F3AD0" w:rsidP="005F3AD0">
      <w:pPr>
        <w:pStyle w:val="NormalHanging12a"/>
      </w:pPr>
      <w:r w:rsidRPr="00AE1E95">
        <w:t>–</w:t>
      </w:r>
      <w:r w:rsidRPr="00AE1E9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E1E95">
        <w:rPr>
          <w:rStyle w:val="FootnoteReference"/>
        </w:rPr>
        <w:footnoteReference w:id="7"/>
      </w:r>
      <w:r w:rsidRPr="00AE1E95">
        <w:t>, a posebno njezin članak 68.,</w:t>
      </w:r>
    </w:p>
    <w:p w:rsidR="005F3AD0" w:rsidRPr="00AE1E95" w:rsidRDefault="005F3AD0" w:rsidP="005F3AD0">
      <w:pPr>
        <w:pStyle w:val="NormalHanging12a"/>
      </w:pPr>
      <w:r w:rsidRPr="00AE1E95">
        <w:t>–</w:t>
      </w:r>
      <w:r w:rsidRPr="00AE1E95">
        <w:tab/>
        <w:t xml:space="preserve">uzimajući u obzir Odluku Vijeća 2008/114/EZ, Euratom od 12. veljače 2008. kojom se utvrđuju statuti Agencije za opskrbu </w:t>
      </w:r>
      <w:proofErr w:type="spellStart"/>
      <w:r w:rsidRPr="00AE1E95">
        <w:t>Euratoma</w:t>
      </w:r>
      <w:proofErr w:type="spellEnd"/>
      <w:r w:rsidRPr="00AE1E95">
        <w:rPr>
          <w:rStyle w:val="FootnoteReference"/>
        </w:rPr>
        <w:footnoteReference w:id="8"/>
      </w:r>
      <w:r w:rsidRPr="00AE1E95">
        <w:t>, a posebno članak 8. njezinog priloga,</w:t>
      </w:r>
    </w:p>
    <w:p w:rsidR="005F3AD0" w:rsidRPr="00AE1E95" w:rsidRDefault="005F3AD0" w:rsidP="005F3AD0">
      <w:pPr>
        <w:pStyle w:val="NormalHanging12a"/>
      </w:pPr>
      <w:r w:rsidRPr="00AE1E95">
        <w:t>–</w:t>
      </w:r>
      <w:r w:rsidRPr="00AE1E95">
        <w:tab/>
        <w:t>uzimajući u obzir članak 100. Poslovnika i Prilog V. Poslovniku,</w:t>
      </w:r>
    </w:p>
    <w:p w:rsidR="005F3AD0" w:rsidRPr="00AE1E95" w:rsidRDefault="005F3AD0" w:rsidP="005F3AD0">
      <w:pPr>
        <w:pStyle w:val="NormalHanging12a"/>
      </w:pPr>
      <w:r w:rsidRPr="00AE1E95">
        <w:t>–</w:t>
      </w:r>
      <w:r w:rsidRPr="00AE1E95">
        <w:tab/>
        <w:t>uzimajući u obzir izvješće Odbora za proračunski nadzor (A9</w:t>
      </w:r>
      <w:r w:rsidRPr="00AE1E95">
        <w:noBreakHyphen/>
        <w:t>0108/2024),</w:t>
      </w:r>
    </w:p>
    <w:p w:rsidR="005F3AD0" w:rsidRPr="00AE1E95" w:rsidRDefault="005F3AD0" w:rsidP="005F3AD0">
      <w:pPr>
        <w:pStyle w:val="NormalHanging12a"/>
      </w:pPr>
      <w:r w:rsidRPr="00AE1E95">
        <w:t>1.</w:t>
      </w:r>
      <w:r w:rsidRPr="00AE1E95">
        <w:tab/>
        <w:t xml:space="preserve">odobrava zaključenje poslovnih knjiga Agencije za opskrbu </w:t>
      </w:r>
      <w:proofErr w:type="spellStart"/>
      <w:r w:rsidRPr="00AE1E95">
        <w:t>Euratoma</w:t>
      </w:r>
      <w:proofErr w:type="spellEnd"/>
      <w:r w:rsidRPr="00AE1E95">
        <w:t xml:space="preserve"> za financijsku godinu 2022.;</w:t>
      </w:r>
    </w:p>
    <w:p w:rsidR="005F3AD0" w:rsidRPr="00AE1E95" w:rsidRDefault="005F3AD0" w:rsidP="005F3AD0">
      <w:pPr>
        <w:pStyle w:val="NormalHanging12a"/>
      </w:pPr>
      <w:r w:rsidRPr="00AE1E95">
        <w:t>2.</w:t>
      </w:r>
      <w:r w:rsidRPr="00AE1E95">
        <w:tab/>
        <w:t xml:space="preserve">nalaže svojoj predsjednici da ovu Odluku proslijedi vršitelju dužnosti glavnog direktora Agencije za opskrbu </w:t>
      </w:r>
      <w:proofErr w:type="spellStart"/>
      <w:r w:rsidRPr="00AE1E95">
        <w:t>Euratoma</w:t>
      </w:r>
      <w:proofErr w:type="spellEnd"/>
      <w:r w:rsidRPr="00AE1E95">
        <w:t xml:space="preserve">, Vijeću, Komisiji i Revizorskom sudu te da je da na objavu u </w:t>
      </w:r>
      <w:r w:rsidRPr="00AE1E95">
        <w:rPr>
          <w:i/>
        </w:rPr>
        <w:t>Službenom listu Europske unije</w:t>
      </w:r>
      <w:r w:rsidRPr="00AE1E95">
        <w:t xml:space="preserve"> (serija L).</w:t>
      </w:r>
    </w:p>
    <w:p w:rsidR="005F3AD0" w:rsidRPr="00AE1E95" w:rsidRDefault="005F3AD0" w:rsidP="005F3AD0"/>
    <w:p w:rsidR="005F3AD0" w:rsidRPr="00AE1E95" w:rsidRDefault="005F3AD0" w:rsidP="005F3AD0">
      <w:pPr>
        <w:pStyle w:val="PageHeading"/>
        <w:sectPr w:rsidR="005F3AD0" w:rsidRPr="00AE1E95" w:rsidSect="009B180F">
          <w:footnotePr>
            <w:numRestart w:val="eachPage"/>
          </w:footnotePr>
          <w:endnotePr>
            <w:numFmt w:val="decimal"/>
          </w:endnotePr>
          <w:pgSz w:w="11906" w:h="16838" w:code="9"/>
          <w:pgMar w:top="1134" w:right="1418" w:bottom="1418" w:left="1418" w:header="567" w:footer="567" w:gutter="0"/>
          <w:cols w:space="720"/>
          <w:noEndnote/>
          <w:docGrid w:linePitch="326"/>
        </w:sectPr>
      </w:pPr>
    </w:p>
    <w:p w:rsidR="005F3AD0" w:rsidRPr="00AE1E95" w:rsidRDefault="00AE1E95" w:rsidP="00AE1E95">
      <w:pPr>
        <w:pStyle w:val="ATHeading3"/>
      </w:pPr>
      <w:bookmarkStart w:id="9" w:name="_Toc161926441"/>
      <w:r w:rsidRPr="00AE1E95">
        <w:lastRenderedPageBreak/>
        <w:t xml:space="preserve">3. </w:t>
      </w:r>
      <w:r>
        <w:t>Rezolucija E</w:t>
      </w:r>
      <w:r w:rsidRPr="00AE1E95">
        <w:t>uropskog parlamenta</w:t>
      </w:r>
      <w:bookmarkEnd w:id="9"/>
      <w:r w:rsidRPr="00AE1E95">
        <w:t xml:space="preserve"> </w:t>
      </w:r>
      <w:r>
        <w:t xml:space="preserve">od 11. travnja 2024. </w:t>
      </w:r>
      <w:r w:rsidR="005F3AD0" w:rsidRPr="00AE1E95">
        <w:t xml:space="preserve">s primjedbama koje su sastavni dio Odluke o razrješnici za izvršenje proračuna Agencije za opskrbu </w:t>
      </w:r>
      <w:proofErr w:type="spellStart"/>
      <w:r w:rsidR="005F3AD0" w:rsidRPr="00AE1E95">
        <w:t>Euratoma</w:t>
      </w:r>
      <w:proofErr w:type="spellEnd"/>
      <w:r w:rsidR="005F3AD0" w:rsidRPr="00AE1E95">
        <w:t xml:space="preserve"> za financijsku godinu 2022.</w:t>
      </w:r>
      <w:r w:rsidRPr="00AE1E95">
        <w:t xml:space="preserve"> </w:t>
      </w:r>
      <w:r w:rsidR="005F3AD0" w:rsidRPr="00AE1E95">
        <w:t>(2023/2161(DEC))</w:t>
      </w:r>
    </w:p>
    <w:p w:rsidR="005F3AD0" w:rsidRPr="00AE1E95" w:rsidRDefault="005F3AD0" w:rsidP="005F3AD0">
      <w:pPr>
        <w:pStyle w:val="EPComma"/>
      </w:pPr>
      <w:r w:rsidRPr="00AE1E95">
        <w:rPr>
          <w:i/>
        </w:rPr>
        <w:t>Europski parlament</w:t>
      </w:r>
      <w:r w:rsidRPr="00AE1E95">
        <w:t>,</w:t>
      </w:r>
    </w:p>
    <w:p w:rsidR="005F3AD0" w:rsidRPr="00AE1E95" w:rsidRDefault="005F3AD0" w:rsidP="005F3AD0">
      <w:pPr>
        <w:pStyle w:val="NormalHanging12a"/>
      </w:pPr>
      <w:r w:rsidRPr="00AE1E95">
        <w:t>–</w:t>
      </w:r>
      <w:r w:rsidRPr="00AE1E95">
        <w:tab/>
        <w:t xml:space="preserve">uzimajući u obzir svoju Odluku o razrješnici za izvršenje proračuna Agencije za opskrbu </w:t>
      </w:r>
      <w:proofErr w:type="spellStart"/>
      <w:r w:rsidRPr="00AE1E95">
        <w:t>Euratoma</w:t>
      </w:r>
      <w:proofErr w:type="spellEnd"/>
      <w:r w:rsidRPr="00AE1E95">
        <w:t xml:space="preserve"> (dalje u tekstu: „Agencija”) za financijsku godinu 2022.,</w:t>
      </w:r>
    </w:p>
    <w:p w:rsidR="005F3AD0" w:rsidRPr="00AE1E95" w:rsidRDefault="005F3AD0" w:rsidP="005F3AD0">
      <w:pPr>
        <w:pStyle w:val="NormalHanging12a"/>
      </w:pPr>
      <w:r w:rsidRPr="00AE1E95">
        <w:t>–</w:t>
      </w:r>
      <w:r w:rsidRPr="00AE1E95">
        <w:tab/>
        <w:t>uzimajući u obzir članak 100. Poslovnika i Prilog V. Poslovniku,</w:t>
      </w:r>
    </w:p>
    <w:p w:rsidR="005F3AD0" w:rsidRPr="00AE1E95" w:rsidRDefault="005F3AD0" w:rsidP="005F3AD0">
      <w:pPr>
        <w:pStyle w:val="NormalHanging12a"/>
      </w:pPr>
      <w:r w:rsidRPr="00AE1E95">
        <w:t>–</w:t>
      </w:r>
      <w:r w:rsidRPr="00AE1E95">
        <w:tab/>
        <w:t>uzimajući u obzir izvješće Odbora za proračunski nadzor (A9</w:t>
      </w:r>
      <w:r w:rsidRPr="00AE1E95">
        <w:noBreakHyphen/>
        <w:t>0108/2024),</w:t>
      </w:r>
    </w:p>
    <w:p w:rsidR="005F3AD0" w:rsidRPr="00AE1E95" w:rsidRDefault="005F3AD0" w:rsidP="005F3AD0">
      <w:pPr>
        <w:spacing w:after="240"/>
        <w:ind w:left="567" w:hanging="567"/>
        <w:rPr>
          <w:szCs w:val="24"/>
        </w:rPr>
      </w:pPr>
      <w:r w:rsidRPr="00AE1E95">
        <w:t>A.</w:t>
      </w:r>
      <w:r w:rsidRPr="00AE1E95">
        <w:tab/>
        <w:t>budući da je prema izvještaju o prihodima i rashodima Agencije za financijsku godinu 2022. njezin konačni proračun iznosio 167 000 EUR, što je smanjenje od 20,48 % u odnosu na 2021. Godinu (210 000 EUR); budući da cijeli proračun Agencije dolazi iz proračuna Unije;</w:t>
      </w:r>
    </w:p>
    <w:p w:rsidR="005F3AD0" w:rsidRPr="00AE1E95" w:rsidRDefault="005F3AD0" w:rsidP="005F3AD0">
      <w:pPr>
        <w:spacing w:after="240"/>
        <w:ind w:left="567" w:hanging="567"/>
        <w:rPr>
          <w:szCs w:val="24"/>
        </w:rPr>
      </w:pPr>
      <w:r w:rsidRPr="00AE1E95">
        <w:t>B.</w:t>
      </w:r>
      <w:r w:rsidRPr="00AE1E95">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5F3AD0" w:rsidRPr="00AE1E95" w:rsidRDefault="005F3AD0" w:rsidP="005F3AD0">
      <w:pPr>
        <w:spacing w:after="240"/>
        <w:ind w:left="567" w:hanging="567"/>
        <w:rPr>
          <w:szCs w:val="24"/>
        </w:rPr>
      </w:pPr>
      <w:r w:rsidRPr="00AE1E95">
        <w:t>C.</w:t>
      </w:r>
      <w:r w:rsidRPr="00AE1E95">
        <w:tab/>
        <w:t>budući da u pogledu sustava unutarnje kontrole Agencije za 2022. nisu prijavljeni problemi zbog kojih bi bile potrebne korektivne mjere te da nema ni tekućih ni nedovršenih korektivnih mjera iz revizija i procjena iz prethodnih godina;</w:t>
      </w:r>
    </w:p>
    <w:p w:rsidR="005F3AD0" w:rsidRPr="00AE1E95" w:rsidRDefault="005F3AD0" w:rsidP="005F3AD0">
      <w:pPr>
        <w:spacing w:after="240"/>
        <w:ind w:left="567" w:hanging="567"/>
        <w:rPr>
          <w:b/>
          <w:i/>
          <w:szCs w:val="24"/>
        </w:rPr>
      </w:pPr>
      <w:r w:rsidRPr="00AE1E95">
        <w:rPr>
          <w:b/>
          <w:i/>
        </w:rPr>
        <w:t>Upravljanje proračunom i financijama</w:t>
      </w:r>
    </w:p>
    <w:p w:rsidR="005F3AD0" w:rsidRPr="00AE1E95" w:rsidRDefault="005F3AD0" w:rsidP="005F3AD0">
      <w:pPr>
        <w:spacing w:after="240"/>
        <w:ind w:left="567" w:hanging="567"/>
        <w:rPr>
          <w:szCs w:val="24"/>
        </w:rPr>
      </w:pPr>
      <w:r w:rsidRPr="00AE1E95">
        <w:t>1.</w:t>
      </w:r>
      <w:r w:rsidRPr="00AE1E95">
        <w:tab/>
        <w:t>prima na znanje da je praćenje proračuna tijekom financijske godine 2022. rezultiralo stopom izvršenja proračuna od 96,88 % za odobrena sredstva za preuzimanje obveza za tu godinu, što je neznatno smanjenje od 2,88 % u odnosu na 2021., te napominje da je stopa izvršenja odobrenih sredstava za plaćanje tekuće godine iznosila 34,81 %, što je smanjenje od 16,4 % u odnosu na 2021.;</w:t>
      </w:r>
    </w:p>
    <w:p w:rsidR="005F3AD0" w:rsidRPr="00AE1E95" w:rsidRDefault="005F3AD0" w:rsidP="005F3AD0">
      <w:pPr>
        <w:spacing w:after="240"/>
        <w:ind w:left="567" w:hanging="567"/>
        <w:rPr>
          <w:szCs w:val="24"/>
        </w:rPr>
      </w:pPr>
      <w:r w:rsidRPr="00AE1E95">
        <w:t>2.</w:t>
      </w:r>
      <w:r w:rsidRPr="00AE1E95">
        <w:tab/>
        <w:t>napominje da velik dio troškova Agencije pokriva Komisija, uključujući plaće izračunane u iznosu od 1 937 817 EUR, troškove za prostorije i informacijske tehnologije izračunane u iznosu od 467 708 EUR te IT sustav nuklearnog opservatorija i upravljanja informacijama ESA-e (NOEMI) izračunan u iznosu od 84 644 EUR; nadalje napominje da su ti troškovi uvršteni u godišnju računovodstvenu dokumentaciju Komisije koja pozitivno doprinosi administrativnim kapacitetima Agencije;</w:t>
      </w:r>
    </w:p>
    <w:p w:rsidR="005F3AD0" w:rsidRPr="00AE1E95" w:rsidRDefault="005F3AD0" w:rsidP="005F3AD0">
      <w:pPr>
        <w:spacing w:after="240"/>
        <w:ind w:left="567" w:hanging="567"/>
        <w:rPr>
          <w:b/>
          <w:i/>
          <w:szCs w:val="24"/>
        </w:rPr>
      </w:pPr>
      <w:r w:rsidRPr="00AE1E95">
        <w:rPr>
          <w:b/>
          <w:i/>
        </w:rPr>
        <w:t>Uspješnost</w:t>
      </w:r>
    </w:p>
    <w:p w:rsidR="005F3AD0" w:rsidRPr="00AE1E95" w:rsidRDefault="005F3AD0" w:rsidP="005F3AD0">
      <w:pPr>
        <w:pStyle w:val="NormalHanging12a"/>
      </w:pPr>
      <w:r w:rsidRPr="00AE1E95">
        <w:t>3.</w:t>
      </w:r>
      <w:r w:rsidRPr="00AE1E95">
        <w:tab/>
        <w:t xml:space="preserve">ističe da je 2022. godinu obilježila ruska invazija na Ukrajinu, što je izazvalo zabrinutost EU-a za energetsku sigurnost općenito, a posebno ugrožavalo sigurnost opskrbe Unije nuklearnim materijalima i gorivom te pogoršalo probleme ovisnosti; napominje da se mnoge nuklearne elektrane u Uniji oslanjaju na ruske dobavljače goriva te da komunalne usluge Unije u cjelini u visini od 20 do 30 % ovise o ruskoj opskrbi nuklearnim materijalima i uslugama u vezi s </w:t>
      </w:r>
      <w:proofErr w:type="spellStart"/>
      <w:r w:rsidRPr="00AE1E95">
        <w:t>gorivnim</w:t>
      </w:r>
      <w:proofErr w:type="spellEnd"/>
      <w:r w:rsidRPr="00AE1E95">
        <w:t xml:space="preserve"> ciklusom u Rusiji; napominje da je Unija, uviđajući da visokim plaćanjima za uvoz energije podupire </w:t>
      </w:r>
      <w:r w:rsidRPr="00AE1E95">
        <w:lastRenderedPageBreak/>
        <w:t>djelovanje Rusije, odlučila smanjiti svoju ovisnost o Rusiji u raznim sektorima te da i na nuklearnom tržištu, s obzirom na njegove jedinstvene značajke, u budućnosti može doći do promjena u okviru tog šireg zaokreta; traži od Agencije da tijelo nadležno za davanje razrješnice izvijesti o tome kako je od 2022. smanjila ovisnost Unije o ruskom nuklearnom gorivu, posebno od početka rata kada je nuklearna industrija izuzeta iz sankcija te kako su smanjenje i diversifikacija utjecali na troškove;</w:t>
      </w:r>
    </w:p>
    <w:p w:rsidR="005F3AD0" w:rsidRPr="00AE1E95" w:rsidRDefault="005F3AD0" w:rsidP="005F3AD0">
      <w:pPr>
        <w:spacing w:after="240"/>
        <w:ind w:left="567" w:hanging="567"/>
      </w:pPr>
      <w:r w:rsidRPr="00AE1E95">
        <w:t>4.</w:t>
      </w:r>
      <w:r w:rsidRPr="00AE1E95">
        <w:tab/>
        <w:t>sa zadovoljstvom napominje da je Agencija posebnu pozornost posvetila reviziji ugovora s rizikom od ovisnosti o Rusiji, što uključuje temeljitu analizu klauzula, tehnoloških informacija, lanaca opskrbe, dostupnosti alternativnih goriva i operativne autonomije komunalnih poduzeća u vezi s postojećim zalihama goriva; pohvaljuje činjenicu da je Agencija poduzela korake za pojednostavnjenje postupka podnošenja ugovora uz istodobno održavanje visoke razine sigurnosti, a namjenski sigurni informatički alati olakšali su dovršetak i podnošenje na daljinu; primjećuje da se 2022. zbog tih napora povećao broj elektronički potpisanih akata u skladu s propisima o identifikaciji za elektroničke transakcije na jedinstvenom tržištu;</w:t>
      </w:r>
    </w:p>
    <w:p w:rsidR="005F3AD0" w:rsidRPr="00AE1E95" w:rsidRDefault="005F3AD0" w:rsidP="005F3AD0">
      <w:pPr>
        <w:spacing w:after="240"/>
        <w:ind w:left="567" w:hanging="567"/>
        <w:rPr>
          <w:szCs w:val="24"/>
        </w:rPr>
      </w:pPr>
      <w:r w:rsidRPr="00AE1E95">
        <w:t>5.</w:t>
      </w:r>
      <w:r w:rsidRPr="00AE1E95">
        <w:tab/>
        <w:t xml:space="preserve">napominje da je Agencija, u skladu sa svojim strateškim ciljevima i politikama Komisije, nastojala distribuirati izvore opskrbe u nuklearnom </w:t>
      </w:r>
      <w:proofErr w:type="spellStart"/>
      <w:r w:rsidRPr="00AE1E95">
        <w:t>gorivnom</w:t>
      </w:r>
      <w:proofErr w:type="spellEnd"/>
      <w:r w:rsidRPr="00AE1E95">
        <w:t xml:space="preserve"> ciklusu za energetske i druge namjene, čime se doprinijelo srednjoročnoj i dugoročnoj sigurnosti opskrbe;</w:t>
      </w:r>
    </w:p>
    <w:p w:rsidR="005F3AD0" w:rsidRPr="00AE1E95" w:rsidRDefault="005F3AD0" w:rsidP="005F3AD0">
      <w:pPr>
        <w:spacing w:after="240"/>
        <w:ind w:left="567" w:hanging="567"/>
        <w:rPr>
          <w:szCs w:val="24"/>
        </w:rPr>
      </w:pPr>
      <w:r w:rsidRPr="00AE1E95">
        <w:t>6.</w:t>
      </w:r>
      <w:r w:rsidRPr="00AE1E95">
        <w:tab/>
        <w:t xml:space="preserve">primjećuje da je Agencija odgovorna za praćenje tržišta kako bi se utvrdili trendovi koji bi mogli utjecati na sigurnost opskrbe Unije nuklearnim materijalom i uslugama; nadalje napominje da je Agencija u svojem godišnjem izvješću objavila analizu tržišta, da je pružila informacije o </w:t>
      </w:r>
      <w:proofErr w:type="spellStart"/>
      <w:r w:rsidRPr="00AE1E95">
        <w:t>Unijinu</w:t>
      </w:r>
      <w:proofErr w:type="spellEnd"/>
      <w:r w:rsidRPr="00AE1E95">
        <w:t xml:space="preserve"> i globalnom nuklearnom tržištu te da je podijelila informacije i znanje s drugim međunarodnim organizacijama za analizu tržišta;</w:t>
      </w:r>
    </w:p>
    <w:p w:rsidR="005F3AD0" w:rsidRPr="00AE1E95" w:rsidRDefault="005F3AD0" w:rsidP="005F3AD0">
      <w:pPr>
        <w:pStyle w:val="NormalHanging12a"/>
      </w:pPr>
      <w:r w:rsidRPr="00AE1E95">
        <w:t>7.</w:t>
      </w:r>
      <w:r w:rsidRPr="00AE1E95">
        <w:tab/>
        <w:t xml:space="preserve">pozdravlja činjenicu da je Agencija 2022. predvodila mjere za osiguravanje opskrbe izvornim materijalima za medicinske </w:t>
      </w:r>
      <w:proofErr w:type="spellStart"/>
      <w:r w:rsidRPr="00AE1E95">
        <w:t>radioizotope</w:t>
      </w:r>
      <w:proofErr w:type="spellEnd"/>
      <w:r w:rsidRPr="00AE1E95">
        <w:t xml:space="preserve">, što je doprinijelo provedbi „Strateškog programa za primjene ionizirajućeg zračenja u medicini” (SAMIRA) te je predvodila Europsku promatračku skupinu za opskrbu </w:t>
      </w:r>
      <w:proofErr w:type="spellStart"/>
      <w:r w:rsidRPr="00AE1E95">
        <w:t>radioizotopima</w:t>
      </w:r>
      <w:proofErr w:type="spellEnd"/>
      <w:r w:rsidRPr="00AE1E95">
        <w:t xml:space="preserve"> za medicinske potrebe;</w:t>
      </w:r>
    </w:p>
    <w:p w:rsidR="005F3AD0" w:rsidRPr="00AE1E95" w:rsidRDefault="005F3AD0" w:rsidP="005F3AD0">
      <w:pPr>
        <w:spacing w:after="240"/>
        <w:ind w:left="567" w:hanging="567"/>
        <w:rPr>
          <w:szCs w:val="24"/>
        </w:rPr>
      </w:pPr>
      <w:r w:rsidRPr="00AE1E95">
        <w:t>8.</w:t>
      </w:r>
      <w:r w:rsidRPr="00AE1E95">
        <w:tab/>
        <w:t>pozdravlja napore koje Agencija ulaže u suradnju s partnerima i dionicima kako bi se ojačala sigurnost opskrbe nuklearnim materijalima s obzirom na nezakonitu i ničim izazvanu rusku invaziju na Ukrajinu;</w:t>
      </w:r>
    </w:p>
    <w:p w:rsidR="005F3AD0" w:rsidRPr="00AE1E95" w:rsidRDefault="005F3AD0" w:rsidP="005F3AD0">
      <w:pPr>
        <w:spacing w:after="240"/>
        <w:ind w:left="567" w:hanging="567"/>
        <w:rPr>
          <w:b/>
          <w:i/>
          <w:szCs w:val="24"/>
        </w:rPr>
      </w:pPr>
      <w:r w:rsidRPr="00AE1E95">
        <w:rPr>
          <w:b/>
          <w:i/>
        </w:rPr>
        <w:t>Učinkovitost i rezultati u tom području</w:t>
      </w:r>
    </w:p>
    <w:p w:rsidR="005F3AD0" w:rsidRPr="00AE1E95" w:rsidRDefault="005F3AD0" w:rsidP="005F3AD0">
      <w:pPr>
        <w:spacing w:after="240"/>
        <w:ind w:left="567" w:hanging="567"/>
        <w:rPr>
          <w:szCs w:val="24"/>
        </w:rPr>
      </w:pPr>
      <w:r w:rsidRPr="00AE1E95">
        <w:t>9.</w:t>
      </w:r>
      <w:r w:rsidRPr="00AE1E95">
        <w:tab/>
        <w:t>napominje da je Agencija blisko surađivala s Komisijom kako bi promicala diversifikaciju opskrbe; nadalje napominje da Agencija ima dugogodišnje odnose u području nuklearne energije s Međunarodnom agencijom za atomsku energiju i Agencijom za nuklearnu energiju u okviru Organizacije za gospodarsku suradnju i razvoj; ističe horizontalne koristi suradnje i prilagodbe najboljih praksi te naglašava da zajedničke inicijative objedinjuju različite perspektive, smanjuju dupliciranje napora, poboljšavaju učenje i jačaju odnose među sudionicima;</w:t>
      </w:r>
    </w:p>
    <w:p w:rsidR="005F3AD0" w:rsidRPr="00AE1E95" w:rsidRDefault="005F3AD0" w:rsidP="005F3AD0">
      <w:pPr>
        <w:spacing w:after="240"/>
        <w:ind w:left="567" w:hanging="567"/>
        <w:rPr>
          <w:szCs w:val="24"/>
        </w:rPr>
      </w:pPr>
      <w:r w:rsidRPr="00AE1E95">
        <w:t>10.</w:t>
      </w:r>
      <w:r w:rsidRPr="00AE1E95">
        <w:tab/>
        <w:t xml:space="preserve">primjećuje da Agencija razvija IT sustav NOEMI kako bi omogućila potpunu digitalnu obradu ugovora o opskrbi nuklearnom energijom i tržišnih informacija u potpunosti u skladu s pravilima o zaštiti informacija te da istodobno radi na proširenju svojeg </w:t>
      </w:r>
      <w:r w:rsidRPr="00AE1E95">
        <w:lastRenderedPageBreak/>
        <w:t>analitičkog kapaciteta za dostupne podatke;</w:t>
      </w:r>
    </w:p>
    <w:p w:rsidR="005F3AD0" w:rsidRPr="00AE1E95" w:rsidRDefault="005F3AD0" w:rsidP="005F3AD0">
      <w:pPr>
        <w:spacing w:after="240"/>
        <w:ind w:left="567" w:hanging="567"/>
        <w:rPr>
          <w:szCs w:val="24"/>
        </w:rPr>
      </w:pPr>
      <w:r w:rsidRPr="00AE1E95">
        <w:t>11.</w:t>
      </w:r>
      <w:r w:rsidRPr="00AE1E95">
        <w:tab/>
        <w:t>napominje da je Agencija uložila napore u postizanje veće učinkovitosti i preraspodjelu ljudskih resursa za nove predstojeće zadaće i izazove; napominje da bi daljnje povećanje učinkovitosti bilo moguće samo ako bi se iskoristile sinergije i potpora Komisije pružanjem specijaliziranih funkcija potpore, proširenjem upotrebe korporativnih alata i povećanjem dodjele sredstava za razvoj informacijske tehnologije NOEMI; poziva Agenciju da identificira više internih postupaka koji bi se mogli pojednostavniti s pomoću novih informatičkih alata;</w:t>
      </w:r>
    </w:p>
    <w:p w:rsidR="005F3AD0" w:rsidRPr="00AE1E95" w:rsidRDefault="005F3AD0" w:rsidP="005F3AD0">
      <w:pPr>
        <w:pStyle w:val="NormalHanging12a"/>
      </w:pPr>
      <w:r w:rsidRPr="00AE1E95">
        <w:t>12.</w:t>
      </w:r>
      <w:r w:rsidRPr="00AE1E95">
        <w:tab/>
        <w:t xml:space="preserve">podsjeća na važnost povećanja digitalizacije Agencije u pogledu unutarnjeg djelovanja i upravljanja, ali i kako bi se ubrzala digitalizacija postupaka; naglašava da Agencija u tom pogledu i dalje treba biti </w:t>
      </w:r>
      <w:proofErr w:type="spellStart"/>
      <w:r w:rsidRPr="00AE1E95">
        <w:t>proaktivna</w:t>
      </w:r>
      <w:proofErr w:type="spellEnd"/>
      <w:r w:rsidRPr="00AE1E95">
        <w:t xml:space="preserve"> kako bi se izbjegao digitalni jaz među agencijama; međutim, skreće pozornost na potrebu za poduzimanjem svih potrebnih sigurnosnih mjera kako bi se izbjegao rizik za sigurnost informacija koje se obrađuju na internetu, ustraje u jačanju borbe protiv </w:t>
      </w:r>
      <w:proofErr w:type="spellStart"/>
      <w:r w:rsidRPr="00AE1E95">
        <w:t>kibernetičkih</w:t>
      </w:r>
      <w:proofErr w:type="spellEnd"/>
      <w:r w:rsidRPr="00AE1E95">
        <w:t xml:space="preserve"> napada ili pokušaja infiltracije koji posebno potječu iz Rusije ili Kine;</w:t>
      </w:r>
    </w:p>
    <w:p w:rsidR="005F3AD0" w:rsidRPr="00AE1E95" w:rsidRDefault="005F3AD0" w:rsidP="005F3AD0">
      <w:pPr>
        <w:spacing w:after="240"/>
        <w:ind w:left="567" w:hanging="567"/>
        <w:rPr>
          <w:b/>
          <w:i/>
          <w:szCs w:val="24"/>
        </w:rPr>
      </w:pPr>
      <w:r w:rsidRPr="00AE1E95">
        <w:rPr>
          <w:b/>
          <w:i/>
        </w:rPr>
        <w:t>Kadrovska politika</w:t>
      </w:r>
    </w:p>
    <w:p w:rsidR="005F3AD0" w:rsidRPr="00AE1E95" w:rsidRDefault="005F3AD0" w:rsidP="005F3AD0">
      <w:pPr>
        <w:spacing w:after="240"/>
        <w:ind w:left="567" w:hanging="567"/>
        <w:rPr>
          <w:szCs w:val="24"/>
        </w:rPr>
      </w:pPr>
      <w:r w:rsidRPr="00AE1E95">
        <w:t>13.</w:t>
      </w:r>
      <w:r w:rsidRPr="00AE1E95">
        <w:tab/>
        <w:t>napominje da je 31. prosinca 2022. plan radnih mjesta bio 100 % popunjen sa 17 stalnih radnih mjesta, 8 administratora, 7 radnih mjesta za asistente i dva radna mjesta za asistente/tajnike; nadalje napominje da je veći broj administratora od odobrenog posljedica premještanja u viši razred jednog radnog mjesta asistenta koje je odobrila Komisija;</w:t>
      </w:r>
    </w:p>
    <w:p w:rsidR="005F3AD0" w:rsidRPr="00AE1E95" w:rsidRDefault="005F3AD0" w:rsidP="005F3AD0">
      <w:pPr>
        <w:spacing w:after="240"/>
        <w:ind w:left="567" w:hanging="567"/>
        <w:rPr>
          <w:szCs w:val="24"/>
        </w:rPr>
      </w:pPr>
      <w:r w:rsidRPr="00AE1E95">
        <w:t>14.</w:t>
      </w:r>
      <w:r w:rsidRPr="00AE1E95">
        <w:tab/>
        <w:t>podsjeća na to da Agencija ima poteškoća u pronalaženju asistenata u nižim razredima jer traži specijalizirani profil, a pripadajuća razina plaće nije razmjerna troškovima života u Luksemburgu; napominje, međutim, da je Agencija, unatoč svojim naporima, 2022. zaposlila dva privremena djelatnika na stalnim radnim mjestima (1 asistent i 1 asistent i tajnik);</w:t>
      </w:r>
    </w:p>
    <w:p w:rsidR="005F3AD0" w:rsidRPr="00AE1E95" w:rsidRDefault="005F3AD0" w:rsidP="005F3AD0">
      <w:pPr>
        <w:spacing w:after="240"/>
        <w:ind w:left="567" w:hanging="567"/>
        <w:rPr>
          <w:szCs w:val="24"/>
        </w:rPr>
      </w:pPr>
      <w:r w:rsidRPr="00AE1E95">
        <w:t>15.</w:t>
      </w:r>
      <w:r w:rsidRPr="00AE1E95">
        <w:tab/>
        <w:t>prima na znanje da je Agencija izvijestila o omjeru spolova s 59 % u korist žena i 41 % u korist muškaraca tijekom 2022., što je dokaz provedbe politike jednakih mogućnosti;</w:t>
      </w:r>
    </w:p>
    <w:p w:rsidR="005F3AD0" w:rsidRPr="00AE1E95" w:rsidRDefault="005F3AD0" w:rsidP="005F3AD0">
      <w:pPr>
        <w:pStyle w:val="NormalHanging12a"/>
      </w:pPr>
      <w:r w:rsidRPr="00AE1E95">
        <w:t>16.</w:t>
      </w:r>
      <w:r w:rsidRPr="00AE1E95">
        <w:tab/>
        <w:t>podsjeća na važnost razvoja dugoročne politike ljudskih resursa u pogledu ravnoteže između poslovnog i privatnog života, cjeloživotnog usmjeravanja i ponude konkretnih mogućnosti osposobljavanja za razvoj karijere, rodne ravnoteže među članovima osoblja na svim razinama, rada na daljinu, prava na isključivanje, jačanja geografske ravnoteže kako bi se postigla odgovarajuća zastupljenost svih država članica te zapošljavanja i integracije osoba s invaliditetom kao i promicanja jednakog postupanja prema njima i njihovih mogućnosti;</w:t>
      </w:r>
    </w:p>
    <w:p w:rsidR="005F3AD0" w:rsidRPr="00AE1E95" w:rsidRDefault="005F3AD0" w:rsidP="005F3AD0">
      <w:pPr>
        <w:spacing w:after="240"/>
        <w:ind w:left="567" w:hanging="567"/>
        <w:rPr>
          <w:b/>
          <w:i/>
          <w:szCs w:val="24"/>
        </w:rPr>
      </w:pPr>
      <w:r w:rsidRPr="00AE1E95">
        <w:rPr>
          <w:b/>
          <w:i/>
        </w:rPr>
        <w:t>Nabava</w:t>
      </w:r>
    </w:p>
    <w:p w:rsidR="005F3AD0" w:rsidRPr="00AE1E95" w:rsidRDefault="005F3AD0" w:rsidP="005F3AD0">
      <w:pPr>
        <w:spacing w:after="240"/>
        <w:ind w:left="567" w:hanging="567"/>
        <w:rPr>
          <w:rFonts w:eastAsia="Calibri"/>
          <w:szCs w:val="24"/>
        </w:rPr>
      </w:pPr>
      <w:r w:rsidRPr="00AE1E95">
        <w:t>17.</w:t>
      </w:r>
      <w:r w:rsidRPr="00AE1E95">
        <w:tab/>
        <w:t xml:space="preserve">prima na znanje iz izvješća Revizorskog suda primjedbu da je Agencija sustavno dodjeljivala ugovore male vrijednosti (manje od 15 000 EUR) bez izdavanja odgovarajućih izvješća o evaluaciji i odluka o dodjeli ugovora, što je u suprotnosti s točkama 30.3. i 30.4. Priloga I. Financijskoj uredbi; nadalje prima na znanje odgovor Agencije u kojem se uzima u obzir preporuka i kojim će se pružiti odgovarajuće smjernice cjelokupnom osoblju uključenom u nabavu i financijsko upravljanje; poziva </w:t>
      </w:r>
      <w:r w:rsidRPr="00AE1E95">
        <w:lastRenderedPageBreak/>
        <w:t>Agenciju da poboljša svoje postupke javne nabave, osiguravajući pritom potpunu usklađenost s primjenjivim pravilima, kako bi ostvarila najveću moguću vrijednost za uloženi novac;</w:t>
      </w:r>
    </w:p>
    <w:p w:rsidR="005F3AD0" w:rsidRPr="00AE1E95" w:rsidRDefault="005F3AD0" w:rsidP="005F3AD0">
      <w:pPr>
        <w:spacing w:after="240"/>
        <w:ind w:left="567" w:hanging="567"/>
        <w:rPr>
          <w:b/>
          <w:i/>
          <w:szCs w:val="24"/>
        </w:rPr>
      </w:pPr>
      <w:r w:rsidRPr="00AE1E95">
        <w:rPr>
          <w:b/>
          <w:i/>
        </w:rPr>
        <w:t>Ostale primjedbe</w:t>
      </w:r>
    </w:p>
    <w:p w:rsidR="005F3AD0" w:rsidRPr="00AE1E95" w:rsidRDefault="005F3AD0" w:rsidP="005F3AD0">
      <w:pPr>
        <w:spacing w:after="240"/>
        <w:ind w:left="567" w:hanging="567"/>
        <w:rPr>
          <w:szCs w:val="24"/>
        </w:rPr>
      </w:pPr>
      <w:r w:rsidRPr="00AE1E95">
        <w:t>18.</w:t>
      </w:r>
      <w:r w:rsidRPr="00AE1E95">
        <w:tab/>
        <w:t>napominje da je Agencija pojačala sigurnost pristupa svojim prostorijama te da su svi članovi osoblja i svi vanjski izvođači prošli sigurnosnu provjeru;</w:t>
      </w:r>
    </w:p>
    <w:p w:rsidR="005F3AD0" w:rsidRPr="00AE1E95" w:rsidRDefault="005F3AD0" w:rsidP="005F3AD0">
      <w:pPr>
        <w:spacing w:after="240"/>
        <w:ind w:left="567" w:hanging="567"/>
        <w:rPr>
          <w:szCs w:val="24"/>
        </w:rPr>
      </w:pPr>
      <w:r w:rsidRPr="00AE1E95">
        <w:t>19.</w:t>
      </w:r>
      <w:r w:rsidRPr="00AE1E95">
        <w:tab/>
        <w:t>prima na znanje da je IT sustav NOEMI prošao procjenu osjetljivosti, koja se ponavlja nakon svake faze razvoja ili provedbe svih preporuka;</w:t>
      </w:r>
    </w:p>
    <w:p w:rsidR="005F3AD0" w:rsidRPr="00AE1E95" w:rsidRDefault="005F3AD0" w:rsidP="005F3AD0">
      <w:pPr>
        <w:spacing w:after="240"/>
        <w:ind w:left="567" w:hanging="567"/>
        <w:rPr>
          <w:szCs w:val="24"/>
        </w:rPr>
      </w:pPr>
      <w:r w:rsidRPr="00AE1E95">
        <w:t>20.</w:t>
      </w:r>
      <w:r w:rsidRPr="00AE1E95">
        <w:tab/>
        <w:t xml:space="preserve">sa zadovoljstvom primjećuje da je Agencija sudjelovala u Svjetskom nuklearnom simpoziju u Londonu u rujnu 2022., čime je vodećim čelnicima, stručnjacima i rukovoditeljima u nuklearnoj industriji koji su na njemu sudjelovali poslala jasnu poruku o potrebi za rješavanjem rizika povezanih s novim ustrojem tržišta; nadalje napominje da su analiza tržišta i izgledi Agencije predstavljeni na Varšavskom sigurnosnom forumu i u Svjetskom nuklearnom </w:t>
      </w:r>
      <w:proofErr w:type="spellStart"/>
      <w:r w:rsidRPr="00AE1E95">
        <w:t>gorivnom</w:t>
      </w:r>
      <w:proofErr w:type="spellEnd"/>
      <w:r w:rsidRPr="00AE1E95">
        <w:t xml:space="preserve"> ciklusu te da je Agencija bila zastupljena na prvoj međunarodnoj konferenciji o nuklearnom pravu i na europskoj konferenciji istraživačkih reaktora; nadalje napominje da je Agencija doprinijela događanjima u organizaciji Europskog nuklearnog društva;</w:t>
      </w:r>
    </w:p>
    <w:p w:rsidR="005F3AD0" w:rsidRPr="00AE1E95" w:rsidRDefault="005F3AD0" w:rsidP="005F3AD0">
      <w:pPr>
        <w:spacing w:after="240"/>
        <w:ind w:left="567" w:hanging="567"/>
        <w:rPr>
          <w:szCs w:val="24"/>
        </w:rPr>
      </w:pPr>
      <w:r w:rsidRPr="00AE1E95">
        <w:t>21.</w:t>
      </w:r>
      <w:r w:rsidRPr="00AE1E95">
        <w:tab/>
        <w:t>napominje da Agencija ne izdaje izjavu o okolišu niti je provela sustav upravljanja okolišem i neovisnog ocjenjivanja (EMAS); potiče Agenciju da izvješćuje o svojoj uspješnosti u području klime, energije i okoliša te da osim toga provede EMAS;</w:t>
      </w:r>
    </w:p>
    <w:p w:rsidR="005F3AD0" w:rsidRPr="00AE1E95" w:rsidRDefault="005F3AD0" w:rsidP="005F3AD0">
      <w:pPr>
        <w:pStyle w:val="NormalCenter12a"/>
      </w:pPr>
      <w:r w:rsidRPr="00AE1E95">
        <w:t>°</w:t>
      </w:r>
    </w:p>
    <w:p w:rsidR="005F3AD0" w:rsidRPr="00AE1E95" w:rsidRDefault="005F3AD0" w:rsidP="005F3AD0">
      <w:pPr>
        <w:pStyle w:val="NormalCenter12a"/>
      </w:pPr>
      <w:r w:rsidRPr="00AE1E95">
        <w:t>°</w:t>
      </w:r>
      <w:r w:rsidRPr="00AE1E95">
        <w:tab/>
        <w:t>°</w:t>
      </w:r>
    </w:p>
    <w:p w:rsidR="005F3AD0" w:rsidRPr="00AE1E95" w:rsidRDefault="005F3AD0" w:rsidP="00AE1E95">
      <w:pPr>
        <w:ind w:left="567" w:hanging="567"/>
      </w:pPr>
      <w:r w:rsidRPr="00AE1E95">
        <w:t>22.</w:t>
      </w:r>
      <w:r w:rsidRPr="00AE1E95">
        <w:tab/>
        <w:t xml:space="preserve">u vezi s drugim primjedbama koje su priložene Odluci o razrješnici i horizontalne su naravi upućuje na svoju Rezoluciju od </w:t>
      </w:r>
      <w:r w:rsidR="00AE1E95">
        <w:t>11. travnja 2024.</w:t>
      </w:r>
      <w:r w:rsidRPr="00AE1E95">
        <w:rPr>
          <w:vertAlign w:val="superscript"/>
        </w:rPr>
        <w:footnoteReference w:id="9"/>
      </w:r>
      <w:r w:rsidRPr="00AE1E95">
        <w:t xml:space="preserve"> o uspješnosti, financijskom upravljanju i nadzoru agencija.</w:t>
      </w:r>
    </w:p>
    <w:sectPr w:rsidR="005F3AD0" w:rsidRPr="00AE1E95" w:rsidSect="009B180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0D6" w:rsidRPr="009B180F" w:rsidRDefault="00C850D6">
      <w:r w:rsidRPr="009B180F">
        <w:separator/>
      </w:r>
    </w:p>
  </w:endnote>
  <w:endnote w:type="continuationSeparator" w:id="0">
    <w:p w:rsidR="00C850D6" w:rsidRPr="009B180F" w:rsidRDefault="00C850D6">
      <w:r w:rsidRPr="009B18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AD0" w:rsidRPr="009B180F" w:rsidRDefault="005F3AD0" w:rsidP="00F404F3">
    <w:pPr>
      <w:pStyle w:val="EPFooter"/>
    </w:pPr>
    <w:r w:rsidRPr="009B180F">
      <w:t>PE</w:t>
    </w:r>
    <w:r w:rsidRPr="009B180F">
      <w:rPr>
        <w:rStyle w:val="HideTWBExt"/>
      </w:rPr>
      <w:t>&lt;</w:t>
    </w:r>
    <w:proofErr w:type="spellStart"/>
    <w:r w:rsidRPr="009B180F">
      <w:rPr>
        <w:rStyle w:val="HideTWBExt"/>
      </w:rPr>
      <w:t>NoPE</w:t>
    </w:r>
    <w:proofErr w:type="spellEnd"/>
    <w:r w:rsidRPr="009B180F">
      <w:rPr>
        <w:rStyle w:val="HideTWBExt"/>
      </w:rPr>
      <w:t>&gt;</w:t>
    </w:r>
    <w:r w:rsidRPr="009B180F">
      <w:t>753.529</w:t>
    </w:r>
    <w:r w:rsidRPr="009B180F">
      <w:rPr>
        <w:rStyle w:val="HideTWBExt"/>
      </w:rPr>
      <w:t>&lt;/</w:t>
    </w:r>
    <w:proofErr w:type="spellStart"/>
    <w:r w:rsidRPr="009B180F">
      <w:rPr>
        <w:rStyle w:val="HideTWBExt"/>
      </w:rPr>
      <w:t>NoPE</w:t>
    </w:r>
    <w:proofErr w:type="spellEnd"/>
    <w:r w:rsidRPr="009B180F">
      <w:rPr>
        <w:rStyle w:val="HideTWBExt"/>
      </w:rPr>
      <w:t>&gt;&lt;Version&gt;</w:t>
    </w:r>
    <w:r w:rsidRPr="009B180F">
      <w:t>v02-00</w:t>
    </w:r>
    <w:r w:rsidRPr="009B180F">
      <w:rPr>
        <w:rStyle w:val="HideTWBExt"/>
      </w:rPr>
      <w:t>&lt;/</w:t>
    </w:r>
    <w:proofErr w:type="spellStart"/>
    <w:r w:rsidRPr="009B180F">
      <w:rPr>
        <w:rStyle w:val="HideTWBExt"/>
      </w:rPr>
      <w:t>Version</w:t>
    </w:r>
    <w:proofErr w:type="spellEnd"/>
    <w:r w:rsidRPr="009B180F">
      <w:rPr>
        <w:rStyle w:val="HideTWBExt"/>
      </w:rPr>
      <w:t>&gt;</w:t>
    </w:r>
    <w:r w:rsidRPr="009B180F">
      <w:tab/>
    </w:r>
    <w:r w:rsidRPr="009B180F">
      <w:fldChar w:fldCharType="begin"/>
    </w:r>
    <w:r w:rsidRPr="009B180F">
      <w:instrText xml:space="preserve"> PAGE  \* MERGEFORMAT </w:instrText>
    </w:r>
    <w:r w:rsidRPr="009B180F">
      <w:fldChar w:fldCharType="separate"/>
    </w:r>
    <w:r w:rsidR="009B180F" w:rsidRPr="009B180F">
      <w:rPr>
        <w:noProof/>
      </w:rPr>
      <w:t>2</w:t>
    </w:r>
    <w:r w:rsidRPr="009B180F">
      <w:fldChar w:fldCharType="end"/>
    </w:r>
    <w:r w:rsidRPr="009B180F">
      <w:t>/</w:t>
    </w:r>
    <w:fldSimple w:instr=" NUMPAGES  \* MERGEFORMAT ">
      <w:r w:rsidR="009B180F" w:rsidRPr="009B180F">
        <w:rPr>
          <w:noProof/>
        </w:rPr>
        <w:t>4</w:t>
      </w:r>
    </w:fldSimple>
    <w:r w:rsidRPr="009B180F">
      <w:tab/>
    </w:r>
    <w:r w:rsidRPr="009B180F">
      <w:rPr>
        <w:rStyle w:val="HideTWBExt"/>
      </w:rPr>
      <w:t>&lt;PathFdR&gt;</w:t>
    </w:r>
    <w:r w:rsidRPr="009B180F">
      <w:t>RR\1298833HR.docx</w:t>
    </w:r>
    <w:r w:rsidRPr="009B180F">
      <w:rPr>
        <w:rStyle w:val="HideTWBExt"/>
      </w:rPr>
      <w:t>&lt;/</w:t>
    </w:r>
    <w:proofErr w:type="spellStart"/>
    <w:r w:rsidRPr="009B180F">
      <w:rPr>
        <w:rStyle w:val="HideTWBExt"/>
      </w:rPr>
      <w:t>PathFdR</w:t>
    </w:r>
    <w:proofErr w:type="spellEnd"/>
    <w:r w:rsidRPr="009B180F">
      <w:rPr>
        <w:rStyle w:val="HideTWBExt"/>
      </w:rPr>
      <w:t>&gt;</w:t>
    </w:r>
  </w:p>
  <w:p w:rsidR="005F3AD0" w:rsidRPr="009B180F" w:rsidRDefault="005F3AD0" w:rsidP="00F404F3">
    <w:pPr>
      <w:pStyle w:val="EPFooter2"/>
    </w:pPr>
    <w:r w:rsidRPr="009B180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AD0" w:rsidRPr="009B180F" w:rsidRDefault="005F3AD0" w:rsidP="00F404F3">
    <w:pPr>
      <w:pStyle w:val="EPFooter"/>
    </w:pPr>
    <w:r w:rsidRPr="009B180F">
      <w:rPr>
        <w:rStyle w:val="HideTWBExt"/>
      </w:rPr>
      <w:t>&lt;PathFdR&gt;</w:t>
    </w:r>
    <w:r w:rsidRPr="009B180F">
      <w:t>RR\1298833HR.docx</w:t>
    </w:r>
    <w:r w:rsidRPr="009B180F">
      <w:rPr>
        <w:rStyle w:val="HideTWBExt"/>
      </w:rPr>
      <w:t>&lt;/</w:t>
    </w:r>
    <w:proofErr w:type="spellStart"/>
    <w:r w:rsidRPr="009B180F">
      <w:rPr>
        <w:rStyle w:val="HideTWBExt"/>
      </w:rPr>
      <w:t>PathFdR</w:t>
    </w:r>
    <w:proofErr w:type="spellEnd"/>
    <w:r w:rsidRPr="009B180F">
      <w:rPr>
        <w:rStyle w:val="HideTWBExt"/>
      </w:rPr>
      <w:t>&gt;</w:t>
    </w:r>
    <w:r w:rsidRPr="009B180F">
      <w:tab/>
    </w:r>
    <w:r w:rsidRPr="009B180F">
      <w:tab/>
      <w:t>PE</w:t>
    </w:r>
    <w:r w:rsidRPr="009B180F">
      <w:rPr>
        <w:rStyle w:val="HideTWBExt"/>
      </w:rPr>
      <w:t>&lt;</w:t>
    </w:r>
    <w:proofErr w:type="spellStart"/>
    <w:r w:rsidRPr="009B180F">
      <w:rPr>
        <w:rStyle w:val="HideTWBExt"/>
      </w:rPr>
      <w:t>NoPE</w:t>
    </w:r>
    <w:proofErr w:type="spellEnd"/>
    <w:r w:rsidRPr="009B180F">
      <w:rPr>
        <w:rStyle w:val="HideTWBExt"/>
      </w:rPr>
      <w:t>&gt;</w:t>
    </w:r>
    <w:r w:rsidRPr="009B180F">
      <w:t>753.529</w:t>
    </w:r>
    <w:r w:rsidRPr="009B180F">
      <w:rPr>
        <w:rStyle w:val="HideTWBExt"/>
      </w:rPr>
      <w:t>&lt;/</w:t>
    </w:r>
    <w:proofErr w:type="spellStart"/>
    <w:r w:rsidRPr="009B180F">
      <w:rPr>
        <w:rStyle w:val="HideTWBExt"/>
      </w:rPr>
      <w:t>NoPE</w:t>
    </w:r>
    <w:proofErr w:type="spellEnd"/>
    <w:r w:rsidRPr="009B180F">
      <w:rPr>
        <w:rStyle w:val="HideTWBExt"/>
      </w:rPr>
      <w:t>&gt;&lt;Version&gt;</w:t>
    </w:r>
    <w:r w:rsidRPr="009B180F">
      <w:t>v02-00</w:t>
    </w:r>
    <w:r w:rsidRPr="009B180F">
      <w:rPr>
        <w:rStyle w:val="HideTWBExt"/>
      </w:rPr>
      <w:t>&lt;/</w:t>
    </w:r>
    <w:proofErr w:type="spellStart"/>
    <w:r w:rsidRPr="009B180F">
      <w:rPr>
        <w:rStyle w:val="HideTWBExt"/>
      </w:rPr>
      <w:t>Version</w:t>
    </w:r>
    <w:proofErr w:type="spellEnd"/>
    <w:r w:rsidRPr="009B180F">
      <w:rPr>
        <w:rStyle w:val="HideTWBExt"/>
      </w:rPr>
      <w:t>&gt;</w:t>
    </w:r>
  </w:p>
  <w:p w:rsidR="005F3AD0" w:rsidRPr="009B180F" w:rsidRDefault="005F3AD0" w:rsidP="00F404F3">
    <w:pPr>
      <w:pStyle w:val="EPFooter2"/>
    </w:pPr>
    <w:r w:rsidRPr="009B180F">
      <w:t>HR</w:t>
    </w:r>
    <w:r w:rsidRPr="009B180F">
      <w:tab/>
    </w:r>
    <w:r w:rsidRPr="009B180F">
      <w:rPr>
        <w:b w:val="0"/>
        <w:i/>
        <w:color w:val="C0C0C0"/>
        <w:sz w:val="22"/>
      </w:rPr>
      <w:t>Ujedinjena u raznolikosti</w:t>
    </w:r>
    <w:r w:rsidRPr="009B180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80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80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8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0D6" w:rsidRPr="009B180F" w:rsidRDefault="00C850D6">
      <w:r w:rsidRPr="009B180F">
        <w:separator/>
      </w:r>
    </w:p>
  </w:footnote>
  <w:footnote w:type="continuationSeparator" w:id="0">
    <w:p w:rsidR="00C850D6" w:rsidRPr="009B180F" w:rsidRDefault="00C850D6">
      <w:r w:rsidRPr="009B180F">
        <w:continuationSeparator/>
      </w:r>
    </w:p>
  </w:footnote>
  <w:footnote w:id="1">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C C/2023/594, 27.10.2023.</w:t>
      </w:r>
    </w:p>
  </w:footnote>
  <w:footnote w:id="2">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C C/2023/112, 12.10.2023.</w:t>
      </w:r>
    </w:p>
  </w:footnote>
  <w:footnote w:id="3">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L 193, 30.7.2018., str. 1.</w:t>
      </w:r>
    </w:p>
  </w:footnote>
  <w:footnote w:id="4">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L 41, 15.2.2008., str. 15.</w:t>
      </w:r>
    </w:p>
  </w:footnote>
  <w:footnote w:id="5">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C C/2023/594, 27.10.2023.</w:t>
      </w:r>
    </w:p>
  </w:footnote>
  <w:footnote w:id="6">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C C/2023/112, 12.10.2023.</w:t>
      </w:r>
    </w:p>
  </w:footnote>
  <w:footnote w:id="7">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L 193, 30.7.2018., str. 1.</w:t>
      </w:r>
    </w:p>
  </w:footnote>
  <w:footnote w:id="8">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SL L 41, 15.2.2008., str. 15.</w:t>
      </w:r>
    </w:p>
  </w:footnote>
  <w:footnote w:id="9">
    <w:p w:rsidR="005F3AD0" w:rsidRPr="009B180F" w:rsidRDefault="005F3AD0" w:rsidP="009B180F">
      <w:pPr>
        <w:pStyle w:val="FootnoteText"/>
        <w:ind w:left="567" w:hanging="567"/>
        <w:rPr>
          <w:sz w:val="24"/>
          <w:lang w:val="hr-HR"/>
        </w:rPr>
      </w:pPr>
      <w:r w:rsidRPr="009B180F">
        <w:rPr>
          <w:rStyle w:val="FootnoteReference"/>
          <w:sz w:val="24"/>
          <w:lang w:val="hr-HR"/>
        </w:rPr>
        <w:footnoteRef/>
      </w:r>
      <w:r w:rsidR="009B180F" w:rsidRPr="009B180F">
        <w:rPr>
          <w:sz w:val="24"/>
          <w:lang w:val="hr-HR"/>
        </w:rPr>
        <w:t xml:space="preserve"> </w:t>
      </w:r>
      <w:r w:rsidR="009B180F" w:rsidRPr="009B180F">
        <w:rPr>
          <w:sz w:val="24"/>
          <w:lang w:val="hr-HR"/>
        </w:rPr>
        <w:tab/>
      </w:r>
      <w:r w:rsidRPr="009B180F">
        <w:rPr>
          <w:sz w:val="24"/>
          <w:lang w:val="hr-HR"/>
        </w:rPr>
        <w:t>Us</w:t>
      </w:r>
      <w:r w:rsidR="00D56421">
        <w:rPr>
          <w:sz w:val="24"/>
          <w:lang w:val="hr-HR"/>
        </w:rPr>
        <w:t xml:space="preserve">vojeni tekstovi, </w:t>
      </w:r>
      <w:r w:rsidR="00D56421">
        <w:rPr>
          <w:sz w:val="24"/>
          <w:lang w:val="hr-HR"/>
        </w:rPr>
        <w:t>P9_TA(2024)0280</w:t>
      </w:r>
      <w:bookmarkStart w:id="10" w:name="_GoBack"/>
      <w:bookmarkEnd w:id="10"/>
      <w:r w:rsidRPr="009B180F">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8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8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18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HR"/>
    <w:docVar w:name="dvnumam" w:val="0"/>
    <w:docVar w:name="dvpe" w:val="753.529"/>
    <w:docVar w:name="dvrapporteur" w:val="Izvjestitelj: "/>
    <w:docVar w:name="dvtitre" w:val="Odluka Europskog parlamenta od .... 2024. o razrješnici za izvršenje proračuna Agencije za opskrbu Euratoma za financijsku godinu 2022.(2023/2161(DEC))"/>
  </w:docVars>
  <w:rsids>
    <w:rsidRoot w:val="00C850D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3DB4"/>
    <w:rsid w:val="00471C19"/>
    <w:rsid w:val="004867E3"/>
    <w:rsid w:val="00494A28"/>
    <w:rsid w:val="004C0004"/>
    <w:rsid w:val="004C5D52"/>
    <w:rsid w:val="0050519A"/>
    <w:rsid w:val="005072A1"/>
    <w:rsid w:val="00514517"/>
    <w:rsid w:val="00545827"/>
    <w:rsid w:val="00560270"/>
    <w:rsid w:val="005C2568"/>
    <w:rsid w:val="005F3AD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80F"/>
    <w:rsid w:val="00A1687D"/>
    <w:rsid w:val="00A43E52"/>
    <w:rsid w:val="00A4678D"/>
    <w:rsid w:val="00A778C7"/>
    <w:rsid w:val="00AB441E"/>
    <w:rsid w:val="00AB6293"/>
    <w:rsid w:val="00AE0928"/>
    <w:rsid w:val="00AE1E95"/>
    <w:rsid w:val="00AF3B82"/>
    <w:rsid w:val="00B12E95"/>
    <w:rsid w:val="00B22876"/>
    <w:rsid w:val="00B558F0"/>
    <w:rsid w:val="00BD48FE"/>
    <w:rsid w:val="00BD7BD8"/>
    <w:rsid w:val="00BE6ADC"/>
    <w:rsid w:val="00C05BFE"/>
    <w:rsid w:val="00C23CD4"/>
    <w:rsid w:val="00C61C0C"/>
    <w:rsid w:val="00C850D6"/>
    <w:rsid w:val="00C941CB"/>
    <w:rsid w:val="00CC2357"/>
    <w:rsid w:val="00CF071A"/>
    <w:rsid w:val="00D058B8"/>
    <w:rsid w:val="00D5642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DED87"/>
  <w15:chartTrackingRefBased/>
  <w15:docId w15:val="{C8D820DA-5C7F-4B6F-9376-ABED8085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3AD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3AD0"/>
    <w:pPr>
      <w:spacing w:before="480" w:after="240"/>
    </w:pPr>
  </w:style>
  <w:style w:type="paragraph" w:customStyle="1" w:styleId="PageHeading">
    <w:name w:val="PageHeading"/>
    <w:basedOn w:val="Normal"/>
    <w:rsid w:val="005F3AD0"/>
    <w:pPr>
      <w:keepNext/>
      <w:spacing w:after="480"/>
      <w:jc w:val="center"/>
    </w:pPr>
    <w:rPr>
      <w:rFonts w:ascii="Arial" w:hAnsi="Arial" w:cs="Arial"/>
      <w:b/>
    </w:rPr>
  </w:style>
  <w:style w:type="paragraph" w:customStyle="1" w:styleId="NormalBold">
    <w:name w:val="NormalBold"/>
    <w:basedOn w:val="Normal"/>
    <w:rsid w:val="005F3AD0"/>
    <w:rPr>
      <w:b/>
    </w:rPr>
  </w:style>
  <w:style w:type="paragraph" w:customStyle="1" w:styleId="NormalHanging12a">
    <w:name w:val="NormalHanging12a"/>
    <w:basedOn w:val="Normal"/>
    <w:link w:val="NormalHanging12aChar"/>
    <w:rsid w:val="005F3AD0"/>
    <w:pPr>
      <w:spacing w:after="240"/>
      <w:ind w:left="567" w:hanging="567"/>
    </w:pPr>
  </w:style>
  <w:style w:type="paragraph" w:customStyle="1" w:styleId="NormalCenter12a">
    <w:name w:val="NormalCenter12a"/>
    <w:basedOn w:val="Normal"/>
    <w:rsid w:val="005F3AD0"/>
    <w:pPr>
      <w:spacing w:after="240"/>
      <w:jc w:val="center"/>
    </w:pPr>
  </w:style>
  <w:style w:type="paragraph" w:styleId="Header">
    <w:name w:val="header"/>
    <w:basedOn w:val="Normal"/>
    <w:link w:val="HeaderChar"/>
    <w:rsid w:val="005F3AD0"/>
    <w:pPr>
      <w:tabs>
        <w:tab w:val="center" w:pos="4513"/>
        <w:tab w:val="right" w:pos="9026"/>
      </w:tabs>
    </w:pPr>
  </w:style>
  <w:style w:type="character" w:customStyle="1" w:styleId="HeaderChar">
    <w:name w:val="Header Char"/>
    <w:basedOn w:val="DefaultParagraphFont"/>
    <w:link w:val="Header"/>
    <w:rsid w:val="005F3AD0"/>
    <w:rPr>
      <w:sz w:val="24"/>
      <w:lang w:val="hr-HR"/>
    </w:rPr>
  </w:style>
  <w:style w:type="paragraph" w:customStyle="1" w:styleId="EPFooter">
    <w:name w:val="EPFooter"/>
    <w:basedOn w:val="Normal"/>
    <w:rsid w:val="005F3AD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F3AD0"/>
    <w:rPr>
      <w:sz w:val="24"/>
      <w:lang w:val="hr-HR"/>
    </w:rPr>
  </w:style>
  <w:style w:type="paragraph" w:styleId="Footer">
    <w:name w:val="footer"/>
    <w:basedOn w:val="Normal"/>
    <w:link w:val="FooterChar"/>
    <w:rsid w:val="00AE1E95"/>
    <w:pPr>
      <w:tabs>
        <w:tab w:val="center" w:pos="4513"/>
        <w:tab w:val="right" w:pos="9026"/>
      </w:tabs>
    </w:pPr>
  </w:style>
  <w:style w:type="character" w:customStyle="1" w:styleId="FooterChar">
    <w:name w:val="Footer Char"/>
    <w:basedOn w:val="DefaultParagraphFont"/>
    <w:link w:val="Footer"/>
    <w:rsid w:val="00AE1E9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E99BA-1B7E-432D-AF5D-A3B8F576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2204</Words>
  <Characters>13372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2024-04-11T14:20:00Z</dcterms:created>
  <dcterms:modified xsi:type="dcterms:W3CDTF">2024-04-11T14:20:00Z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A9-0108/2024</vt:lpwstr>
  </property>
  <property fmtid="{D5CDD505-2E9C-101B-9397-08002B2CF9AE}" pid="4" name="&lt;Type&gt;">
    <vt:lpwstr>RR</vt:lpwstr>
  </property>
</Properties>
</file>