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0D27" w:rsidTr="0010095E">
        <w:trPr>
          <w:trHeight w:hRule="exact" w:val="1418"/>
        </w:trPr>
        <w:tc>
          <w:tcPr>
            <w:tcW w:w="6804" w:type="dxa"/>
            <w:shd w:val="clear" w:color="auto" w:fill="auto"/>
            <w:vAlign w:val="center"/>
          </w:tcPr>
          <w:p w:rsidR="00751A4A" w:rsidRPr="00E40D27" w:rsidRDefault="00BD24EF" w:rsidP="0010095E">
            <w:pPr>
              <w:pStyle w:val="EPName"/>
            </w:pPr>
            <w:r w:rsidRPr="00E40D27">
              <w:t>Europos Parlamentas</w:t>
            </w:r>
          </w:p>
          <w:p w:rsidR="00751A4A" w:rsidRPr="00E40D27" w:rsidRDefault="00817416" w:rsidP="00756632">
            <w:pPr>
              <w:pStyle w:val="EPTerm"/>
              <w:rPr>
                <w:rStyle w:val="HideTWBExt"/>
                <w:noProof w:val="0"/>
                <w:vanish w:val="0"/>
                <w:color w:val="auto"/>
              </w:rPr>
            </w:pPr>
            <w:r w:rsidRPr="00E40D27">
              <w:t>2019-2024</w:t>
            </w:r>
          </w:p>
        </w:tc>
        <w:tc>
          <w:tcPr>
            <w:tcW w:w="2268" w:type="dxa"/>
            <w:shd w:val="clear" w:color="auto" w:fill="auto"/>
          </w:tcPr>
          <w:p w:rsidR="00751A4A" w:rsidRPr="00E40D27" w:rsidRDefault="00187494" w:rsidP="0010095E">
            <w:pPr>
              <w:pStyle w:val="EPLogo"/>
            </w:pPr>
            <w:r w:rsidRPr="00E40D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0D27" w:rsidRDefault="00D058B8" w:rsidP="004C5D52">
      <w:pPr>
        <w:pStyle w:val="LineTop"/>
      </w:pPr>
    </w:p>
    <w:p w:rsidR="00680577" w:rsidRPr="00E40D27" w:rsidRDefault="00BD24EF" w:rsidP="00680577">
      <w:pPr>
        <w:pStyle w:val="EPBodyTA1"/>
      </w:pPr>
      <w:r w:rsidRPr="00E40D27">
        <w:t>PRIIMTI TEKSTAI</w:t>
      </w:r>
    </w:p>
    <w:p w:rsidR="00D058B8" w:rsidRPr="00E40D27" w:rsidRDefault="00D058B8" w:rsidP="00D058B8">
      <w:pPr>
        <w:pStyle w:val="LineBottom"/>
      </w:pPr>
    </w:p>
    <w:p w:rsidR="00BD24EF" w:rsidRPr="00E40D27" w:rsidRDefault="00BD24EF" w:rsidP="00BD24EF">
      <w:pPr>
        <w:pStyle w:val="ATHeading1"/>
      </w:pPr>
      <w:bookmarkStart w:id="0" w:name="TANumber"/>
      <w:r w:rsidRPr="00E40D27">
        <w:t>P9_TA(2024)0</w:t>
      </w:r>
      <w:r w:rsidR="00673D38" w:rsidRPr="00E40D27">
        <w:t>259</w:t>
      </w:r>
      <w:bookmarkEnd w:id="0"/>
    </w:p>
    <w:p w:rsidR="00BD24EF" w:rsidRPr="00E40D27" w:rsidRDefault="00BD24EF" w:rsidP="00BD24EF">
      <w:pPr>
        <w:pStyle w:val="ATHeading2"/>
      </w:pPr>
      <w:bookmarkStart w:id="1" w:name="title"/>
      <w:r w:rsidRPr="00E40D27">
        <w:t>2022 m. biudžeto įvykdymo patvirtinimas: Euratomo tiekimo agentūra</w:t>
      </w:r>
      <w:bookmarkEnd w:id="1"/>
    </w:p>
    <w:p w:rsidR="00BD24EF" w:rsidRPr="00E40D27" w:rsidRDefault="00BD24EF" w:rsidP="00BD24EF">
      <w:pPr>
        <w:rPr>
          <w:i/>
          <w:vanish/>
        </w:rPr>
      </w:pPr>
      <w:r w:rsidRPr="00E40D27">
        <w:rPr>
          <w:i/>
        </w:rPr>
        <w:fldChar w:fldCharType="begin"/>
      </w:r>
      <w:r w:rsidRPr="00E40D27">
        <w:rPr>
          <w:i/>
        </w:rPr>
        <w:instrText xml:space="preserve"> TC"(</w:instrText>
      </w:r>
      <w:bookmarkStart w:id="2" w:name="DocNumber"/>
      <w:r w:rsidRPr="00E40D27">
        <w:rPr>
          <w:i/>
        </w:rPr>
        <w:instrText>A9-0108/2024</w:instrText>
      </w:r>
      <w:bookmarkEnd w:id="2"/>
      <w:r w:rsidRPr="00E40D27">
        <w:rPr>
          <w:i/>
        </w:rPr>
        <w:instrText xml:space="preserve"> - Pranešėjas: Petri Sarvamaa)"\l3 \n&gt; \* MERGEFORMAT </w:instrText>
      </w:r>
      <w:r w:rsidRPr="00E40D27">
        <w:rPr>
          <w:i/>
        </w:rPr>
        <w:fldChar w:fldCharType="end"/>
      </w:r>
    </w:p>
    <w:p w:rsidR="00BD24EF" w:rsidRPr="00E40D27" w:rsidRDefault="00BD24EF" w:rsidP="00BD24EF">
      <w:pPr>
        <w:rPr>
          <w:vanish/>
        </w:rPr>
      </w:pPr>
      <w:bookmarkStart w:id="3" w:name="Commission"/>
      <w:r w:rsidRPr="00E40D27">
        <w:rPr>
          <w:vanish/>
        </w:rPr>
        <w:t>Biudžeto kontrolės komitetas</w:t>
      </w:r>
      <w:bookmarkEnd w:id="3"/>
    </w:p>
    <w:p w:rsidR="00BD24EF" w:rsidRPr="00E40D27" w:rsidRDefault="00BD24EF" w:rsidP="00BD24EF">
      <w:pPr>
        <w:rPr>
          <w:vanish/>
        </w:rPr>
      </w:pPr>
      <w:bookmarkStart w:id="4" w:name="PE"/>
      <w:r w:rsidRPr="00E40D27">
        <w:rPr>
          <w:vanish/>
        </w:rPr>
        <w:t>PE753.529</w:t>
      </w:r>
      <w:bookmarkEnd w:id="4"/>
    </w:p>
    <w:p w:rsidR="00BD24EF" w:rsidRPr="00E40D27" w:rsidRDefault="00BD24EF" w:rsidP="00E40D27">
      <w:pPr>
        <w:pStyle w:val="ATHeading3"/>
      </w:pPr>
      <w:bookmarkStart w:id="5" w:name="Sujet"/>
      <w:r w:rsidRPr="00E40D27">
        <w:t xml:space="preserve">1. 2024 m. </w:t>
      </w:r>
      <w:r w:rsidR="00210F3F" w:rsidRPr="00E40D27">
        <w:t>balandžio</w:t>
      </w:r>
      <w:r w:rsidRPr="00E40D27">
        <w:t xml:space="preserve"> 11 d. Europos Parlamento sprendimas dėl Euratomo tiekimo agentūros 2022 finansinių metų biudžeto įvykdymo patvirtinimo</w:t>
      </w:r>
      <w:bookmarkEnd w:id="5"/>
      <w:r w:rsidRPr="00E40D27">
        <w:t xml:space="preserve"> </w:t>
      </w:r>
      <w:bookmarkStart w:id="6" w:name="References"/>
      <w:r w:rsidRPr="00E40D27">
        <w:t>(2023/2161(DEC))</w:t>
      </w:r>
      <w:bookmarkEnd w:id="6"/>
    </w:p>
    <w:p w:rsidR="00E52968" w:rsidRPr="00E40D27" w:rsidRDefault="00E52968" w:rsidP="00E52968">
      <w:pPr>
        <w:pStyle w:val="EPComma"/>
      </w:pPr>
      <w:bookmarkStart w:id="7" w:name="TextBodyBegin"/>
      <w:bookmarkEnd w:id="7"/>
      <w:r w:rsidRPr="00E40D27">
        <w:rPr>
          <w:i/>
        </w:rPr>
        <w:t>Europos Parlamentas</w:t>
      </w:r>
      <w:r w:rsidRPr="00E40D27">
        <w:t>,</w:t>
      </w:r>
    </w:p>
    <w:p w:rsidR="00E52968" w:rsidRPr="00E40D27" w:rsidRDefault="00E52968" w:rsidP="00E52968">
      <w:pPr>
        <w:pStyle w:val="NormalHanging12a"/>
      </w:pPr>
      <w:r w:rsidRPr="00E40D27">
        <w:t>–</w:t>
      </w:r>
      <w:r w:rsidRPr="00E40D27">
        <w:tab/>
        <w:t>atsižvelgdamas į Euratomo tiekimo agentūros 2022 finansinių metų galutines metines ataskaitas,</w:t>
      </w:r>
    </w:p>
    <w:p w:rsidR="00E52968" w:rsidRPr="00E40D27" w:rsidRDefault="00E52968" w:rsidP="00E52968">
      <w:pPr>
        <w:pStyle w:val="NormalHanging12a"/>
      </w:pPr>
      <w:r w:rsidRPr="00E40D27">
        <w:t>–</w:t>
      </w:r>
      <w:r w:rsidRPr="00E40D27">
        <w:tab/>
        <w:t>atsižvelgdamas į Audito Rūmų 2022 finansinių metų metinę ataskaitą dėl ES agentūrų kartu su agentūrų atsakymais</w:t>
      </w:r>
      <w:r w:rsidRPr="00E40D27">
        <w:rPr>
          <w:rStyle w:val="FootnoteReference"/>
        </w:rPr>
        <w:footnoteReference w:id="1"/>
      </w:r>
      <w:r w:rsidRPr="00E40D27">
        <w:t>,</w:t>
      </w:r>
    </w:p>
    <w:p w:rsidR="00E52968" w:rsidRPr="00E40D27" w:rsidRDefault="00E52968" w:rsidP="00E52968">
      <w:pPr>
        <w:pStyle w:val="NormalHanging12a"/>
      </w:pPr>
      <w:r w:rsidRPr="00E40D27">
        <w:t>–</w:t>
      </w:r>
      <w:r w:rsidRPr="00E40D27">
        <w:tab/>
        <w:t>atsižvelgdamas į Audito Rūmų pagal Sutarties dėl Europos Sąjungos veikimo 287 straipsnį pateiktą 2022 finansinių metų sąskaitų patikimumo ir pagal jas atliktų operacijų teisėtumo ir tvarkingumo patikinimo pareiškimą</w:t>
      </w:r>
      <w:r w:rsidRPr="00E40D27">
        <w:rPr>
          <w:rStyle w:val="FootnoteReference"/>
        </w:rPr>
        <w:footnoteReference w:id="2"/>
      </w:r>
      <w:r w:rsidRPr="00E40D27">
        <w:t>,</w:t>
      </w:r>
    </w:p>
    <w:p w:rsidR="00E52968" w:rsidRPr="00E40D27" w:rsidRDefault="00E52968" w:rsidP="00E52968">
      <w:pPr>
        <w:pStyle w:val="NormalHanging12a"/>
      </w:pPr>
      <w:r w:rsidRPr="00E40D27">
        <w:t>–</w:t>
      </w:r>
      <w:r w:rsidRPr="00E40D27">
        <w:tab/>
        <w:t xml:space="preserve">atsižvelgdamas į </w:t>
      </w:r>
      <w:r w:rsidR="005C52FB" w:rsidRPr="00E40D27">
        <w:t xml:space="preserve">2024 m. vasario 22 d. </w:t>
      </w:r>
      <w:r w:rsidRPr="00E40D27">
        <w:t>Tarybos rekomendaciją dėl patvirtinimo, kad Agentūra įvykdė 2022 finansinių metų biudžetą (</w:t>
      </w:r>
      <w:r w:rsidR="006F24DD" w:rsidRPr="00E40D27">
        <w:t>06180</w:t>
      </w:r>
      <w:r w:rsidRPr="00E40D27">
        <w:t>/2024 – C9</w:t>
      </w:r>
      <w:r w:rsidRPr="00E40D27">
        <w:noBreakHyphen/>
      </w:r>
      <w:r w:rsidR="006F24DD" w:rsidRPr="00E40D27">
        <w:t>0099</w:t>
      </w:r>
      <w:r w:rsidRPr="00E40D27">
        <w:t>/2024),</w:t>
      </w:r>
    </w:p>
    <w:p w:rsidR="00E52968" w:rsidRPr="00E40D27" w:rsidRDefault="00E52968" w:rsidP="00E52968">
      <w:pPr>
        <w:pStyle w:val="NormalHanging12a"/>
      </w:pPr>
      <w:r w:rsidRPr="00E40D27">
        <w:t>–</w:t>
      </w:r>
      <w:r w:rsidRPr="00E40D27">
        <w:tab/>
        <w:t>atsižvelgdamas į Sutarties dėl Europos Sąjungos veikimo 319 straipsnį,</w:t>
      </w:r>
    </w:p>
    <w:p w:rsidR="00E52968" w:rsidRPr="00E40D27" w:rsidRDefault="00E52968" w:rsidP="00E52968">
      <w:pPr>
        <w:pStyle w:val="NormalHanging12a"/>
      </w:pPr>
      <w:r w:rsidRPr="00E40D27">
        <w:t>–</w:t>
      </w:r>
      <w:r w:rsidRPr="00E40D27">
        <w:tab/>
        <w:t>atsižvelgdamas į Europos atominės energijos bendrijos steigimo sutarties 106a straipsnį,</w:t>
      </w:r>
    </w:p>
    <w:p w:rsidR="00E52968" w:rsidRPr="00E40D27" w:rsidRDefault="00E52968" w:rsidP="00E52968">
      <w:pPr>
        <w:pStyle w:val="NormalHanging12a"/>
      </w:pPr>
      <w:r w:rsidRPr="00E40D27">
        <w:t>–</w:t>
      </w:r>
      <w:r w:rsidRPr="00E40D27">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E40D27">
        <w:rPr>
          <w:rStyle w:val="FootnoteReference"/>
        </w:rPr>
        <w:footnoteReference w:id="3"/>
      </w:r>
      <w:r w:rsidRPr="00E40D27">
        <w:t>, ypač į jo 68 straipsnį,</w:t>
      </w:r>
    </w:p>
    <w:p w:rsidR="00E52968" w:rsidRPr="00E40D27" w:rsidRDefault="00E52968" w:rsidP="00E52968">
      <w:pPr>
        <w:pStyle w:val="NormalHanging12a"/>
      </w:pPr>
      <w:r w:rsidRPr="00E40D27">
        <w:t>–</w:t>
      </w:r>
      <w:r w:rsidRPr="00E40D27">
        <w:tab/>
        <w:t xml:space="preserve">atsižvelgdamas į 2008 m. vasario 12 d. Tarybos sprendimą 2008/114/EB, Euratomas, </w:t>
      </w:r>
      <w:r w:rsidRPr="00E40D27">
        <w:lastRenderedPageBreak/>
        <w:t>nustatantį Euratomo tiekimo agentūros įstatus</w:t>
      </w:r>
      <w:r w:rsidRPr="00E40D27">
        <w:rPr>
          <w:rStyle w:val="FootnoteReference"/>
        </w:rPr>
        <w:footnoteReference w:id="4"/>
      </w:r>
      <w:r w:rsidRPr="00E40D27">
        <w:t>, ypač į jo 8 straipsnį,</w:t>
      </w:r>
    </w:p>
    <w:p w:rsidR="00E52968" w:rsidRPr="00E40D27" w:rsidRDefault="00E52968" w:rsidP="00E52968">
      <w:pPr>
        <w:pStyle w:val="NormalHanging12a"/>
      </w:pPr>
      <w:r w:rsidRPr="00E40D27">
        <w:t>–</w:t>
      </w:r>
      <w:r w:rsidRPr="00E40D27">
        <w:tab/>
        <w:t>atsižvelgdamas į Darbo tvarkos taisyklių 100 straipsnį ir V priedą,</w:t>
      </w:r>
    </w:p>
    <w:p w:rsidR="00E52968" w:rsidRPr="00E40D27" w:rsidRDefault="00E52968" w:rsidP="00E52968">
      <w:pPr>
        <w:pStyle w:val="NormalHanging12a"/>
      </w:pPr>
      <w:r w:rsidRPr="00E40D27">
        <w:t>–</w:t>
      </w:r>
      <w:r w:rsidRPr="00E40D27">
        <w:tab/>
        <w:t>atsižvelgdamas į Biudžeto kontrolės komiteto antrąjį pranešimą (A9-0108/2024),</w:t>
      </w:r>
    </w:p>
    <w:p w:rsidR="00E52968" w:rsidRPr="00E40D27" w:rsidRDefault="00E52968" w:rsidP="00E52968">
      <w:pPr>
        <w:pStyle w:val="NormalHanging12a"/>
      </w:pPr>
      <w:r w:rsidRPr="00E40D27">
        <w:t>1.</w:t>
      </w:r>
      <w:r w:rsidRPr="00E40D27">
        <w:tab/>
        <w:t>patvirtina Euratomo tiekimo agentūros laikinai pareigas einančia</w:t>
      </w:r>
      <w:r w:rsidR="00135198" w:rsidRPr="00E40D27">
        <w:t>m</w:t>
      </w:r>
      <w:r w:rsidRPr="00E40D27">
        <w:t xml:space="preserve"> generalin</w:t>
      </w:r>
      <w:r w:rsidR="00135198" w:rsidRPr="00E40D27">
        <w:t>iam</w:t>
      </w:r>
      <w:r w:rsidRPr="00E40D27">
        <w:t xml:space="preserve"> direktor</w:t>
      </w:r>
      <w:r w:rsidR="00135198" w:rsidRPr="00E40D27">
        <w:t>iui</w:t>
      </w:r>
      <w:r w:rsidRPr="00E40D27">
        <w:t>, kad Agentūros 2022 finansinių metų biudžetas įvykdytas;</w:t>
      </w:r>
    </w:p>
    <w:p w:rsidR="00E52968" w:rsidRPr="00E40D27" w:rsidRDefault="00E52968" w:rsidP="00E52968">
      <w:pPr>
        <w:pStyle w:val="NormalHanging12a"/>
      </w:pPr>
      <w:r w:rsidRPr="00E40D27">
        <w:t>2.</w:t>
      </w:r>
      <w:r w:rsidRPr="00E40D27">
        <w:tab/>
        <w:t>išdėsto savo pastabas toliau pateikiamoje rezoliucijoje;</w:t>
      </w:r>
    </w:p>
    <w:p w:rsidR="00E52968" w:rsidRPr="00E40D27" w:rsidRDefault="00E52968" w:rsidP="00E52968">
      <w:pPr>
        <w:pStyle w:val="NormalHanging12a"/>
      </w:pPr>
      <w:r w:rsidRPr="00E40D27">
        <w:t>3.</w:t>
      </w:r>
      <w:r w:rsidRPr="00E40D27">
        <w:tab/>
        <w:t xml:space="preserve">paveda Pirmininkei perduoti šį sprendimą ir rezoliuciją, kuri yra neatskiriama jo dalis, Euratomo tiekimo agentūros laikinai pareigas </w:t>
      </w:r>
      <w:r w:rsidR="00135198" w:rsidRPr="00E40D27">
        <w:t>einančiam generaliniam direktoriui</w:t>
      </w:r>
      <w:r w:rsidRPr="00E40D27">
        <w:t xml:space="preserve">, Tarybai, Komisijai ir Audito Rūmams ir pasirūpinti, kad jie būtų paskelbti </w:t>
      </w:r>
      <w:r w:rsidRPr="00E40D27">
        <w:rPr>
          <w:i/>
        </w:rPr>
        <w:t>Europos Sąjungos oficialiajame leidinyje</w:t>
      </w:r>
      <w:r w:rsidRPr="00E40D27">
        <w:t xml:space="preserve"> (L serijoje).</w:t>
      </w:r>
    </w:p>
    <w:p w:rsidR="00E52968" w:rsidRPr="00E40D27" w:rsidRDefault="00E52968" w:rsidP="00E52968"/>
    <w:p w:rsidR="00E52968" w:rsidRPr="00E40D27" w:rsidRDefault="00E52968" w:rsidP="00E52968">
      <w:pPr>
        <w:pStyle w:val="PageHeading"/>
        <w:sectPr w:rsidR="00E52968" w:rsidRPr="00E40D27" w:rsidSect="005000C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52968" w:rsidRPr="00E40D27" w:rsidRDefault="00E52968" w:rsidP="00E40D27">
      <w:pPr>
        <w:pStyle w:val="ATHeading3"/>
      </w:pPr>
      <w:bookmarkStart w:id="8" w:name="_Toc161674343"/>
      <w:r w:rsidRPr="00E40D27">
        <w:lastRenderedPageBreak/>
        <w:t xml:space="preserve">2. </w:t>
      </w:r>
      <w:r w:rsidR="00210F3F" w:rsidRPr="00E40D27">
        <w:t xml:space="preserve">2024 m. balandžio 11 d. Europos Parlamento sprendimas </w:t>
      </w:r>
      <w:bookmarkEnd w:id="8"/>
      <w:r w:rsidRPr="00E40D27">
        <w:t>dėl Euratomo tiekimo agentūros 2022 finansinių metų sąskaitų uždarymo</w:t>
      </w:r>
      <w:r w:rsidR="00210F3F" w:rsidRPr="00E40D27">
        <w:t xml:space="preserve"> </w:t>
      </w:r>
      <w:r w:rsidRPr="00E40D27">
        <w:t>(2023/2161(DEC))</w:t>
      </w:r>
    </w:p>
    <w:p w:rsidR="00E52968" w:rsidRPr="00E40D27" w:rsidRDefault="00E52968" w:rsidP="00E52968">
      <w:pPr>
        <w:pStyle w:val="EPComma"/>
      </w:pPr>
      <w:r w:rsidRPr="00E40D27">
        <w:rPr>
          <w:i/>
        </w:rPr>
        <w:t>Europos Parlamentas</w:t>
      </w:r>
      <w:r w:rsidRPr="00E40D27">
        <w:t>,</w:t>
      </w:r>
    </w:p>
    <w:p w:rsidR="00E52968" w:rsidRPr="00E40D27" w:rsidRDefault="00E52968" w:rsidP="00E52968">
      <w:pPr>
        <w:pStyle w:val="NormalHanging12a"/>
      </w:pPr>
      <w:r w:rsidRPr="00E40D27">
        <w:t>–</w:t>
      </w:r>
      <w:r w:rsidRPr="00E40D27">
        <w:tab/>
        <w:t>atsižvelgdamas į Euratomo tiekimo agentūros 2022 finansinių metų galutines metines ataskaitas,</w:t>
      </w:r>
    </w:p>
    <w:p w:rsidR="00E52968" w:rsidRPr="00E40D27" w:rsidRDefault="00E52968" w:rsidP="00E52968">
      <w:pPr>
        <w:pStyle w:val="NormalHanging12a"/>
      </w:pPr>
      <w:r w:rsidRPr="00E40D27">
        <w:t>–</w:t>
      </w:r>
      <w:r w:rsidRPr="00E40D27">
        <w:tab/>
        <w:t>atsižvelgdamas į Audito Rūmų 2022 finansinių metų metinę</w:t>
      </w:r>
      <w:bookmarkStart w:id="9" w:name="_GoBack"/>
      <w:bookmarkEnd w:id="9"/>
      <w:r w:rsidRPr="00E40D27">
        <w:t xml:space="preserve"> ataskaitą dėl ES agentūrų kartu su agentūrų atsakymais</w:t>
      </w:r>
      <w:r w:rsidRPr="00E40D27">
        <w:rPr>
          <w:rStyle w:val="FootnoteReference"/>
        </w:rPr>
        <w:footnoteReference w:id="5"/>
      </w:r>
      <w:r w:rsidRPr="00E40D27">
        <w:t>,</w:t>
      </w:r>
    </w:p>
    <w:p w:rsidR="00E52968" w:rsidRPr="00E40D27" w:rsidRDefault="00E52968" w:rsidP="00E52968">
      <w:pPr>
        <w:pStyle w:val="NormalHanging12a"/>
      </w:pPr>
      <w:r w:rsidRPr="00E40D27">
        <w:t>–</w:t>
      </w:r>
      <w:r w:rsidRPr="00E40D27">
        <w:tab/>
        <w:t>atsižvelgdamas į Audito Rūmų pagal Sutarties dėl Europos Sąjungos veikimo 287 straipsnį pateiktą 2022 finansinių metų sąskaitų patikimumo ir pagal jas atliktų operacijų teisėtumo ir tvarkingumo patikinimo pareiškimą</w:t>
      </w:r>
      <w:r w:rsidRPr="00E40D27">
        <w:rPr>
          <w:rStyle w:val="FootnoteReference"/>
        </w:rPr>
        <w:footnoteReference w:id="6"/>
      </w:r>
      <w:r w:rsidRPr="00E40D27">
        <w:t>,</w:t>
      </w:r>
    </w:p>
    <w:p w:rsidR="00E52968" w:rsidRPr="00E40D27" w:rsidRDefault="00E52968" w:rsidP="00E52968">
      <w:pPr>
        <w:pStyle w:val="NormalHanging12a"/>
      </w:pPr>
      <w:r w:rsidRPr="00E40D27">
        <w:t>–</w:t>
      </w:r>
      <w:r w:rsidRPr="00E40D27">
        <w:tab/>
        <w:t xml:space="preserve">atsižvelgdamas į </w:t>
      </w:r>
      <w:r w:rsidR="005C52FB" w:rsidRPr="00E40D27">
        <w:t xml:space="preserve">2024 m. vasario 22 d. </w:t>
      </w:r>
      <w:r w:rsidRPr="00E40D27">
        <w:t>Tarybos rekomendaciją dėl patvirtinimo, kad Agentūra įvykdė 2022 finansinių metų biudžetą (</w:t>
      </w:r>
      <w:r w:rsidR="00AD268D" w:rsidRPr="00E40D27">
        <w:t>06180</w:t>
      </w:r>
      <w:r w:rsidRPr="00E40D27">
        <w:t>/2024 – C9</w:t>
      </w:r>
      <w:r w:rsidRPr="00E40D27">
        <w:noBreakHyphen/>
      </w:r>
      <w:r w:rsidR="00AD268D" w:rsidRPr="00E40D27">
        <w:t>0099</w:t>
      </w:r>
      <w:r w:rsidRPr="00E40D27">
        <w:t>/2024),</w:t>
      </w:r>
    </w:p>
    <w:p w:rsidR="00E52968" w:rsidRPr="00E40D27" w:rsidRDefault="00E52968" w:rsidP="00E52968">
      <w:pPr>
        <w:pStyle w:val="NormalHanging12a"/>
      </w:pPr>
      <w:r w:rsidRPr="00E40D27">
        <w:t>–</w:t>
      </w:r>
      <w:r w:rsidRPr="00E40D27">
        <w:tab/>
        <w:t>atsižvelgdamas į Sutarties dėl Europos Sąjungos veikimo 319 straipsnį,</w:t>
      </w:r>
    </w:p>
    <w:p w:rsidR="00E52968" w:rsidRPr="00E40D27" w:rsidRDefault="00E52968" w:rsidP="00E52968">
      <w:pPr>
        <w:pStyle w:val="NormalHanging12a"/>
      </w:pPr>
      <w:r w:rsidRPr="00E40D27">
        <w:t>–</w:t>
      </w:r>
      <w:r w:rsidRPr="00E40D27">
        <w:tab/>
        <w:t>atsižvelgdamas į Europos atominės energijos bendrijos steigimo sutarties 106a straipsnį,</w:t>
      </w:r>
    </w:p>
    <w:p w:rsidR="00E52968" w:rsidRPr="00E40D27" w:rsidRDefault="00E52968" w:rsidP="00E52968">
      <w:pPr>
        <w:pStyle w:val="NormalHanging12a"/>
      </w:pPr>
      <w:r w:rsidRPr="00E40D27">
        <w:t>–</w:t>
      </w:r>
      <w:r w:rsidRPr="00E40D27">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E40D27">
        <w:rPr>
          <w:rStyle w:val="FootnoteReference"/>
        </w:rPr>
        <w:footnoteReference w:id="7"/>
      </w:r>
      <w:r w:rsidRPr="00E40D27">
        <w:t>, ypač į jo 68 straipsnį,</w:t>
      </w:r>
    </w:p>
    <w:p w:rsidR="00E52968" w:rsidRPr="00E40D27" w:rsidRDefault="00E52968" w:rsidP="00E52968">
      <w:pPr>
        <w:pStyle w:val="NormalHanging12a"/>
      </w:pPr>
      <w:r w:rsidRPr="00E40D27">
        <w:t>–</w:t>
      </w:r>
      <w:r w:rsidRPr="00E40D27">
        <w:tab/>
        <w:t>atsižvelgdamas į 2008 m. vasario 12 d. Tarybos sprendimą 2008/114/EB, Euratomas, nustatantį Euratomo tiekimo agentūros įstatus</w:t>
      </w:r>
      <w:r w:rsidRPr="00E40D27">
        <w:rPr>
          <w:rStyle w:val="FootnoteReference"/>
        </w:rPr>
        <w:footnoteReference w:id="8"/>
      </w:r>
      <w:r w:rsidRPr="00E40D27">
        <w:t>, ypač į jo 8 straipsnį,</w:t>
      </w:r>
    </w:p>
    <w:p w:rsidR="00E52968" w:rsidRPr="00E40D27" w:rsidRDefault="00E52968" w:rsidP="00E52968">
      <w:pPr>
        <w:pStyle w:val="NormalHanging12a"/>
      </w:pPr>
      <w:r w:rsidRPr="00E40D27">
        <w:t>–</w:t>
      </w:r>
      <w:r w:rsidRPr="00E40D27">
        <w:tab/>
        <w:t>atsižvelgdamas į Darbo tvarkos taisyklių 100 straipsnį ir V priedą,</w:t>
      </w:r>
    </w:p>
    <w:p w:rsidR="00E52968" w:rsidRPr="00E40D27" w:rsidRDefault="00E52968" w:rsidP="00E52968">
      <w:pPr>
        <w:pStyle w:val="NormalHanging12a"/>
      </w:pPr>
      <w:r w:rsidRPr="00E40D27">
        <w:t>–</w:t>
      </w:r>
      <w:r w:rsidRPr="00E40D27">
        <w:tab/>
        <w:t>atsižvelgdamas į Biudžeto kontrolės komiteto antrąjį pranešimą (A9-0108/2024),</w:t>
      </w:r>
    </w:p>
    <w:p w:rsidR="00E52968" w:rsidRPr="00E40D27" w:rsidRDefault="00E52968" w:rsidP="00E52968">
      <w:pPr>
        <w:pStyle w:val="NormalHanging12a"/>
      </w:pPr>
      <w:r w:rsidRPr="00E40D27">
        <w:t>1.</w:t>
      </w:r>
      <w:r w:rsidRPr="00E40D27">
        <w:tab/>
        <w:t>pritaria Euratomo tiekimo agentūros 2022 finansinių metų sąskaitų uždarymui;</w:t>
      </w:r>
    </w:p>
    <w:p w:rsidR="00E52968" w:rsidRPr="00E40D27" w:rsidRDefault="00E52968" w:rsidP="00E52968">
      <w:pPr>
        <w:pStyle w:val="NormalHanging12a"/>
      </w:pPr>
      <w:r w:rsidRPr="00E40D27">
        <w:t>2.</w:t>
      </w:r>
      <w:r w:rsidRPr="00E40D27">
        <w:tab/>
        <w:t xml:space="preserve">paveda Pirmininkei perduoti šį sprendimą Euratomo tiekimo agentūros laikinai pareigas </w:t>
      </w:r>
      <w:r w:rsidR="000F2BFD" w:rsidRPr="00E40D27">
        <w:t>einančiam generaliniam direktoriui</w:t>
      </w:r>
      <w:r w:rsidRPr="00E40D27">
        <w:t xml:space="preserve">, Tarybai, Komisijai ir Audito Rūmams ir pasirūpinti, kad jis būtų paskelbtas </w:t>
      </w:r>
      <w:r w:rsidRPr="00E40D27">
        <w:rPr>
          <w:i/>
        </w:rPr>
        <w:t>Europos Sąjungos oficialiajame leidinyje</w:t>
      </w:r>
      <w:r w:rsidRPr="00E40D27">
        <w:t xml:space="preserve"> (L serijoje).</w:t>
      </w:r>
    </w:p>
    <w:p w:rsidR="00E52968" w:rsidRPr="00E40D27" w:rsidRDefault="00E52968" w:rsidP="00E52968"/>
    <w:p w:rsidR="00E52968" w:rsidRPr="00E40D27" w:rsidRDefault="00E52968" w:rsidP="00E52968">
      <w:pPr>
        <w:pStyle w:val="PageHeading"/>
        <w:sectPr w:rsidR="00E52968" w:rsidRPr="00E40D27" w:rsidSect="005000C3">
          <w:footnotePr>
            <w:numRestart w:val="eachPage"/>
          </w:footnotePr>
          <w:endnotePr>
            <w:numFmt w:val="decimal"/>
          </w:endnotePr>
          <w:pgSz w:w="11906" w:h="16838" w:code="9"/>
          <w:pgMar w:top="1134" w:right="1418" w:bottom="1418" w:left="1418" w:header="567" w:footer="567" w:gutter="0"/>
          <w:cols w:space="720"/>
          <w:noEndnote/>
          <w:docGrid w:linePitch="326"/>
        </w:sectPr>
      </w:pPr>
    </w:p>
    <w:p w:rsidR="00E52968" w:rsidRPr="00E40D27" w:rsidRDefault="00E52968" w:rsidP="00E40D27">
      <w:pPr>
        <w:pStyle w:val="ATHeading3"/>
      </w:pPr>
      <w:bookmarkStart w:id="10" w:name="_Toc161674344"/>
      <w:r w:rsidRPr="00E40D27">
        <w:lastRenderedPageBreak/>
        <w:t xml:space="preserve">3. </w:t>
      </w:r>
      <w:r w:rsidR="000B0FF2" w:rsidRPr="00E40D27">
        <w:t>2024 m. balandžio 11 d. Europos Parlamento rezoliucija</w:t>
      </w:r>
      <w:r w:rsidR="00D14547" w:rsidRPr="00E40D27">
        <w:t xml:space="preserve"> </w:t>
      </w:r>
      <w:bookmarkEnd w:id="10"/>
      <w:r w:rsidRPr="00E40D27">
        <w:t>su pastabomis, sudarančiomis neatskiriamą sprendimo dėl Euratomo tiekimo agentūros 2022 finansinių metų biudžeto įvykdymo patvirtinimo dalį</w:t>
      </w:r>
      <w:r w:rsidR="000B0FF2" w:rsidRPr="00E40D27">
        <w:t xml:space="preserve"> </w:t>
      </w:r>
      <w:r w:rsidRPr="00E40D27">
        <w:t>(2023/2161(DEC))</w:t>
      </w:r>
    </w:p>
    <w:p w:rsidR="00E52968" w:rsidRPr="00E40D27" w:rsidRDefault="00E52968" w:rsidP="00E52968">
      <w:pPr>
        <w:pStyle w:val="EPComma"/>
      </w:pPr>
      <w:r w:rsidRPr="00E40D27">
        <w:rPr>
          <w:i/>
        </w:rPr>
        <w:t>Europos Parlamentas</w:t>
      </w:r>
      <w:r w:rsidRPr="00E40D27">
        <w:t>,</w:t>
      </w:r>
    </w:p>
    <w:p w:rsidR="00E52968" w:rsidRPr="00E40D27" w:rsidRDefault="00E52968" w:rsidP="00E52968">
      <w:pPr>
        <w:pStyle w:val="NormalHanging12a"/>
      </w:pPr>
      <w:r w:rsidRPr="00E40D27">
        <w:t>–</w:t>
      </w:r>
      <w:r w:rsidRPr="00E40D27">
        <w:tab/>
        <w:t>atsižvelgdamas į savo sprendimą dėl Euratomo tiekimo agentūros (toliau – Agentūra) 2022 finansinių metų biudžeto įvykdymo patvirtinimo,</w:t>
      </w:r>
    </w:p>
    <w:p w:rsidR="00E52968" w:rsidRPr="00E40D27" w:rsidRDefault="00E52968" w:rsidP="00E52968">
      <w:pPr>
        <w:pStyle w:val="NormalHanging12a"/>
      </w:pPr>
      <w:r w:rsidRPr="00E40D27">
        <w:t>–</w:t>
      </w:r>
      <w:r w:rsidRPr="00E40D27">
        <w:tab/>
        <w:t>atsižvelgdamas į Darbo tvarkos taisyklių 100 straipsnį ir V priedą,</w:t>
      </w:r>
    </w:p>
    <w:p w:rsidR="00E52968" w:rsidRPr="00E40D27" w:rsidRDefault="00E52968" w:rsidP="00E52968">
      <w:pPr>
        <w:pStyle w:val="NormalHanging12a"/>
      </w:pPr>
      <w:r w:rsidRPr="00E40D27">
        <w:t>–</w:t>
      </w:r>
      <w:r w:rsidRPr="00E40D27">
        <w:tab/>
        <w:t>atsižvelgdamas į Biudžeto kontrolės komiteto antrąjį pranešimą (A9-0108/2024),</w:t>
      </w:r>
    </w:p>
    <w:p w:rsidR="00E52968" w:rsidRPr="00E40D27" w:rsidRDefault="00E52968" w:rsidP="00E52968">
      <w:pPr>
        <w:spacing w:after="240"/>
        <w:ind w:left="567" w:hanging="567"/>
        <w:rPr>
          <w:szCs w:val="24"/>
        </w:rPr>
      </w:pPr>
      <w:r w:rsidRPr="00E40D27">
        <w:t>A.</w:t>
      </w:r>
      <w:r w:rsidRPr="00E40D27">
        <w:tab/>
        <w:t>kadangi, remiantis Agentūros pajamų ir išlaidų finansinėmis ataskaitomis, jos galutinis 2022 finansinių metų biudžetas buvo 167 000 EUR, t. y. 20,48 proc. mažesnis, palyginti su 2021 m. (210 000 EUR); kadangi visą Agentūros biudžetą sudaro lėšos iš Sąjungos biudžeto;</w:t>
      </w:r>
    </w:p>
    <w:p w:rsidR="00E52968" w:rsidRPr="00E40D27" w:rsidRDefault="00E52968" w:rsidP="00E52968">
      <w:pPr>
        <w:spacing w:after="240"/>
        <w:ind w:left="567" w:hanging="567"/>
        <w:rPr>
          <w:szCs w:val="24"/>
        </w:rPr>
      </w:pPr>
      <w:r w:rsidRPr="00E40D27">
        <w:t>B.</w:t>
      </w:r>
      <w:r w:rsidRPr="00E40D27">
        <w:tab/>
        <w:t>kadangi Audito Rūmai savo ataskaitoje dėl Agentūros 2022 finansinių metų metinių ataskaitų (toliau – Audito Rūmų ataskaita) nurodė, kad yra gavę pagrįstą patikinimą, jog Agentūros metinės ataskaitos yra patikimos ir jose nurodytos operacijos yra teisėtos ir tvarkingos;</w:t>
      </w:r>
    </w:p>
    <w:p w:rsidR="00E52968" w:rsidRPr="00E40D27" w:rsidRDefault="00E52968" w:rsidP="00E52968">
      <w:pPr>
        <w:spacing w:after="240"/>
        <w:ind w:left="567" w:hanging="567"/>
        <w:rPr>
          <w:szCs w:val="24"/>
        </w:rPr>
      </w:pPr>
      <w:r w:rsidRPr="00E40D27">
        <w:t>C.</w:t>
      </w:r>
      <w:r w:rsidRPr="00E40D27">
        <w:tab/>
        <w:t>kadangi, kalbant apie Agentūros vidaus kontrolės sistemas, 2022 m. nebuvo pranešta apie jokias problemas, dėl kurių reikėjo imtis taisomųjų veiksmų, taip pat nebuvo imtasi ar neįgyvendintų taisomųjų veiksmų, susijusių su ankstesnių metų auditais ir vertinimais;</w:t>
      </w:r>
    </w:p>
    <w:p w:rsidR="00E52968" w:rsidRPr="00E40D27" w:rsidRDefault="00E52968" w:rsidP="00E52968">
      <w:pPr>
        <w:spacing w:after="240"/>
        <w:ind w:left="567" w:hanging="567"/>
        <w:rPr>
          <w:b/>
          <w:i/>
          <w:szCs w:val="24"/>
        </w:rPr>
      </w:pPr>
      <w:r w:rsidRPr="00E40D27">
        <w:rPr>
          <w:b/>
          <w:i/>
        </w:rPr>
        <w:t>Biudžeto ir finansų valdymas</w:t>
      </w:r>
    </w:p>
    <w:p w:rsidR="00E52968" w:rsidRPr="00E40D27" w:rsidRDefault="00E52968" w:rsidP="00E52968">
      <w:pPr>
        <w:spacing w:after="240"/>
        <w:ind w:left="567" w:hanging="567"/>
        <w:rPr>
          <w:szCs w:val="24"/>
        </w:rPr>
      </w:pPr>
      <w:r w:rsidRPr="00E40D27">
        <w:t>1.</w:t>
      </w:r>
      <w:r w:rsidRPr="00E40D27">
        <w:tab/>
        <w:t>pažymi, kad dėl 2022 finansiniais metais vykdytos biudžeto stebėsenos buvo pasiektas 96,88 proc. einamųjų metų įsipareigojimų asignavimų panaudojimo lygis, t. y. šiek tiek (2,88 proc.) mažesnis, palyginti su 2021 m., ir pažymi, kad einamųjų metų mokėjimų asignavimų panaudojimo lygis buvo 34,81 proc., t. y. 16,4 proc. mažesnis, palyginti su 2021 m.;</w:t>
      </w:r>
    </w:p>
    <w:p w:rsidR="00E52968" w:rsidRPr="00E40D27" w:rsidRDefault="00E52968" w:rsidP="00E52968">
      <w:pPr>
        <w:spacing w:after="240"/>
        <w:ind w:left="567" w:hanging="567"/>
        <w:rPr>
          <w:szCs w:val="24"/>
        </w:rPr>
      </w:pPr>
      <w:r w:rsidRPr="00E40D27">
        <w:t>2.</w:t>
      </w:r>
      <w:r w:rsidRPr="00E40D27">
        <w:tab/>
        <w:t>pažymi, kad Komisija padengia didelę dalį Agentūros išlaidų, įskaitant 1 937 817 EUR atlyginimus, 467 708 EUR patalpų ir IT išlaidas bei 84 644 EUR vertės projekto „Branduolinių medžiagų observatorija ir EKA informacijos valdymas“ (NOEMI) IT sistemos išlaidas; be to, pažymi, kad šios išlaidos įtrauktos į Komisijos metines finansines ataskaitas ir tuo teigiamai prisidedama prie Agentūros administracinių gebėjimų;</w:t>
      </w:r>
    </w:p>
    <w:p w:rsidR="00E52968" w:rsidRPr="00E40D27" w:rsidRDefault="00E52968" w:rsidP="00E52968">
      <w:pPr>
        <w:spacing w:after="240"/>
        <w:ind w:left="567" w:hanging="567"/>
        <w:rPr>
          <w:b/>
          <w:i/>
          <w:szCs w:val="24"/>
        </w:rPr>
      </w:pPr>
      <w:r w:rsidRPr="00E40D27">
        <w:rPr>
          <w:b/>
          <w:i/>
        </w:rPr>
        <w:t>Veiksmingumas</w:t>
      </w:r>
    </w:p>
    <w:p w:rsidR="00E52968" w:rsidRPr="00E40D27" w:rsidRDefault="00E52968" w:rsidP="00E52968">
      <w:pPr>
        <w:pStyle w:val="NormalHanging12a"/>
      </w:pPr>
      <w:r w:rsidRPr="00E40D27">
        <w:t>3.</w:t>
      </w:r>
      <w:r w:rsidRPr="00E40D27">
        <w:tab/>
        <w:t xml:space="preserve">pabrėžia, kad 2022 m. buvo pažymėti Rusijos invazija į Ukrainą, kuri sukėlė ES susirūpinimas dėl energetinio saugumo apskritai ir ypač kėlė grėsmę Sąjungos branduolinių medžiagų ir kuro tiekimo saugumui bei paaštrino energetinės priklausomybės problemas; pažymi, kad daugelis Sąjungos atominių elektrinių yra priklausomos nuo Rusijos kuro tiekėjų ir kad visi Sąjungos branduoliniai reaktoriai 20–30 proc. priklauso nuo Rusijos tiekiamų branduolinių medžiagų ir kuro ciklo paslaugų; </w:t>
      </w:r>
      <w:r w:rsidRPr="00E40D27">
        <w:lastRenderedPageBreak/>
        <w:t>pažymi, kad pripažindama didelių mokėjimų už energijos importą vaidmenį remiant Rusijos veiksmus, Sąjunga nusprendė sumažinti savo priklausomybę nuo Rusijos įvairiuose sektoriuose, o branduolinės energijos rinka, atsižvelgiant į jos unikalias ypatybes, ateityje taip pat gali keistis, kaip tokio platesnio masto pokyčių dalis; prašo Agentūros informuoti biudžeto įvykdymą tvirtinančią instituciją apie tai, kaip nuo 2022 m. ji sumažino Sąjungos priklausomybę nuo Rusijos branduolinio kuro, ypač nuo karo pradžios, kai branduolinė pramonė buvo atleista nuo sankcijų, ir kaip mažinimas ir įvairinimas paveikė išlaidas;</w:t>
      </w:r>
    </w:p>
    <w:p w:rsidR="00E52968" w:rsidRPr="00E40D27" w:rsidRDefault="00E52968" w:rsidP="00E52968">
      <w:pPr>
        <w:spacing w:after="240"/>
        <w:ind w:left="567" w:hanging="567"/>
      </w:pPr>
      <w:r w:rsidRPr="00E40D27">
        <w:t>4.</w:t>
      </w:r>
      <w:r w:rsidRPr="00E40D27">
        <w:tab/>
        <w:t>su pasitenkinimu pažymi, kad Agentūra ypatingą dėmesį skyrė sutarčių, dėl kurių kyla priklausomybės nuo Rusijos rizika, peržiūrai, įskaitant išsamią sąlygų, technologijų informacijos, tiekimo grandinių, alternatyvių degalų prieinamumo ir komunalinių paslaugų įmonių veiklos savarankiškumo analizę esamų kuro atsargų atžvilgiu; palankiai vertina tai, kad Agentūra ėmėsi veiksmų, kad supaprastintų sutarčių teikimo procesą, kartu išlaikydama aukštą saugumo lygį, ir specialios saugios IT priemonės sudarė palankesnes sąlygas nuotoliniam jų užbaigimui ir pateikimui; pažymi, kad dėl šių pastangų 2022 m. padaugėjo elektroniniu būdu pasirašytų aktų, atitinkančių reglamentus dėl elektroninių operacijų identifikavimo bendrojoje rinkoje;</w:t>
      </w:r>
    </w:p>
    <w:p w:rsidR="00E52968" w:rsidRPr="00E40D27" w:rsidRDefault="00E52968" w:rsidP="00E52968">
      <w:pPr>
        <w:spacing w:after="240"/>
        <w:ind w:left="567" w:hanging="567"/>
        <w:rPr>
          <w:szCs w:val="24"/>
        </w:rPr>
      </w:pPr>
      <w:r w:rsidRPr="00E40D27">
        <w:t>5.</w:t>
      </w:r>
      <w:r w:rsidRPr="00E40D27">
        <w:tab/>
        <w:t>pažymi, kad Agentūra, laikydamasi savo strateginių tikslų ir Komisijos politikos, siekė paskirstyti branduolinio kuro ciklo tiekimo šaltinius elektros energijos ir ne elektros energijos reikmėms, taip pagerindama tiekimo saugumą vidutinės trukmės ir ilgalaikiu laikotarpiu;</w:t>
      </w:r>
    </w:p>
    <w:p w:rsidR="00E52968" w:rsidRPr="00E40D27" w:rsidRDefault="00E52968" w:rsidP="00E52968">
      <w:pPr>
        <w:spacing w:after="240"/>
        <w:ind w:left="567" w:hanging="567"/>
        <w:rPr>
          <w:szCs w:val="24"/>
        </w:rPr>
      </w:pPr>
      <w:r w:rsidRPr="00E40D27">
        <w:t>6.</w:t>
      </w:r>
      <w:r w:rsidRPr="00E40D27">
        <w:tab/>
        <w:t>pažymi, kad Agentūra yra atsakinga už rinkos stebėseną, kad nustatytų tendencijas, kurios gali turėti įtakos Sąjungos branduolinių medžiagų tiekimo ir paslaugų teikimo saugumui; be to, pažymi, kad Agentūra savo metinėje ataskaitoje paskelbė rinkos analizę, pateikė informacijos apie Sąjungos ir pasaulines branduolinės energijos rinkas ir dalijosi informacija bei žiniomis su kitomis tarptautinėmis rinkos analizės organizacijomis;</w:t>
      </w:r>
    </w:p>
    <w:p w:rsidR="00E52968" w:rsidRPr="00E40D27" w:rsidRDefault="00E52968" w:rsidP="00E52968">
      <w:pPr>
        <w:pStyle w:val="NormalHanging12a"/>
      </w:pPr>
      <w:r w:rsidRPr="00E40D27">
        <w:t>7.</w:t>
      </w:r>
      <w:r w:rsidRPr="00E40D27">
        <w:tab/>
        <w:t>palankiai vertina tai, kad 2022 m. Agentūra vadovavo veiklai, kuria siekiama užtikrinti medicininių radioaktyviųjų izotopų žaliavų tiekimą, padėjo įgyvendinti „Jonizuojančiosios spinduliuotės naudojimo medicinoje strateginę darbotvarkę (SAMIRA)“ ir vadovavo Europos medicininių radioaktyviųjų izotopų tiekimo stebėjimo centrui;</w:t>
      </w:r>
    </w:p>
    <w:p w:rsidR="00E52968" w:rsidRPr="00E40D27" w:rsidRDefault="00E52968" w:rsidP="00E52968">
      <w:pPr>
        <w:spacing w:after="240"/>
        <w:ind w:left="567" w:hanging="567"/>
        <w:rPr>
          <w:szCs w:val="24"/>
        </w:rPr>
      </w:pPr>
      <w:r w:rsidRPr="00E40D27">
        <w:t>8.</w:t>
      </w:r>
      <w:r w:rsidRPr="00E40D27">
        <w:tab/>
        <w:t>palankiai vertina Agentūros pastangas bendradarbiauti su partneriais ir suinteresuotaisiais subjektais siekiant sustiprinti branduolinių medžiagų tiekimo saugumą, atsižvelgiant į neteisėtą ir neišprovokuotą Rusijos invaziją į Ukrainą;</w:t>
      </w:r>
    </w:p>
    <w:p w:rsidR="00E52968" w:rsidRPr="00E40D27" w:rsidRDefault="00E52968" w:rsidP="00E52968">
      <w:pPr>
        <w:spacing w:after="240"/>
        <w:ind w:left="567" w:hanging="567"/>
        <w:rPr>
          <w:b/>
          <w:i/>
          <w:szCs w:val="24"/>
        </w:rPr>
      </w:pPr>
      <w:r w:rsidRPr="00E40D27">
        <w:rPr>
          <w:b/>
          <w:i/>
        </w:rPr>
        <w:t>Veiksmingumas ir nauda</w:t>
      </w:r>
    </w:p>
    <w:p w:rsidR="00E52968" w:rsidRPr="00E40D27" w:rsidRDefault="00E52968" w:rsidP="00E52968">
      <w:pPr>
        <w:spacing w:after="240"/>
        <w:ind w:left="567" w:hanging="567"/>
        <w:rPr>
          <w:szCs w:val="24"/>
        </w:rPr>
      </w:pPr>
      <w:r w:rsidRPr="00E40D27">
        <w:t>9.</w:t>
      </w:r>
      <w:r w:rsidRPr="00E40D27">
        <w:tab/>
        <w:t>pažymi, kad Agentūra glaudžiai bendradarbiavo su Komisija, siekdama skatinti tiekimo įvairinimą; taip pat pažymi, kad Agentūra jau seniai palaiko santykius branduolinės energijos srityje su Tarptautine atominės energijos agentūra ir Branduolinės energijos agentūra prie Ekonominio bendradarbiavimo ir plėtros organizacijos; atkreipia dėmesį į horizontaliąją bendradarbiavimo ir geriausios praktikos pritaikymo naudą ir tai, kad bendromis iniciatyvomis sutelkiamos įvairios perspektyvos, mažinamas pastangų dubliavimas, gerinamas mokymasis ir stiprinami dalyvių santykiai;</w:t>
      </w:r>
    </w:p>
    <w:p w:rsidR="00E52968" w:rsidRPr="00E40D27" w:rsidRDefault="00E52968" w:rsidP="00E52968">
      <w:pPr>
        <w:spacing w:after="240"/>
        <w:ind w:left="567" w:hanging="567"/>
        <w:rPr>
          <w:szCs w:val="24"/>
        </w:rPr>
      </w:pPr>
      <w:r w:rsidRPr="00E40D27">
        <w:lastRenderedPageBreak/>
        <w:t>10.</w:t>
      </w:r>
      <w:r w:rsidRPr="00E40D27">
        <w:tab/>
        <w:t>pažymi, kad Agentūra kuria NOEMI IT sistemą, kad būtų galima visapusiškai skaitmeniniu būdu apdoroti branduolinės energijos tiekimo sutartis ir rinkos informaciją, visapusiškai laikantis informacijos apsaugos taisyklių, ir tuo pat metu siekia išplėsti savo analitinius pajėgumus turimų duomenų srityje;</w:t>
      </w:r>
    </w:p>
    <w:p w:rsidR="00E52968" w:rsidRPr="00E40D27" w:rsidRDefault="00E52968" w:rsidP="00E52968">
      <w:pPr>
        <w:spacing w:after="240"/>
        <w:ind w:left="567" w:hanging="567"/>
        <w:rPr>
          <w:szCs w:val="24"/>
        </w:rPr>
      </w:pPr>
      <w:r w:rsidRPr="00E40D27">
        <w:t>11.</w:t>
      </w:r>
      <w:r w:rsidRPr="00E40D27">
        <w:tab/>
        <w:t>pažymi, kad Agentūra stengėsi padidinti veiksmingumą ir perskirstyti žmogiškuosius išteklius naujoms būsimoms užduotims ir iššūkiams spręsti; pažymi, kad tolesnis veiksmingumo didinimas būtų įmanomas tik naudojantis Komisijos sinergija ir parama teikiant specializuotas paramos funkcijas, plečiant organizacijos priemonių naudojimą ir padidinant asignavimus NOEMI IT sistemos vystymui; ragina Agentūrą rasti daugiau vidaus procedūrų, kurias būtų galima supaprastinti naudojant naujas IT priemones;</w:t>
      </w:r>
    </w:p>
    <w:p w:rsidR="00E52968" w:rsidRPr="00E40D27" w:rsidRDefault="00E52968" w:rsidP="00E52968">
      <w:pPr>
        <w:pStyle w:val="NormalHanging12a"/>
      </w:pPr>
      <w:r w:rsidRPr="00E40D27">
        <w:t>12.</w:t>
      </w:r>
      <w:r w:rsidRPr="00E40D27">
        <w:tab/>
        <w:t>primena, kad svarbu didinti Agentūros skaitmeninimą ne tik vidaus operacijų ir valdymo tikslais, bet ir siekiant paspartinti procedūrų skaitmeninimą; pabrėžia, kad Institucija turi ir toliau iniciatyviai veikti šioje srityje, kad bet kokia kaina būtų išvengta skaitmeninio atotrūkio tarp agentūrų; vis dėlto atkreipia dėmesį į tai, kad reikia imtis visų būtinų saugumo priemonių, kad būtų išvengta bet kokio pavojaus tvarkomos informacijos saugumui internete, primygtinai ragina kovoti su kibernetiniais išpuoliais ar bandymais įsiskverbti, visų pirma iš Rusijos ar Kinijos;</w:t>
      </w:r>
    </w:p>
    <w:p w:rsidR="00E52968" w:rsidRPr="00E40D27" w:rsidRDefault="00E52968" w:rsidP="00E52968">
      <w:pPr>
        <w:spacing w:after="240"/>
        <w:ind w:left="567" w:hanging="567"/>
        <w:rPr>
          <w:b/>
          <w:i/>
          <w:szCs w:val="24"/>
        </w:rPr>
      </w:pPr>
      <w:r w:rsidRPr="00E40D27">
        <w:rPr>
          <w:b/>
          <w:i/>
        </w:rPr>
        <w:t>Personalo politika</w:t>
      </w:r>
    </w:p>
    <w:p w:rsidR="00E52968" w:rsidRPr="00E40D27" w:rsidRDefault="00E52968" w:rsidP="00E52968">
      <w:pPr>
        <w:spacing w:after="240"/>
        <w:ind w:left="567" w:hanging="567"/>
        <w:rPr>
          <w:szCs w:val="24"/>
        </w:rPr>
      </w:pPr>
      <w:r w:rsidRPr="00E40D27">
        <w:t>13.</w:t>
      </w:r>
      <w:r w:rsidRPr="00E40D27">
        <w:tab/>
        <w:t>pažymi, kad 2022 m. gruodžio 31 d. personalo planas buvo įgyvendintas 100 proc., įdarbinant 17 nuolatinių darbuotojų, 8 administratorius, 7 padėjėjus ir 2 asistentus ir sekretorius; be to, pažymi, kad didesnį nei patvirtintą administratorių skaičių lėmė Komisijos patvirtintas vieno padėjėjo pareigybės paaukštinimas;</w:t>
      </w:r>
    </w:p>
    <w:p w:rsidR="00E52968" w:rsidRPr="00E40D27" w:rsidRDefault="00E52968" w:rsidP="00E52968">
      <w:pPr>
        <w:spacing w:after="240"/>
        <w:ind w:left="567" w:hanging="567"/>
        <w:rPr>
          <w:szCs w:val="24"/>
        </w:rPr>
      </w:pPr>
      <w:r w:rsidRPr="00E40D27">
        <w:t>14.</w:t>
      </w:r>
      <w:r w:rsidRPr="00E40D27">
        <w:tab/>
        <w:t>primena, kad Agentūrai sunku rasti žemesnio lygio padėjėjus, atsižvelgiant į reikiamą specializuotą profilį ir susijusį darbo užmokestį, palyginti su pragyvenimo išlaidomis Liuksemburge; vis dėlto pažymi, kad Agentūra, nepaisant savo pastangų, 2022 m. į nuolatines pareigas įdarbino 2 laikinuosius darbuotojus (1 padėjėjas ir 1 padėjėjas ir sekretorius);</w:t>
      </w:r>
    </w:p>
    <w:p w:rsidR="00E52968" w:rsidRPr="00E40D27" w:rsidRDefault="00E52968" w:rsidP="00E52968">
      <w:pPr>
        <w:spacing w:after="240"/>
        <w:ind w:left="567" w:hanging="567"/>
        <w:rPr>
          <w:szCs w:val="24"/>
        </w:rPr>
      </w:pPr>
      <w:r w:rsidRPr="00E40D27">
        <w:t>15.</w:t>
      </w:r>
      <w:r w:rsidRPr="00E40D27">
        <w:tab/>
        <w:t>pažymi, jog Agentūra pranešė, kad visų darbuotojų lyčių santykis buvo 59 proc. moterų ir 41 proc. vyrų ir tai atspindi lygių galimybių politikos siekį;</w:t>
      </w:r>
    </w:p>
    <w:p w:rsidR="00E52968" w:rsidRPr="00E40D27" w:rsidRDefault="00E52968" w:rsidP="00E52968">
      <w:pPr>
        <w:pStyle w:val="NormalHanging12a"/>
      </w:pPr>
      <w:r w:rsidRPr="00E40D27">
        <w:t>16.</w:t>
      </w:r>
      <w:r w:rsidRPr="00E40D27">
        <w:tab/>
        <w:t>primena, kad svarbu plėtoti ilgalaikę žmogiškųjų išteklių politiką, apimančią profesinio ir asmeninio gyvenimo pusiausvyrą, orientavimą visą gyvenimą, su karjeros raida susijusių konkrečių mokymosi galimybių pasiūlymus, lyčių pusiausvyrą visais darbuotojų lygmenimis, nuotolinio darbo, teisės atsijungti ir geografinės pusiausvyros didinimo, siekiant užtikrinti tinkamą atstovavimą visoms valstybėms narėms, klausimus, asmenų su negalia įdarbinimą, integravimą ir vienodo požiūrio į juos bei jų galimybių skatinimą;</w:t>
      </w:r>
    </w:p>
    <w:p w:rsidR="00E52968" w:rsidRPr="00E40D27" w:rsidRDefault="00E52968" w:rsidP="00E52968">
      <w:pPr>
        <w:spacing w:after="240"/>
        <w:ind w:left="567" w:hanging="567"/>
        <w:rPr>
          <w:b/>
          <w:i/>
          <w:szCs w:val="24"/>
        </w:rPr>
      </w:pPr>
      <w:r w:rsidRPr="00E40D27">
        <w:rPr>
          <w:b/>
          <w:i/>
        </w:rPr>
        <w:t>Viešieji pirkimai</w:t>
      </w:r>
    </w:p>
    <w:p w:rsidR="00E52968" w:rsidRPr="00E40D27" w:rsidRDefault="00E52968" w:rsidP="00E52968">
      <w:pPr>
        <w:spacing w:after="240"/>
        <w:ind w:left="567" w:hanging="567"/>
        <w:rPr>
          <w:rFonts w:eastAsia="Calibri"/>
          <w:szCs w:val="24"/>
        </w:rPr>
      </w:pPr>
      <w:r w:rsidRPr="00E40D27">
        <w:t>17.</w:t>
      </w:r>
      <w:r w:rsidRPr="00E40D27">
        <w:tab/>
        <w:t xml:space="preserve">remdamasis Audito Rūmų ataskaita atkreipia dėmesį į pastebėjimą, kad Agentūra sistemingai skirdavo mažos vertės sutartis (mažiau nei 15 000 EUR), neteikdama atitinkamų vertinimo ataskaitų ir sprendimų dėl sutarties skyrimo, o tai prieštarauja Finansinio reglamento I priedo 30.3 ir 30.4 punktams; taip pat atkreipia dėmesį į Agentūros atsakymą, kuriame atsižvelgiama į rekomendaciją ir visiems darbuotojams, </w:t>
      </w:r>
      <w:r w:rsidRPr="00E40D27">
        <w:lastRenderedPageBreak/>
        <w:t>dalyvaujantiems viešuosiuose pirkimuose ir finansų valdyme, bus teikiamos tinkamos gairės; ragina Instituciją gerinti savo viešųjų pirkimų procedūras, užtikrinančias, kad būtų visapusiškai laikomasi taikytinų taisyklių, kad būtų pasiektas ekonomiškai efektyviausias lėšų panaudojimas;</w:t>
      </w:r>
    </w:p>
    <w:p w:rsidR="00E52968" w:rsidRPr="00E40D27" w:rsidRDefault="00E52968" w:rsidP="00E52968">
      <w:pPr>
        <w:spacing w:after="240"/>
        <w:ind w:left="567" w:hanging="567"/>
        <w:rPr>
          <w:b/>
          <w:i/>
          <w:szCs w:val="24"/>
        </w:rPr>
      </w:pPr>
      <w:r w:rsidRPr="00E40D27">
        <w:rPr>
          <w:b/>
          <w:i/>
        </w:rPr>
        <w:t>Kitos pastabos</w:t>
      </w:r>
    </w:p>
    <w:p w:rsidR="00E52968" w:rsidRPr="00E40D27" w:rsidRDefault="00E52968" w:rsidP="00E52968">
      <w:pPr>
        <w:spacing w:after="240"/>
        <w:ind w:left="567" w:hanging="567"/>
        <w:rPr>
          <w:szCs w:val="24"/>
        </w:rPr>
      </w:pPr>
      <w:r w:rsidRPr="00E40D27">
        <w:t>18.</w:t>
      </w:r>
      <w:r w:rsidRPr="00E40D27">
        <w:tab/>
        <w:t>pažymi, kad Agentūra sustiprino patekimo į savo patalpas saugumą, visi darbuotojai ir visi išorės rangovai turi patikimumo pažymėjimus;</w:t>
      </w:r>
    </w:p>
    <w:p w:rsidR="00E52968" w:rsidRPr="00E40D27" w:rsidRDefault="00E52968" w:rsidP="00E52968">
      <w:pPr>
        <w:spacing w:after="240"/>
        <w:ind w:left="567" w:hanging="567"/>
        <w:rPr>
          <w:szCs w:val="24"/>
        </w:rPr>
      </w:pPr>
      <w:r w:rsidRPr="00E40D27">
        <w:t>19.</w:t>
      </w:r>
      <w:r w:rsidRPr="00E40D27">
        <w:tab/>
        <w:t>atkreipia dėmesį į tai, kad buvo atliktas NOEMI IT sistemos pažeidžiamumo vertinimas, kuris turi būti pakartotas po kiekvieno kūrimo etapo arba įgyvendinus visas rekomendacijas;</w:t>
      </w:r>
    </w:p>
    <w:p w:rsidR="00E52968" w:rsidRPr="00E40D27" w:rsidRDefault="00E52968" w:rsidP="00E52968">
      <w:pPr>
        <w:spacing w:after="240"/>
        <w:ind w:left="567" w:hanging="567"/>
        <w:rPr>
          <w:szCs w:val="24"/>
        </w:rPr>
      </w:pPr>
      <w:r w:rsidRPr="00E40D27">
        <w:t>20.</w:t>
      </w:r>
      <w:r w:rsidRPr="00E40D27">
        <w:tab/>
        <w:t>džiaugdamasis pažymi, kad 2022 m. rugsėjo mėn. Agentūra dalyvavo Pasaulio branduolinės energijos simpoziume Londone ir jame dalyvaujantiems svarbiausiems branduolinės pramonės lyderiams, ekspertams ir vadovams perdavė aiškią žinią, kad reikia kovoti su rizika, susijusia su nauja rinkos struktūra; be to, pažymi, kad Agentūros rinkos analizė ir perspektyvos buvo pristatytos Varšuvos saugumo forume ir Pasaulio branduolinio kuro ciklo forume ir buvo atstovaujama pirmojoje tarptautinėje branduolinės teisės konferencijoje ir Europos mokslinių tyrimų reaktoriaus konferencijoje; be to, pažymi, kad Agentūra prisidėjo prie Europos branduolinės energetikos draugijos renginių;</w:t>
      </w:r>
    </w:p>
    <w:p w:rsidR="00E52968" w:rsidRPr="00E40D27" w:rsidRDefault="00E52968" w:rsidP="00E52968">
      <w:pPr>
        <w:spacing w:after="240"/>
        <w:ind w:left="567" w:hanging="567"/>
        <w:rPr>
          <w:szCs w:val="24"/>
        </w:rPr>
      </w:pPr>
      <w:r w:rsidRPr="00E40D27">
        <w:t>21.</w:t>
      </w:r>
      <w:r w:rsidRPr="00E40D27">
        <w:tab/>
        <w:t>pažymi, kad Agentūra neskelbė aplinkosaugos ataskaitos ir neįgyvendino aplinkosaugos vadybos ir audito sistemos (EMAS); ragina Agentūrą teikti savo klimato srities rezultatų, energijos vartojimo efektyvumo ir aplinkosauginio veiksmingumo ataskaitas ir papildomai įgyvendinti EMAS;</w:t>
      </w:r>
    </w:p>
    <w:p w:rsidR="00E52968" w:rsidRPr="00E40D27" w:rsidRDefault="00E52968" w:rsidP="00E52968">
      <w:pPr>
        <w:pStyle w:val="NormalCenter12a"/>
      </w:pPr>
      <w:r w:rsidRPr="00E40D27">
        <w:t>°</w:t>
      </w:r>
    </w:p>
    <w:p w:rsidR="00E52968" w:rsidRPr="00E40D27" w:rsidRDefault="00E52968" w:rsidP="00E52968">
      <w:pPr>
        <w:pStyle w:val="NormalCenter12a"/>
      </w:pPr>
      <w:r w:rsidRPr="00E40D27">
        <w:t>°</w:t>
      </w:r>
      <w:r w:rsidRPr="00E40D27">
        <w:tab/>
        <w:t>°</w:t>
      </w:r>
    </w:p>
    <w:p w:rsidR="00E365E1" w:rsidRPr="00E40D27" w:rsidRDefault="00E52968" w:rsidP="0094633C">
      <w:pPr>
        <w:pStyle w:val="NormalHanging12a"/>
      </w:pPr>
      <w:r w:rsidRPr="00E40D27">
        <w:t>22.</w:t>
      </w:r>
      <w:r w:rsidRPr="00E40D27">
        <w:tab/>
        <w:t xml:space="preserve">pažymi, kad kitos su sprendimu dėl biudžeto įvykdymo patvirtinimo susijusios pastabos, kurios yra horizontaliojo pobūdžio, pateikiamos jo </w:t>
      </w:r>
      <w:r w:rsidR="00163024" w:rsidRPr="00E40D27">
        <w:t>2024 m. balandžio 11 d.</w:t>
      </w:r>
      <w:r w:rsidRPr="00E40D27">
        <w:rPr>
          <w:vertAlign w:val="superscript"/>
        </w:rPr>
        <w:footnoteReference w:id="9"/>
      </w:r>
      <w:r w:rsidRPr="00E40D27">
        <w:t xml:space="preserve"> rezoliucijoje dėl agentūrų veiklos, finansų valdymo ir kontrolės.</w:t>
      </w:r>
      <w:bookmarkStart w:id="11" w:name="TextBodyEnd"/>
      <w:bookmarkEnd w:id="11"/>
    </w:p>
    <w:sectPr w:rsidR="00E365E1" w:rsidRPr="00E40D27" w:rsidSect="005000C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4EF" w:rsidRPr="005000C3" w:rsidRDefault="00BD24EF">
      <w:r w:rsidRPr="005000C3">
        <w:separator/>
      </w:r>
    </w:p>
  </w:endnote>
  <w:endnote w:type="continuationSeparator" w:id="0">
    <w:p w:rsidR="00BD24EF" w:rsidRPr="005000C3" w:rsidRDefault="00BD24EF">
      <w:r w:rsidRPr="005000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968" w:rsidRPr="005000C3" w:rsidRDefault="00E52968" w:rsidP="00916113">
    <w:pPr>
      <w:pStyle w:val="EPFooter"/>
    </w:pPr>
    <w:r w:rsidRPr="005000C3">
      <w:t>PE</w:t>
    </w:r>
    <w:r w:rsidRPr="005000C3">
      <w:rPr>
        <w:rStyle w:val="HideTWBExt"/>
      </w:rPr>
      <w:t>&lt;NoPE&gt;</w:t>
    </w:r>
    <w:r w:rsidRPr="005000C3">
      <w:t>753.529</w:t>
    </w:r>
    <w:r w:rsidRPr="005000C3">
      <w:rPr>
        <w:rStyle w:val="HideTWBExt"/>
      </w:rPr>
      <w:t>&lt;/NoPE&gt;&lt;Version&gt;</w:t>
    </w:r>
    <w:r w:rsidRPr="005000C3">
      <w:t>v02-00</w:t>
    </w:r>
    <w:r w:rsidRPr="005000C3">
      <w:rPr>
        <w:rStyle w:val="HideTWBExt"/>
      </w:rPr>
      <w:t>&lt;/Version&gt;</w:t>
    </w:r>
    <w:r w:rsidRPr="005000C3">
      <w:tab/>
    </w:r>
    <w:r w:rsidRPr="005000C3">
      <w:fldChar w:fldCharType="begin"/>
    </w:r>
    <w:r w:rsidRPr="005000C3">
      <w:instrText xml:space="preserve"> PAGE  \* MERGEFORMAT </w:instrText>
    </w:r>
    <w:r w:rsidRPr="005000C3">
      <w:fldChar w:fldCharType="separate"/>
    </w:r>
    <w:r w:rsidR="005000C3" w:rsidRPr="005000C3">
      <w:rPr>
        <w:noProof/>
      </w:rPr>
      <w:t>2</w:t>
    </w:r>
    <w:r w:rsidRPr="005000C3">
      <w:fldChar w:fldCharType="end"/>
    </w:r>
    <w:r w:rsidRPr="005000C3">
      <w:t>/</w:t>
    </w:r>
    <w:fldSimple w:instr=" NUMPAGES  \* MERGEFORMAT ">
      <w:r w:rsidR="005000C3" w:rsidRPr="005000C3">
        <w:rPr>
          <w:noProof/>
        </w:rPr>
        <w:t>6</w:t>
      </w:r>
    </w:fldSimple>
    <w:r w:rsidRPr="005000C3">
      <w:tab/>
    </w:r>
    <w:r w:rsidRPr="005000C3">
      <w:rPr>
        <w:rStyle w:val="HideTWBExt"/>
      </w:rPr>
      <w:t>&lt;PathFdR&gt;</w:t>
    </w:r>
    <w:r w:rsidRPr="005000C3">
      <w:t>RR\1298833LT.docx</w:t>
    </w:r>
    <w:r w:rsidRPr="005000C3">
      <w:rPr>
        <w:rStyle w:val="HideTWBExt"/>
      </w:rPr>
      <w:t>&lt;/PathFdR&gt;</w:t>
    </w:r>
  </w:p>
  <w:p w:rsidR="00E52968" w:rsidRPr="005000C3" w:rsidRDefault="00E52968" w:rsidP="00916113">
    <w:pPr>
      <w:pStyle w:val="EPFooter2"/>
    </w:pPr>
    <w:r w:rsidRPr="005000C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968" w:rsidRPr="005000C3" w:rsidRDefault="00E52968" w:rsidP="00916113">
    <w:pPr>
      <w:pStyle w:val="EPFooter"/>
    </w:pPr>
    <w:r w:rsidRPr="005000C3">
      <w:rPr>
        <w:rStyle w:val="HideTWBExt"/>
      </w:rPr>
      <w:t>&lt;PathFdR&gt;</w:t>
    </w:r>
    <w:r w:rsidRPr="005000C3">
      <w:t>RR\1298833LT.docx</w:t>
    </w:r>
    <w:r w:rsidRPr="005000C3">
      <w:rPr>
        <w:rStyle w:val="HideTWBExt"/>
      </w:rPr>
      <w:t>&lt;/PathFdR&gt;</w:t>
    </w:r>
    <w:r w:rsidRPr="005000C3">
      <w:tab/>
    </w:r>
    <w:r w:rsidRPr="005000C3">
      <w:tab/>
      <w:t>PE</w:t>
    </w:r>
    <w:r w:rsidRPr="005000C3">
      <w:rPr>
        <w:rStyle w:val="HideTWBExt"/>
      </w:rPr>
      <w:t>&lt;NoPE&gt;</w:t>
    </w:r>
    <w:r w:rsidRPr="005000C3">
      <w:t>753.529</w:t>
    </w:r>
    <w:r w:rsidRPr="005000C3">
      <w:rPr>
        <w:rStyle w:val="HideTWBExt"/>
      </w:rPr>
      <w:t>&lt;/NoPE&gt;&lt;Version&gt;</w:t>
    </w:r>
    <w:r w:rsidRPr="005000C3">
      <w:t>v02-00</w:t>
    </w:r>
    <w:r w:rsidRPr="005000C3">
      <w:rPr>
        <w:rStyle w:val="HideTWBExt"/>
      </w:rPr>
      <w:t>&lt;/Version&gt;</w:t>
    </w:r>
  </w:p>
  <w:p w:rsidR="00E52968" w:rsidRPr="005000C3" w:rsidRDefault="00E52968" w:rsidP="00916113">
    <w:pPr>
      <w:pStyle w:val="EPFooter2"/>
    </w:pPr>
    <w:r w:rsidRPr="005000C3">
      <w:t>LT</w:t>
    </w:r>
    <w:r w:rsidRPr="005000C3">
      <w:tab/>
    </w:r>
    <w:r w:rsidRPr="005000C3">
      <w:rPr>
        <w:b w:val="0"/>
        <w:i/>
        <w:color w:val="C0C0C0"/>
        <w:sz w:val="22"/>
      </w:rPr>
      <w:t>Suvienijusi įvairovę</w:t>
    </w:r>
    <w:r w:rsidRPr="005000C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C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C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4EF" w:rsidRPr="005000C3" w:rsidRDefault="00BD24EF">
      <w:r w:rsidRPr="005000C3">
        <w:separator/>
      </w:r>
    </w:p>
  </w:footnote>
  <w:footnote w:type="continuationSeparator" w:id="0">
    <w:p w:rsidR="00BD24EF" w:rsidRPr="005000C3" w:rsidRDefault="00BD24EF">
      <w:r w:rsidRPr="005000C3">
        <w:continuationSeparator/>
      </w:r>
    </w:p>
  </w:footnote>
  <w:footnote w:id="1">
    <w:p w:rsidR="00E52968" w:rsidRPr="005000C3" w:rsidRDefault="00E52968" w:rsidP="005000C3">
      <w:pPr>
        <w:pStyle w:val="FootnoteText"/>
        <w:ind w:left="567" w:hanging="567"/>
        <w:rPr>
          <w:sz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C, C/2023/594, 2023 10 27.</w:t>
      </w:r>
    </w:p>
  </w:footnote>
  <w:footnote w:id="2">
    <w:p w:rsidR="00E52968" w:rsidRPr="005000C3" w:rsidRDefault="00E52968" w:rsidP="005000C3">
      <w:pPr>
        <w:pStyle w:val="FootnoteText"/>
        <w:ind w:left="567" w:hanging="567"/>
        <w:rPr>
          <w:sz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C, C/2023/112, 2023 10 12.</w:t>
      </w:r>
    </w:p>
  </w:footnote>
  <w:footnote w:id="3">
    <w:p w:rsidR="00E52968" w:rsidRPr="005000C3" w:rsidRDefault="00E52968" w:rsidP="005000C3">
      <w:pPr>
        <w:pStyle w:val="FootnoteText"/>
        <w:ind w:left="567" w:hanging="567"/>
        <w:rPr>
          <w:sz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L 193, 2018 7 30, p. 1.</w:t>
      </w:r>
    </w:p>
  </w:footnote>
  <w:footnote w:id="4">
    <w:p w:rsidR="00E52968" w:rsidRPr="005000C3" w:rsidRDefault="00E52968" w:rsidP="005000C3">
      <w:pPr>
        <w:pStyle w:val="FootnoteText"/>
        <w:ind w:left="567" w:hanging="567"/>
        <w:rPr>
          <w:sz w:val="24"/>
          <w:szCs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L 41, 2008 2 15, p. 15.</w:t>
      </w:r>
    </w:p>
  </w:footnote>
  <w:footnote w:id="5">
    <w:p w:rsidR="00E52968" w:rsidRPr="005000C3" w:rsidRDefault="00E52968" w:rsidP="005000C3">
      <w:pPr>
        <w:pStyle w:val="FootnoteText"/>
        <w:ind w:left="567" w:hanging="567"/>
        <w:rPr>
          <w:sz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C, C/2023/594, 2023 10 27.</w:t>
      </w:r>
    </w:p>
  </w:footnote>
  <w:footnote w:id="6">
    <w:p w:rsidR="00E52968" w:rsidRPr="005000C3" w:rsidRDefault="00E52968" w:rsidP="005000C3">
      <w:pPr>
        <w:pStyle w:val="FootnoteText"/>
        <w:ind w:left="567" w:hanging="567"/>
        <w:rPr>
          <w:sz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C, C/2023/112, 2023 10 12.</w:t>
      </w:r>
    </w:p>
  </w:footnote>
  <w:footnote w:id="7">
    <w:p w:rsidR="00E52968" w:rsidRPr="005000C3" w:rsidRDefault="00E52968" w:rsidP="005000C3">
      <w:pPr>
        <w:pStyle w:val="FootnoteText"/>
        <w:ind w:left="567" w:hanging="567"/>
        <w:rPr>
          <w:sz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L 193, 2018 7 30, p. 1.</w:t>
      </w:r>
    </w:p>
  </w:footnote>
  <w:footnote w:id="8">
    <w:p w:rsidR="00E52968" w:rsidRPr="005000C3" w:rsidRDefault="00E52968" w:rsidP="005000C3">
      <w:pPr>
        <w:pStyle w:val="FootnoteText"/>
        <w:ind w:left="567" w:hanging="567"/>
        <w:rPr>
          <w:sz w:val="24"/>
          <w:szCs w:val="24"/>
          <w:lang w:val="lt-LT"/>
        </w:rPr>
      </w:pPr>
      <w:r w:rsidRPr="005000C3">
        <w:rPr>
          <w:rStyle w:val="FootnoteReference"/>
          <w:sz w:val="24"/>
          <w:lang w:val="lt-LT"/>
        </w:rPr>
        <w:footnoteRef/>
      </w:r>
      <w:r w:rsidR="005000C3" w:rsidRPr="005000C3">
        <w:rPr>
          <w:sz w:val="24"/>
          <w:lang w:val="lt-LT"/>
        </w:rPr>
        <w:t xml:space="preserve"> </w:t>
      </w:r>
      <w:r w:rsidR="005000C3" w:rsidRPr="005000C3">
        <w:rPr>
          <w:sz w:val="24"/>
          <w:lang w:val="lt-LT"/>
        </w:rPr>
        <w:tab/>
      </w:r>
      <w:r w:rsidRPr="005000C3">
        <w:rPr>
          <w:sz w:val="24"/>
          <w:lang w:val="lt-LT"/>
        </w:rPr>
        <w:t>OL L 41, 2008 2 15, p. 15.</w:t>
      </w:r>
    </w:p>
  </w:footnote>
  <w:footnote w:id="9">
    <w:p w:rsidR="00E52968" w:rsidRPr="005000C3" w:rsidRDefault="00E52968" w:rsidP="005000C3">
      <w:pPr>
        <w:pStyle w:val="FootnoteText"/>
        <w:ind w:left="567" w:hanging="567"/>
        <w:rPr>
          <w:sz w:val="24"/>
          <w:lang w:val="lt-LT"/>
        </w:rPr>
      </w:pPr>
      <w:r w:rsidRPr="00672DC7">
        <w:rPr>
          <w:rStyle w:val="FootnoteReference"/>
          <w:sz w:val="24"/>
          <w:lang w:val="lt-LT"/>
        </w:rPr>
        <w:footnoteRef/>
      </w:r>
      <w:r w:rsidR="005000C3" w:rsidRPr="00672DC7">
        <w:rPr>
          <w:sz w:val="24"/>
          <w:lang w:val="lt-LT"/>
        </w:rPr>
        <w:t xml:space="preserve"> </w:t>
      </w:r>
      <w:r w:rsidR="005000C3" w:rsidRPr="00672DC7">
        <w:rPr>
          <w:sz w:val="24"/>
          <w:lang w:val="lt-LT"/>
        </w:rPr>
        <w:tab/>
      </w:r>
      <w:r w:rsidRPr="00E40D27">
        <w:rPr>
          <w:sz w:val="24"/>
          <w:lang w:val="lt-LT"/>
        </w:rPr>
        <w:t>Priimti tekstai, P9_TA(2024)0</w:t>
      </w:r>
      <w:r w:rsidR="00672DC7" w:rsidRPr="00E40D27">
        <w:rPr>
          <w:sz w:val="24"/>
          <w:lang w:val="lt-LT"/>
        </w:rPr>
        <w:t>280</w:t>
      </w:r>
      <w:r w:rsidRPr="00E40D27">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LT"/>
    <w:docVar w:name="dvnumam" w:val="0"/>
    <w:docVar w:name="dvpe" w:val="753.529"/>
    <w:docVar w:name="dvrapporteur" w:val="Pranešėjas: "/>
    <w:docVar w:name="dvtitre" w:val="1. 2024 m. balandzio 11 d. Europos Parlamento sprendimas dėl Euratomo tiekimo agentūros 2022 finansinių metų biudžeto įvykdymo patvirtinimo(2023/2161(DEC))"/>
  </w:docVars>
  <w:rsids>
    <w:rsidRoot w:val="00BD24EF"/>
    <w:rsid w:val="00002272"/>
    <w:rsid w:val="000606E8"/>
    <w:rsid w:val="00064002"/>
    <w:rsid w:val="000677B9"/>
    <w:rsid w:val="000831BA"/>
    <w:rsid w:val="000A42CC"/>
    <w:rsid w:val="000B0FF2"/>
    <w:rsid w:val="000E7DD9"/>
    <w:rsid w:val="000F2BFD"/>
    <w:rsid w:val="0010095E"/>
    <w:rsid w:val="00125B37"/>
    <w:rsid w:val="00135198"/>
    <w:rsid w:val="00163024"/>
    <w:rsid w:val="00187494"/>
    <w:rsid w:val="001F32AE"/>
    <w:rsid w:val="00210F3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0C3"/>
    <w:rsid w:val="0050519A"/>
    <w:rsid w:val="005072A1"/>
    <w:rsid w:val="00514517"/>
    <w:rsid w:val="00545827"/>
    <w:rsid w:val="00560270"/>
    <w:rsid w:val="005C2568"/>
    <w:rsid w:val="005C52FB"/>
    <w:rsid w:val="006037C0"/>
    <w:rsid w:val="006631B6"/>
    <w:rsid w:val="00672DC7"/>
    <w:rsid w:val="00673D38"/>
    <w:rsid w:val="00680577"/>
    <w:rsid w:val="006A0774"/>
    <w:rsid w:val="006F24D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33C"/>
    <w:rsid w:val="009509D8"/>
    <w:rsid w:val="00950B64"/>
    <w:rsid w:val="00981893"/>
    <w:rsid w:val="00A1687D"/>
    <w:rsid w:val="00A43E52"/>
    <w:rsid w:val="00A4678D"/>
    <w:rsid w:val="00A778C7"/>
    <w:rsid w:val="00AB441E"/>
    <w:rsid w:val="00AB6293"/>
    <w:rsid w:val="00AD268D"/>
    <w:rsid w:val="00AE0928"/>
    <w:rsid w:val="00AF3B82"/>
    <w:rsid w:val="00B12E95"/>
    <w:rsid w:val="00B22876"/>
    <w:rsid w:val="00B558F0"/>
    <w:rsid w:val="00BA6066"/>
    <w:rsid w:val="00BD24EF"/>
    <w:rsid w:val="00BD48FE"/>
    <w:rsid w:val="00BD7BD8"/>
    <w:rsid w:val="00BE6ADC"/>
    <w:rsid w:val="00C05BFE"/>
    <w:rsid w:val="00C23CD4"/>
    <w:rsid w:val="00C61C0C"/>
    <w:rsid w:val="00C941CB"/>
    <w:rsid w:val="00CA361E"/>
    <w:rsid w:val="00CC2357"/>
    <w:rsid w:val="00CF071A"/>
    <w:rsid w:val="00D058B8"/>
    <w:rsid w:val="00D14547"/>
    <w:rsid w:val="00D56C11"/>
    <w:rsid w:val="00D834A0"/>
    <w:rsid w:val="00D872DF"/>
    <w:rsid w:val="00D91E21"/>
    <w:rsid w:val="00DA7FCD"/>
    <w:rsid w:val="00E365E1"/>
    <w:rsid w:val="00E40D27"/>
    <w:rsid w:val="00E5296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22D1C"/>
  <w15:chartTrackingRefBased/>
  <w15:docId w15:val="{B2AADFC6-9300-49D4-A6BF-63FC0AD89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29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2968"/>
    <w:pPr>
      <w:spacing w:before="480" w:after="240"/>
    </w:pPr>
  </w:style>
  <w:style w:type="paragraph" w:customStyle="1" w:styleId="PageHeading">
    <w:name w:val="PageHeading"/>
    <w:basedOn w:val="Normal"/>
    <w:rsid w:val="00E52968"/>
    <w:pPr>
      <w:keepNext/>
      <w:spacing w:after="480"/>
      <w:jc w:val="center"/>
    </w:pPr>
    <w:rPr>
      <w:rFonts w:ascii="Arial" w:hAnsi="Arial" w:cs="Arial"/>
      <w:b/>
    </w:rPr>
  </w:style>
  <w:style w:type="paragraph" w:customStyle="1" w:styleId="NormalBold">
    <w:name w:val="NormalBold"/>
    <w:basedOn w:val="Normal"/>
    <w:rsid w:val="00E52968"/>
    <w:rPr>
      <w:b/>
    </w:rPr>
  </w:style>
  <w:style w:type="paragraph" w:customStyle="1" w:styleId="NormalHanging12a">
    <w:name w:val="NormalHanging12a"/>
    <w:basedOn w:val="Normal"/>
    <w:link w:val="NormalHanging12aChar"/>
    <w:rsid w:val="00E52968"/>
    <w:pPr>
      <w:spacing w:after="240"/>
      <w:ind w:left="567" w:hanging="567"/>
    </w:pPr>
  </w:style>
  <w:style w:type="paragraph" w:customStyle="1" w:styleId="NormalCenter12a">
    <w:name w:val="NormalCenter12a"/>
    <w:basedOn w:val="Normal"/>
    <w:rsid w:val="00E52968"/>
    <w:pPr>
      <w:spacing w:after="240"/>
      <w:jc w:val="center"/>
    </w:pPr>
  </w:style>
  <w:style w:type="paragraph" w:styleId="Header">
    <w:name w:val="header"/>
    <w:basedOn w:val="Normal"/>
    <w:link w:val="HeaderChar"/>
    <w:rsid w:val="00E52968"/>
    <w:pPr>
      <w:tabs>
        <w:tab w:val="center" w:pos="4513"/>
        <w:tab w:val="right" w:pos="9026"/>
      </w:tabs>
    </w:pPr>
  </w:style>
  <w:style w:type="character" w:customStyle="1" w:styleId="HeaderChar">
    <w:name w:val="Header Char"/>
    <w:basedOn w:val="DefaultParagraphFont"/>
    <w:link w:val="Header"/>
    <w:rsid w:val="00E52968"/>
    <w:rPr>
      <w:sz w:val="24"/>
      <w:lang w:val="lt-LT"/>
    </w:rPr>
  </w:style>
  <w:style w:type="paragraph" w:customStyle="1" w:styleId="EPFooter">
    <w:name w:val="EPFooter"/>
    <w:basedOn w:val="Normal"/>
    <w:rsid w:val="00E5296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52968"/>
    <w:rPr>
      <w:sz w:val="24"/>
      <w:lang w:val="lt-LT"/>
    </w:rPr>
  </w:style>
  <w:style w:type="paragraph" w:styleId="BalloonText">
    <w:name w:val="Balloon Text"/>
    <w:basedOn w:val="Normal"/>
    <w:link w:val="BalloonTextChar"/>
    <w:rsid w:val="00210F3F"/>
    <w:rPr>
      <w:rFonts w:ascii="Segoe UI" w:hAnsi="Segoe UI" w:cs="Segoe UI"/>
      <w:sz w:val="18"/>
      <w:szCs w:val="18"/>
    </w:rPr>
  </w:style>
  <w:style w:type="character" w:customStyle="1" w:styleId="BalloonTextChar">
    <w:name w:val="Balloon Text Char"/>
    <w:basedOn w:val="DefaultParagraphFont"/>
    <w:link w:val="BalloonText"/>
    <w:rsid w:val="00210F3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86103-0391-463E-99E4-1379CE52B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1967</Words>
  <Characters>13446</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2024-04-11T16:41:00Z</dcterms:created>
  <dcterms:modified xsi:type="dcterms:W3CDTF">2024-04-11T16:41:00Z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A9-0108/2024</vt:lpwstr>
  </property>
  <property fmtid="{D5CDD505-2E9C-101B-9397-08002B2CF9AE}" pid="4" name="&lt;Type&gt;">
    <vt:lpwstr>RR</vt:lpwstr>
  </property>
</Properties>
</file>