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39AA" w:rsidTr="0010095E">
        <w:trPr>
          <w:trHeight w:hRule="exact" w:val="1418"/>
        </w:trPr>
        <w:tc>
          <w:tcPr>
            <w:tcW w:w="6804" w:type="dxa"/>
            <w:shd w:val="clear" w:color="auto" w:fill="auto"/>
            <w:vAlign w:val="center"/>
          </w:tcPr>
          <w:p w:rsidR="00751A4A" w:rsidRPr="00B739AA" w:rsidRDefault="00DE6643" w:rsidP="0010095E">
            <w:pPr>
              <w:pStyle w:val="EPName"/>
            </w:pPr>
            <w:r w:rsidRPr="00B739AA">
              <w:t>Eiropas Parlaments</w:t>
            </w:r>
          </w:p>
          <w:p w:rsidR="00751A4A" w:rsidRPr="00B739AA" w:rsidRDefault="00817416" w:rsidP="00756632">
            <w:pPr>
              <w:pStyle w:val="EPTerm"/>
              <w:rPr>
                <w:rStyle w:val="HideTWBExt"/>
                <w:noProof w:val="0"/>
                <w:vanish w:val="0"/>
                <w:color w:val="auto"/>
              </w:rPr>
            </w:pPr>
            <w:r w:rsidRPr="00B739AA">
              <w:t>2019-2024</w:t>
            </w:r>
          </w:p>
        </w:tc>
        <w:tc>
          <w:tcPr>
            <w:tcW w:w="2268" w:type="dxa"/>
            <w:shd w:val="clear" w:color="auto" w:fill="auto"/>
          </w:tcPr>
          <w:p w:rsidR="00751A4A" w:rsidRPr="00B739AA" w:rsidRDefault="00187494" w:rsidP="0010095E">
            <w:pPr>
              <w:pStyle w:val="EPLogo"/>
            </w:pPr>
            <w:r w:rsidRPr="00B739A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39AA" w:rsidRDefault="00D058B8" w:rsidP="004C5D52">
      <w:pPr>
        <w:pStyle w:val="LineTop"/>
      </w:pPr>
    </w:p>
    <w:p w:rsidR="00680577" w:rsidRPr="00B739AA" w:rsidRDefault="00DE6643" w:rsidP="00680577">
      <w:pPr>
        <w:pStyle w:val="EPBodyTA1"/>
      </w:pPr>
      <w:r w:rsidRPr="00B739AA">
        <w:t>PIEŅEMTIE TEKSTI</w:t>
      </w:r>
    </w:p>
    <w:p w:rsidR="00D058B8" w:rsidRPr="00B739AA" w:rsidRDefault="00D058B8" w:rsidP="00D058B8">
      <w:pPr>
        <w:pStyle w:val="LineBottom"/>
      </w:pPr>
    </w:p>
    <w:p w:rsidR="00DE6643" w:rsidRPr="00B739AA" w:rsidRDefault="00DE6643" w:rsidP="00DE6643">
      <w:pPr>
        <w:pStyle w:val="ATHeading1"/>
      </w:pPr>
      <w:bookmarkStart w:id="0" w:name="TANumber"/>
      <w:r w:rsidRPr="00B739AA">
        <w:t>P9_TA(2024)0</w:t>
      </w:r>
      <w:r w:rsidR="00B739AA" w:rsidRPr="00B739AA">
        <w:t>259</w:t>
      </w:r>
      <w:bookmarkEnd w:id="0"/>
    </w:p>
    <w:p w:rsidR="00DE6643" w:rsidRPr="00B739AA" w:rsidRDefault="00FD3B5A" w:rsidP="00DE6643">
      <w:pPr>
        <w:pStyle w:val="ATHeading2"/>
      </w:pPr>
      <w:bookmarkStart w:id="1" w:name="title"/>
      <w:r w:rsidRPr="00B739AA">
        <w:t xml:space="preserve">2022. finanšu gada budžeta izpildes apstiprināšana: </w:t>
      </w:r>
      <w:r w:rsidRPr="00B739AA">
        <w:rPr>
          <w:i/>
        </w:rPr>
        <w:t>Euratom</w:t>
      </w:r>
      <w:r w:rsidRPr="00B739AA">
        <w:t xml:space="preserve"> Apgādes aģentūra</w:t>
      </w:r>
      <w:bookmarkEnd w:id="1"/>
    </w:p>
    <w:p w:rsidR="00DE6643" w:rsidRPr="00B739AA" w:rsidRDefault="00DE6643" w:rsidP="00DE6643">
      <w:pPr>
        <w:rPr>
          <w:i/>
          <w:vanish/>
        </w:rPr>
      </w:pPr>
      <w:r w:rsidRPr="00B739AA">
        <w:rPr>
          <w:i/>
        </w:rPr>
        <w:fldChar w:fldCharType="begin"/>
      </w:r>
      <w:r w:rsidRPr="00B739AA">
        <w:rPr>
          <w:i/>
        </w:rPr>
        <w:instrText xml:space="preserve"> TC"(</w:instrText>
      </w:r>
      <w:bookmarkStart w:id="2" w:name="DocNumber"/>
      <w:r w:rsidRPr="00B739AA">
        <w:rPr>
          <w:i/>
        </w:rPr>
        <w:instrText>A9-0108/2024</w:instrText>
      </w:r>
      <w:bookmarkEnd w:id="2"/>
      <w:r w:rsidRPr="00B739AA">
        <w:rPr>
          <w:i/>
        </w:rPr>
        <w:instrText xml:space="preserve"> - Referents: Petri Sarvamaa)"\l3 \n&gt; \* MERGEFORMAT </w:instrText>
      </w:r>
      <w:r w:rsidRPr="00B739AA">
        <w:rPr>
          <w:i/>
        </w:rPr>
        <w:fldChar w:fldCharType="end"/>
      </w:r>
    </w:p>
    <w:p w:rsidR="00DE6643" w:rsidRPr="00B739AA" w:rsidRDefault="00DE6643" w:rsidP="00DE6643">
      <w:pPr>
        <w:rPr>
          <w:vanish/>
        </w:rPr>
      </w:pPr>
      <w:bookmarkStart w:id="3" w:name="Commission"/>
      <w:r w:rsidRPr="00B739AA">
        <w:rPr>
          <w:vanish/>
        </w:rPr>
        <w:t>Budžeta kontroles komiteja</w:t>
      </w:r>
      <w:bookmarkEnd w:id="3"/>
    </w:p>
    <w:p w:rsidR="00DE6643" w:rsidRPr="00B739AA" w:rsidRDefault="00DE6643" w:rsidP="00DE6643">
      <w:pPr>
        <w:rPr>
          <w:vanish/>
        </w:rPr>
      </w:pPr>
      <w:bookmarkStart w:id="4" w:name="PE"/>
      <w:r w:rsidRPr="00B739AA">
        <w:rPr>
          <w:vanish/>
        </w:rPr>
        <w:t>PE753.529</w:t>
      </w:r>
      <w:bookmarkEnd w:id="4"/>
    </w:p>
    <w:p w:rsidR="00DE6643" w:rsidRPr="00B739AA" w:rsidRDefault="00FD3B5A" w:rsidP="00DE6643">
      <w:pPr>
        <w:pStyle w:val="ATHeading3"/>
      </w:pPr>
      <w:bookmarkStart w:id="5" w:name="Sujet"/>
      <w:r w:rsidRPr="00B739AA">
        <w:t>1. E</w:t>
      </w:r>
      <w:r w:rsidR="00DE6643" w:rsidRPr="00B739AA">
        <w:t xml:space="preserve">iropas Parlamenta 2024. gada </w:t>
      </w:r>
      <w:r w:rsidRPr="00B739AA">
        <w:t>11. aprīļa</w:t>
      </w:r>
      <w:r w:rsidR="00DE6643" w:rsidRPr="00B739AA">
        <w:t xml:space="preserve"> lēmums par </w:t>
      </w:r>
      <w:r w:rsidR="00DE6643" w:rsidRPr="00B739AA">
        <w:rPr>
          <w:i/>
        </w:rPr>
        <w:t>Euratom</w:t>
      </w:r>
      <w:r w:rsidR="00DE6643" w:rsidRPr="00B739AA">
        <w:t xml:space="preserve"> Apgādes aģentūras 2022. finanšu gada budžeta izpildes apstiprināšanu</w:t>
      </w:r>
      <w:bookmarkEnd w:id="5"/>
      <w:r w:rsidR="00DE6643" w:rsidRPr="00B739AA">
        <w:t xml:space="preserve"> </w:t>
      </w:r>
      <w:bookmarkStart w:id="6" w:name="References"/>
      <w:r w:rsidR="00DE6643" w:rsidRPr="00B739AA">
        <w:t>(2023/2161(DEC))</w:t>
      </w:r>
      <w:bookmarkEnd w:id="6"/>
    </w:p>
    <w:p w:rsidR="00DE6643" w:rsidRPr="00B739AA" w:rsidRDefault="00DE6643" w:rsidP="00DE6643"/>
    <w:p w:rsidR="009F508F" w:rsidRPr="00B739AA" w:rsidRDefault="009F508F" w:rsidP="009F508F">
      <w:pPr>
        <w:pStyle w:val="EPComma"/>
      </w:pPr>
      <w:bookmarkStart w:id="7" w:name="TextBodyBegin"/>
      <w:bookmarkEnd w:id="7"/>
      <w:r w:rsidRPr="00B739AA">
        <w:rPr>
          <w:i/>
        </w:rPr>
        <w:t>Eiropas Parlaments</w:t>
      </w:r>
      <w:r w:rsidRPr="00B739AA">
        <w:t>,</w:t>
      </w:r>
    </w:p>
    <w:p w:rsidR="009F508F" w:rsidRPr="00B739AA" w:rsidRDefault="009F508F" w:rsidP="009F508F">
      <w:pPr>
        <w:pStyle w:val="NormalHanging12a"/>
      </w:pPr>
      <w:r w:rsidRPr="00B739AA">
        <w:t>–</w:t>
      </w:r>
      <w:r w:rsidRPr="00B739AA">
        <w:tab/>
        <w:t xml:space="preserve">ņemot vērā </w:t>
      </w:r>
      <w:r w:rsidRPr="00B739AA">
        <w:rPr>
          <w:i/>
        </w:rPr>
        <w:t>Euratom</w:t>
      </w:r>
      <w:r w:rsidRPr="00B739AA">
        <w:t xml:space="preserve"> Apgādes aģentūras 2022. finanšu gada galīgos pārskatus,</w:t>
      </w:r>
    </w:p>
    <w:p w:rsidR="009F508F" w:rsidRPr="00B739AA" w:rsidRDefault="009F508F" w:rsidP="009F508F">
      <w:pPr>
        <w:pStyle w:val="NormalHanging12a"/>
      </w:pPr>
      <w:r w:rsidRPr="00B739AA">
        <w:t>–</w:t>
      </w:r>
      <w:r w:rsidRPr="00B739AA">
        <w:tab/>
        <w:t>ņemot vērā Revīzijas palātas gada ziņojumu par ES aģentūrām attiecībā uz 2022. finanšu gadu ar aģentūru atbildēm</w:t>
      </w:r>
      <w:r w:rsidRPr="00B739AA">
        <w:rPr>
          <w:rStyle w:val="FootnoteReference"/>
        </w:rPr>
        <w:footnoteReference w:id="1"/>
      </w:r>
      <w:r w:rsidRPr="00B739AA">
        <w:t>,</w:t>
      </w:r>
    </w:p>
    <w:p w:rsidR="009F508F" w:rsidRPr="00B739AA" w:rsidRDefault="009F508F" w:rsidP="009F508F">
      <w:pPr>
        <w:pStyle w:val="NormalHanging12a"/>
      </w:pPr>
      <w:r w:rsidRPr="00B739AA">
        <w:t>–</w:t>
      </w:r>
      <w:r w:rsidRPr="00B739AA">
        <w:tab/>
        <w:t>ņemot vērā deklarāciju</w:t>
      </w:r>
      <w:r w:rsidRPr="00B739AA">
        <w:rPr>
          <w:rStyle w:val="FootnoteReference"/>
        </w:rPr>
        <w:footnoteReference w:id="2"/>
      </w:r>
      <w:r w:rsidRPr="00B739AA">
        <w:t xml:space="preserve"> par pārskatu ticamību, kā arī par pakārtoto darījumu likumību un pareizību, kuru Revīzijas palāta sniegusi par 2022. finanšu gadu saskaņā ar Līguma par Eiropas Savienības darbību 287. pantu,</w:t>
      </w:r>
    </w:p>
    <w:p w:rsidR="009F508F" w:rsidRPr="00B739AA" w:rsidRDefault="009F508F" w:rsidP="009F508F">
      <w:pPr>
        <w:pStyle w:val="NormalHanging12a"/>
      </w:pPr>
      <w:r w:rsidRPr="00B739AA">
        <w:t>–</w:t>
      </w:r>
      <w:r w:rsidRPr="00B739AA">
        <w:tab/>
        <w:t>ņemot vērā Padomes 2024. gada 22. februāra ieteikumu par apstiprinājumu, ko sniedz Aģentūrai par 2022. finanšu gada budžeta izpildi (</w:t>
      </w:r>
      <w:r w:rsidR="00FD3B5A" w:rsidRPr="00B739AA">
        <w:t>06180</w:t>
      </w:r>
      <w:r w:rsidRPr="00B739AA">
        <w:t>/2024 – C9</w:t>
      </w:r>
      <w:r w:rsidRPr="00B739AA">
        <w:noBreakHyphen/>
      </w:r>
      <w:r w:rsidR="00FD3B5A" w:rsidRPr="00B739AA">
        <w:t>0099</w:t>
      </w:r>
      <w:r w:rsidRPr="00B739AA">
        <w:t>/2024),</w:t>
      </w:r>
    </w:p>
    <w:p w:rsidR="009F508F" w:rsidRPr="00B739AA" w:rsidRDefault="009F508F" w:rsidP="009F508F">
      <w:pPr>
        <w:pStyle w:val="NormalHanging12a"/>
      </w:pPr>
      <w:r w:rsidRPr="00B739AA">
        <w:t>–</w:t>
      </w:r>
      <w:r w:rsidRPr="00B739AA">
        <w:tab/>
        <w:t>ņemot vērā Līguma par Eiropas Savienības darbību 319. pantu,</w:t>
      </w:r>
    </w:p>
    <w:p w:rsidR="009F508F" w:rsidRPr="00B739AA" w:rsidRDefault="009F508F" w:rsidP="009F508F">
      <w:pPr>
        <w:pStyle w:val="NormalHanging12a"/>
      </w:pPr>
      <w:r w:rsidRPr="00B739AA">
        <w:t>–</w:t>
      </w:r>
      <w:r w:rsidRPr="00B739AA">
        <w:tab/>
        <w:t>ņemot vērā Eiropas Atomenerģijas kopienas dibināšanas līguma 106.a pantu,</w:t>
      </w:r>
    </w:p>
    <w:p w:rsidR="009F508F" w:rsidRPr="00B739AA" w:rsidRDefault="009F508F" w:rsidP="009F508F">
      <w:pPr>
        <w:pStyle w:val="NormalHanging12a"/>
      </w:pPr>
      <w:r w:rsidRPr="00B739AA">
        <w:t>–</w:t>
      </w:r>
      <w:r w:rsidRPr="00B739AA">
        <w:tab/>
        <w:t xml:space="preserve">ņemot vērā Eiropas Parlamenta un Padomes 2018. gada 18. jūlija Regulu (ES, </w:t>
      </w:r>
      <w:r w:rsidRPr="00B739AA">
        <w:rPr>
          <w:i/>
        </w:rPr>
        <w:t>Euratom</w:t>
      </w:r>
      <w:r w:rsidRPr="00B739AA">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B739AA">
        <w:rPr>
          <w:i/>
        </w:rPr>
        <w:t>Euratom</w:t>
      </w:r>
      <w:r w:rsidRPr="00B739AA">
        <w:t>) Nr. 966/2012</w:t>
      </w:r>
      <w:r w:rsidRPr="00B739AA">
        <w:rPr>
          <w:rStyle w:val="FootnoteReference"/>
        </w:rPr>
        <w:footnoteReference w:id="3"/>
      </w:r>
      <w:r w:rsidRPr="00B739AA">
        <w:t>, un jo īpaši tās 68. pantu,</w:t>
      </w:r>
    </w:p>
    <w:p w:rsidR="009F508F" w:rsidRPr="00B739AA" w:rsidRDefault="009F508F" w:rsidP="009F508F">
      <w:pPr>
        <w:pStyle w:val="NormalHanging12a"/>
      </w:pPr>
      <w:r w:rsidRPr="00B739AA">
        <w:lastRenderedPageBreak/>
        <w:t>–</w:t>
      </w:r>
      <w:r w:rsidRPr="00B739AA">
        <w:tab/>
        <w:t xml:space="preserve">ņemot vērā Padomes 2008. gada 12. februāra Lēmumu 2008/114/EK, </w:t>
      </w:r>
      <w:r w:rsidRPr="00B739AA">
        <w:rPr>
          <w:i/>
        </w:rPr>
        <w:t>Euratom</w:t>
      </w:r>
      <w:r w:rsidRPr="00B739AA">
        <w:t xml:space="preserve">, ar ko nosaka </w:t>
      </w:r>
      <w:r w:rsidRPr="00B739AA">
        <w:rPr>
          <w:i/>
        </w:rPr>
        <w:t>Euratom</w:t>
      </w:r>
      <w:r w:rsidRPr="00B739AA">
        <w:t xml:space="preserve"> Apgādes aģentūras statūtus</w:t>
      </w:r>
      <w:r w:rsidRPr="00B739AA">
        <w:rPr>
          <w:rStyle w:val="FootnoteReference"/>
        </w:rPr>
        <w:footnoteReference w:id="4"/>
      </w:r>
      <w:r w:rsidRPr="00B739AA">
        <w:t>, un jo īpaši tā pielikuma 8. pantu,</w:t>
      </w:r>
    </w:p>
    <w:p w:rsidR="009F508F" w:rsidRPr="00B739AA" w:rsidRDefault="009F508F" w:rsidP="009F508F">
      <w:pPr>
        <w:pStyle w:val="NormalHanging12a"/>
      </w:pPr>
      <w:r w:rsidRPr="00B739AA">
        <w:t>–</w:t>
      </w:r>
      <w:r w:rsidRPr="00B739AA">
        <w:tab/>
        <w:t>ņemot vērā Reglamenta 100. pantu un V pielikumu,</w:t>
      </w:r>
    </w:p>
    <w:p w:rsidR="009F508F" w:rsidRPr="00B739AA" w:rsidRDefault="009F508F" w:rsidP="009F508F">
      <w:pPr>
        <w:pStyle w:val="NormalHanging12a"/>
      </w:pPr>
      <w:r w:rsidRPr="00B739AA">
        <w:t>–</w:t>
      </w:r>
      <w:r w:rsidRPr="00B739AA">
        <w:tab/>
        <w:t>ņemot vērā Budžeta kontroles komitejas ziņojumu (A9</w:t>
      </w:r>
      <w:r w:rsidRPr="00B739AA">
        <w:noBreakHyphen/>
        <w:t>0108/2024),</w:t>
      </w:r>
    </w:p>
    <w:p w:rsidR="009F508F" w:rsidRPr="00B739AA" w:rsidRDefault="009F508F" w:rsidP="009F508F">
      <w:pPr>
        <w:pStyle w:val="NormalHanging12a"/>
      </w:pPr>
      <w:r w:rsidRPr="00B739AA">
        <w:t>1.</w:t>
      </w:r>
      <w:r w:rsidRPr="00B739AA">
        <w:tab/>
        <w:t xml:space="preserve">sniedz </w:t>
      </w:r>
      <w:r w:rsidRPr="00B739AA">
        <w:rPr>
          <w:i/>
        </w:rPr>
        <w:t>Euratom</w:t>
      </w:r>
      <w:r w:rsidRPr="00B739AA">
        <w:t xml:space="preserve"> Apgādes aģentūras ģenerāldirektora pienākumu izpildītājam apstiprinājumu par Aģentūras 2022. finanšu gada budžeta izpildi;</w:t>
      </w:r>
    </w:p>
    <w:p w:rsidR="009F508F" w:rsidRPr="00B739AA" w:rsidRDefault="009F508F" w:rsidP="009F508F">
      <w:pPr>
        <w:pStyle w:val="NormalHanging12a"/>
      </w:pPr>
      <w:r w:rsidRPr="00B739AA">
        <w:t>2.</w:t>
      </w:r>
      <w:r w:rsidRPr="00B739AA">
        <w:tab/>
        <w:t>izklāsta savus konstatējumus turpmāk tekstā iekļautajā rezolūcijā;</w:t>
      </w:r>
    </w:p>
    <w:p w:rsidR="009F508F" w:rsidRPr="00B739AA" w:rsidRDefault="009F508F" w:rsidP="009F508F">
      <w:pPr>
        <w:pStyle w:val="NormalHanging12a"/>
      </w:pPr>
      <w:r w:rsidRPr="00B739AA">
        <w:t>3.</w:t>
      </w:r>
      <w:r w:rsidRPr="00B739AA">
        <w:tab/>
        <w:t xml:space="preserve">uzdod priekšsēdētājai šo lēmumu un rezolūciju, kas ir tā neatņemama daļa, nosūtīt </w:t>
      </w:r>
      <w:r w:rsidRPr="00B739AA">
        <w:rPr>
          <w:i/>
        </w:rPr>
        <w:t>Euratom</w:t>
      </w:r>
      <w:r w:rsidRPr="00B739AA">
        <w:t xml:space="preserve"> Apgādes aģentūras ģenerāldirektora pienākumu izpildītājam, Padomei, Komisijai un Revīzijas palātai un nodrošināt to publicēšanu </w:t>
      </w:r>
      <w:r w:rsidRPr="00B739AA">
        <w:rPr>
          <w:i/>
        </w:rPr>
        <w:t>Eiropas Savienības Oficiālajā Vēstnesī</w:t>
      </w:r>
      <w:r w:rsidRPr="00B739AA">
        <w:t xml:space="preserve"> (L sērijā).</w:t>
      </w:r>
    </w:p>
    <w:p w:rsidR="009F508F" w:rsidRPr="00B739AA" w:rsidRDefault="009F508F" w:rsidP="009F508F"/>
    <w:p w:rsidR="009F508F" w:rsidRPr="00B739AA" w:rsidRDefault="009F508F" w:rsidP="009F508F">
      <w:pPr>
        <w:pStyle w:val="PageHeading"/>
        <w:sectPr w:rsidR="009F508F" w:rsidRPr="00B739AA" w:rsidSect="00C323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F508F" w:rsidRPr="00B739AA" w:rsidRDefault="00FD3B5A" w:rsidP="009F508F">
      <w:pPr>
        <w:pStyle w:val="NormalBold"/>
      </w:pPr>
      <w:bookmarkStart w:id="8" w:name="_Toc161913092"/>
      <w:r w:rsidRPr="00B739AA">
        <w:t xml:space="preserve">2. Eiropas Parlamenta 2024. gada 11. aprīļa lēmums par </w:t>
      </w:r>
      <w:bookmarkEnd w:id="8"/>
      <w:r w:rsidR="009F508F" w:rsidRPr="00B739AA">
        <w:rPr>
          <w:i/>
        </w:rPr>
        <w:t>Euratom</w:t>
      </w:r>
      <w:r w:rsidR="009F508F" w:rsidRPr="00B739AA">
        <w:t xml:space="preserve"> Apgādes aģentūras 2022. finanšu gada pārskatu apstiprināšanu</w:t>
      </w:r>
      <w:r w:rsidRPr="00B739AA">
        <w:t xml:space="preserve"> </w:t>
      </w:r>
      <w:r w:rsidR="009F508F" w:rsidRPr="00B739AA">
        <w:t>(2023/2161(DEC))</w:t>
      </w:r>
    </w:p>
    <w:p w:rsidR="009F508F" w:rsidRPr="00B739AA" w:rsidRDefault="009F508F" w:rsidP="009F508F">
      <w:pPr>
        <w:pStyle w:val="EPComma"/>
      </w:pPr>
      <w:r w:rsidRPr="00B739AA">
        <w:rPr>
          <w:i/>
        </w:rPr>
        <w:t>Eiropas Parlaments</w:t>
      </w:r>
      <w:r w:rsidRPr="00B739AA">
        <w:t>,</w:t>
      </w:r>
    </w:p>
    <w:p w:rsidR="009F508F" w:rsidRPr="00B739AA" w:rsidRDefault="009F508F" w:rsidP="009F508F">
      <w:pPr>
        <w:pStyle w:val="NormalHanging12a"/>
      </w:pPr>
      <w:r w:rsidRPr="00B739AA">
        <w:t>–</w:t>
      </w:r>
      <w:r w:rsidRPr="00B739AA">
        <w:tab/>
        <w:t xml:space="preserve">ņemot vērā </w:t>
      </w:r>
      <w:r w:rsidRPr="00B739AA">
        <w:rPr>
          <w:i/>
        </w:rPr>
        <w:t>Euratom</w:t>
      </w:r>
      <w:r w:rsidRPr="00B739AA">
        <w:t xml:space="preserve"> Apgādes aģentūras 2022. finanšu gada galīgos pārskatus,</w:t>
      </w:r>
    </w:p>
    <w:p w:rsidR="009F508F" w:rsidRPr="00B739AA" w:rsidRDefault="009F508F" w:rsidP="009F508F">
      <w:pPr>
        <w:pStyle w:val="NormalHanging12a"/>
      </w:pPr>
      <w:r w:rsidRPr="00B739AA">
        <w:t>–</w:t>
      </w:r>
      <w:r w:rsidRPr="00B739AA">
        <w:tab/>
        <w:t>ņemot vērā Revīzijas palātas gada ziņojumu par ES aģentūrām attiecībā uz 2022. finanšu gadu ar aģentūru atbildēm</w:t>
      </w:r>
      <w:r w:rsidRPr="00B739AA">
        <w:rPr>
          <w:rStyle w:val="FootnoteReference"/>
        </w:rPr>
        <w:footnoteReference w:id="5"/>
      </w:r>
      <w:r w:rsidRPr="00B739AA">
        <w:t>,</w:t>
      </w:r>
    </w:p>
    <w:p w:rsidR="009F508F" w:rsidRPr="00B739AA" w:rsidRDefault="009F508F" w:rsidP="009F508F">
      <w:pPr>
        <w:pStyle w:val="NormalHanging12a"/>
      </w:pPr>
      <w:r w:rsidRPr="00B739AA">
        <w:t>–</w:t>
      </w:r>
      <w:r w:rsidRPr="00B739AA">
        <w:tab/>
        <w:t>ņemot vērā deklarāciju</w:t>
      </w:r>
      <w:r w:rsidRPr="00B739AA">
        <w:rPr>
          <w:rStyle w:val="FootnoteReference"/>
        </w:rPr>
        <w:footnoteReference w:id="6"/>
      </w:r>
      <w:r w:rsidRPr="00B739AA">
        <w:t xml:space="preserve"> par pārskatu ticamību, kā arī par pakārtoto darījumu likumību un pareizību, kuru Revīzijas palāta sniegusi par 2022. finanšu gadu saskaņā ar Līguma par Eiropas Savienības darbību 287. pantu,</w:t>
      </w:r>
    </w:p>
    <w:p w:rsidR="009F508F" w:rsidRPr="00B739AA" w:rsidRDefault="009F508F" w:rsidP="009F508F">
      <w:pPr>
        <w:pStyle w:val="NormalHanging12a"/>
      </w:pPr>
      <w:r w:rsidRPr="00B739AA">
        <w:t>–</w:t>
      </w:r>
      <w:r w:rsidRPr="00B739AA">
        <w:tab/>
        <w:t>ņemot vērā Padomes 2024. gada 22. februāra ieteikumu par apstiprinājumu, ko sniedz Aģentūrai par 2022. finanšu gada budžeta izpildi (</w:t>
      </w:r>
      <w:r w:rsidR="00FD3B5A" w:rsidRPr="00B739AA">
        <w:t>06180</w:t>
      </w:r>
      <w:r w:rsidRPr="00B739AA">
        <w:t>/2024 – C9</w:t>
      </w:r>
      <w:r w:rsidRPr="00B739AA">
        <w:noBreakHyphen/>
      </w:r>
      <w:r w:rsidR="00FD3B5A" w:rsidRPr="00B739AA">
        <w:t>0099</w:t>
      </w:r>
      <w:r w:rsidRPr="00B739AA">
        <w:t>/2024),</w:t>
      </w:r>
    </w:p>
    <w:p w:rsidR="009F508F" w:rsidRPr="00B739AA" w:rsidRDefault="009F508F" w:rsidP="009F508F">
      <w:pPr>
        <w:pStyle w:val="NormalHanging12a"/>
      </w:pPr>
      <w:r w:rsidRPr="00B739AA">
        <w:t>–</w:t>
      </w:r>
      <w:r w:rsidRPr="00B739AA">
        <w:tab/>
        <w:t>ņemot vērā Līguma par Eiropas Savienības darbību 319. pantu,</w:t>
      </w:r>
    </w:p>
    <w:p w:rsidR="009F508F" w:rsidRPr="00B739AA" w:rsidRDefault="009F508F" w:rsidP="009F508F">
      <w:pPr>
        <w:pStyle w:val="NormalHanging12a"/>
      </w:pPr>
      <w:r w:rsidRPr="00B739AA">
        <w:t>–</w:t>
      </w:r>
      <w:r w:rsidRPr="00B739AA">
        <w:tab/>
        <w:t>ņemot vērā Eiropas Atomenerģijas kopienas dibināšanas līguma 106.a pantu,</w:t>
      </w:r>
    </w:p>
    <w:p w:rsidR="009F508F" w:rsidRPr="00B739AA" w:rsidRDefault="009F508F" w:rsidP="009F508F">
      <w:pPr>
        <w:pStyle w:val="NormalHanging12a"/>
      </w:pPr>
      <w:r w:rsidRPr="00B739AA">
        <w:t>–</w:t>
      </w:r>
      <w:r w:rsidRPr="00B739AA">
        <w:tab/>
        <w:t xml:space="preserve">ņemot vērā Eiropas Parlamenta un Padomes 2018. gada 18. jūlija Regulu (ES, </w:t>
      </w:r>
      <w:r w:rsidRPr="00B739AA">
        <w:rPr>
          <w:i/>
        </w:rPr>
        <w:t>Euratom</w:t>
      </w:r>
      <w:r w:rsidRPr="00B739AA">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B739AA">
        <w:rPr>
          <w:i/>
        </w:rPr>
        <w:t>Euratom</w:t>
      </w:r>
      <w:r w:rsidRPr="00B739AA">
        <w:t>) Nr. 966/2012</w:t>
      </w:r>
      <w:r w:rsidRPr="00B739AA">
        <w:rPr>
          <w:rStyle w:val="FootnoteReference"/>
        </w:rPr>
        <w:footnoteReference w:id="7"/>
      </w:r>
      <w:r w:rsidRPr="00B739AA">
        <w:t>, un jo īpaši tās 68. pantu,</w:t>
      </w:r>
    </w:p>
    <w:p w:rsidR="009F508F" w:rsidRPr="00B739AA" w:rsidRDefault="009F508F" w:rsidP="009F508F">
      <w:pPr>
        <w:pStyle w:val="NormalHanging12a"/>
      </w:pPr>
      <w:r w:rsidRPr="00B739AA">
        <w:t>–</w:t>
      </w:r>
      <w:r w:rsidRPr="00B739AA">
        <w:tab/>
        <w:t xml:space="preserve">ņemot vērā Padomes 2008. gada 12. februāra Lēmumu 2008/114/EK, </w:t>
      </w:r>
      <w:r w:rsidRPr="00B739AA">
        <w:rPr>
          <w:i/>
        </w:rPr>
        <w:t>Euratom</w:t>
      </w:r>
      <w:r w:rsidRPr="00B739AA">
        <w:t xml:space="preserve">, ar ko nosaka </w:t>
      </w:r>
      <w:r w:rsidRPr="00B739AA">
        <w:rPr>
          <w:i/>
        </w:rPr>
        <w:t>Euratom</w:t>
      </w:r>
      <w:r w:rsidRPr="00B739AA">
        <w:t xml:space="preserve"> Apgādes aģentūras statūtus</w:t>
      </w:r>
      <w:r w:rsidRPr="00B739AA">
        <w:rPr>
          <w:rStyle w:val="FootnoteReference"/>
        </w:rPr>
        <w:footnoteReference w:id="8"/>
      </w:r>
      <w:r w:rsidRPr="00B739AA">
        <w:t>, un jo īpaši tā pielikuma 8. pantu,</w:t>
      </w:r>
    </w:p>
    <w:p w:rsidR="009F508F" w:rsidRPr="00B739AA" w:rsidRDefault="009F508F" w:rsidP="009F508F">
      <w:pPr>
        <w:pStyle w:val="NormalHanging12a"/>
      </w:pPr>
      <w:r w:rsidRPr="00B739AA">
        <w:t>–</w:t>
      </w:r>
      <w:r w:rsidRPr="00B739AA">
        <w:tab/>
        <w:t>ņemot vērā Reglamenta 100. pantu un V pielikumu,</w:t>
      </w:r>
    </w:p>
    <w:p w:rsidR="009F508F" w:rsidRPr="00B739AA" w:rsidRDefault="009F508F" w:rsidP="009F508F">
      <w:pPr>
        <w:pStyle w:val="NormalHanging12a"/>
      </w:pPr>
      <w:r w:rsidRPr="00B739AA">
        <w:t>–</w:t>
      </w:r>
      <w:r w:rsidRPr="00B739AA">
        <w:tab/>
        <w:t>ņemot vērā Budžeta kontroles komitejas ziņojumu (A9</w:t>
      </w:r>
      <w:r w:rsidRPr="00B739AA">
        <w:noBreakHyphen/>
        <w:t>0108/2024),</w:t>
      </w:r>
    </w:p>
    <w:p w:rsidR="009F508F" w:rsidRPr="00B739AA" w:rsidRDefault="009F508F" w:rsidP="009F508F">
      <w:pPr>
        <w:pStyle w:val="NormalHanging12a"/>
      </w:pPr>
      <w:r w:rsidRPr="00B739AA">
        <w:t>1.</w:t>
      </w:r>
      <w:r w:rsidRPr="00B739AA">
        <w:tab/>
        <w:t xml:space="preserve">apstiprina </w:t>
      </w:r>
      <w:r w:rsidRPr="00B739AA">
        <w:rPr>
          <w:i/>
        </w:rPr>
        <w:t>Euratom</w:t>
      </w:r>
      <w:r w:rsidRPr="00B739AA">
        <w:t xml:space="preserve"> Apgādes aģentūras 2022. finanšu gada pārskatus;</w:t>
      </w:r>
    </w:p>
    <w:p w:rsidR="009F508F" w:rsidRPr="00B739AA" w:rsidRDefault="009F508F" w:rsidP="009F508F">
      <w:pPr>
        <w:pStyle w:val="NormalHanging12a"/>
      </w:pPr>
      <w:r w:rsidRPr="00B739AA">
        <w:t>2.</w:t>
      </w:r>
      <w:r w:rsidRPr="00B739AA">
        <w:tab/>
        <w:t xml:space="preserve">uzdod priekšsēdētājai šo lēmumu nosūtīt </w:t>
      </w:r>
      <w:r w:rsidRPr="00B739AA">
        <w:rPr>
          <w:i/>
        </w:rPr>
        <w:t>Euratom</w:t>
      </w:r>
      <w:r w:rsidRPr="00B739AA">
        <w:t xml:space="preserve"> Apgādes aģentūras ģenerāldirektora pienākumu izpildītājam, Padomei, Komisijai un Revīzijas palātai un nodrošināt tā publicēšanu </w:t>
      </w:r>
      <w:r w:rsidRPr="00B739AA">
        <w:rPr>
          <w:i/>
        </w:rPr>
        <w:t>Eiropas Savienības Oficiālajā Vēstnesī</w:t>
      </w:r>
      <w:r w:rsidRPr="00B739AA">
        <w:t xml:space="preserve"> (L sērijā).</w:t>
      </w:r>
    </w:p>
    <w:p w:rsidR="009F508F" w:rsidRPr="00B739AA" w:rsidRDefault="009F508F" w:rsidP="009F508F"/>
    <w:p w:rsidR="009F508F" w:rsidRPr="00B739AA" w:rsidRDefault="009F508F" w:rsidP="009F508F">
      <w:pPr>
        <w:pStyle w:val="PageHeading"/>
        <w:sectPr w:rsidR="009F508F" w:rsidRPr="00B739AA" w:rsidSect="00C32303">
          <w:footnotePr>
            <w:numRestart w:val="eachPage"/>
          </w:footnotePr>
          <w:endnotePr>
            <w:numFmt w:val="decimal"/>
          </w:endnotePr>
          <w:pgSz w:w="11906" w:h="16838" w:code="9"/>
          <w:pgMar w:top="1134" w:right="1418" w:bottom="1418" w:left="1418" w:header="567" w:footer="567" w:gutter="0"/>
          <w:cols w:space="720"/>
          <w:noEndnote/>
          <w:docGrid w:linePitch="326"/>
        </w:sectPr>
      </w:pPr>
    </w:p>
    <w:p w:rsidR="009F508F" w:rsidRPr="00B739AA" w:rsidRDefault="00FD3B5A" w:rsidP="009F508F">
      <w:pPr>
        <w:pStyle w:val="NormalBold"/>
      </w:pPr>
      <w:bookmarkStart w:id="9" w:name="_Toc161913093"/>
      <w:r w:rsidRPr="00B739AA">
        <w:t xml:space="preserve">3.Eiropas Parlamenta 2024. gada 11. aprīļa rezolūcija </w:t>
      </w:r>
      <w:bookmarkEnd w:id="9"/>
      <w:r w:rsidR="009F508F" w:rsidRPr="00B739AA">
        <w:t xml:space="preserve">ar konstatējumiem, kas ir neatņemama daļa no lēmuma par </w:t>
      </w:r>
      <w:r w:rsidR="009F508F" w:rsidRPr="00B739AA">
        <w:rPr>
          <w:i/>
        </w:rPr>
        <w:t>Euratom</w:t>
      </w:r>
      <w:r w:rsidR="009F508F" w:rsidRPr="00B739AA">
        <w:t xml:space="preserve"> Apgādes aģentūras 2022. finanšu gada budžeta izpildes apstiprināšanu</w:t>
      </w:r>
      <w:r w:rsidRPr="00B739AA">
        <w:t xml:space="preserve"> </w:t>
      </w:r>
      <w:r w:rsidR="009F508F" w:rsidRPr="00B739AA">
        <w:t>(2023/2161(DEC))</w:t>
      </w:r>
    </w:p>
    <w:p w:rsidR="009F508F" w:rsidRPr="00B739AA" w:rsidRDefault="009F508F" w:rsidP="009F508F">
      <w:pPr>
        <w:pStyle w:val="EPComma"/>
      </w:pPr>
      <w:r w:rsidRPr="00B739AA">
        <w:rPr>
          <w:i/>
        </w:rPr>
        <w:t>Eiropas Parlaments</w:t>
      </w:r>
      <w:r w:rsidRPr="00B739AA">
        <w:t>,</w:t>
      </w:r>
    </w:p>
    <w:p w:rsidR="009F508F" w:rsidRPr="00B739AA" w:rsidRDefault="009F508F" w:rsidP="009F508F">
      <w:pPr>
        <w:pStyle w:val="NormalHanging12a"/>
      </w:pPr>
      <w:r w:rsidRPr="00B739AA">
        <w:t>–</w:t>
      </w:r>
      <w:r w:rsidRPr="00B739AA">
        <w:tab/>
        <w:t>ņemot vērā lēmumu par Euratom Apgādes aģentūras (“Aģentūra”) 2022. finanšu gada budžeta izpildes apstiprināšanu,</w:t>
      </w:r>
    </w:p>
    <w:p w:rsidR="009F508F" w:rsidRPr="00B739AA" w:rsidRDefault="009F508F" w:rsidP="009F508F">
      <w:pPr>
        <w:pStyle w:val="NormalHanging12a"/>
      </w:pPr>
      <w:r w:rsidRPr="00B739AA">
        <w:t>–</w:t>
      </w:r>
      <w:r w:rsidRPr="00B739AA">
        <w:tab/>
        <w:t>ņemot vērā Reglamenta 100. pantu un V pielikumu,</w:t>
      </w:r>
    </w:p>
    <w:p w:rsidR="009F508F" w:rsidRPr="00B739AA" w:rsidRDefault="009F508F" w:rsidP="009F508F">
      <w:pPr>
        <w:pStyle w:val="NormalHanging12a"/>
      </w:pPr>
      <w:r w:rsidRPr="00B739AA">
        <w:t>–</w:t>
      </w:r>
      <w:r w:rsidRPr="00B739AA">
        <w:tab/>
        <w:t>ņemot vērā Budžeta kontroles komitejas ziņojumu (A9-0108/2024),</w:t>
      </w:r>
    </w:p>
    <w:p w:rsidR="009F508F" w:rsidRPr="00B739AA" w:rsidRDefault="009F508F" w:rsidP="009F508F">
      <w:pPr>
        <w:spacing w:after="240"/>
        <w:ind w:left="567" w:hanging="567"/>
        <w:rPr>
          <w:szCs w:val="24"/>
        </w:rPr>
      </w:pPr>
      <w:r w:rsidRPr="00B739AA">
        <w:t>A.</w:t>
      </w:r>
      <w:r w:rsidRPr="00B739AA">
        <w:tab/>
        <w:t>tā kā saskaņā ar Aģentūras ieņēmumu un izdevumu finanšu pārskatiem tās 2022. finanšu gada galīgais budžets bija 167 000 EUR, t. i., par 20,48 %  mazāk nekā 2021. gadā (210 000 EUR); tā kā Aģentūras budžetu pilnībā finansē no Savienības budžeta;</w:t>
      </w:r>
    </w:p>
    <w:p w:rsidR="009F508F" w:rsidRPr="00B739AA" w:rsidRDefault="009F508F" w:rsidP="009F508F">
      <w:pPr>
        <w:spacing w:after="240"/>
        <w:ind w:left="567" w:hanging="567"/>
        <w:rPr>
          <w:szCs w:val="24"/>
        </w:rPr>
      </w:pPr>
      <w:r w:rsidRPr="00B739AA">
        <w:t>B.</w:t>
      </w:r>
      <w:r w:rsidRPr="00B739AA">
        <w:tab/>
        <w:t>tā kā Revīzijas palāta ziņojumā par Aģentūras 2022. finanšu gada pārskatiem (“Revīzijas palātas ziņojums”) ir norādījusi, ka tā ir guvusi pamatotu pārliecību par to, ka Aģentūras gada pārskati ir ticami un ka pakārtotie darījumi ir likumīgi un pareizi;</w:t>
      </w:r>
    </w:p>
    <w:p w:rsidR="009F508F" w:rsidRPr="00B739AA" w:rsidRDefault="009F508F" w:rsidP="009F508F">
      <w:pPr>
        <w:spacing w:after="240"/>
        <w:ind w:left="567" w:hanging="567"/>
        <w:rPr>
          <w:szCs w:val="24"/>
        </w:rPr>
      </w:pPr>
      <w:r w:rsidRPr="00B739AA">
        <w:t>C.</w:t>
      </w:r>
      <w:r w:rsidRPr="00B739AA">
        <w:tab/>
        <w:t>tā kā attiecībā uz Aģentūras iekšējās kontroles sistēmām nav ziņots par tādām problēmām 2022. gadā, kuru dēļ būtu jāveic korektīvi pasākumi, un tā kā šobrīd netiek veikti korektīvi pasākumi saistībā ar iepriekšējo gadu revīzijām un novērtējumiem un tādi nav arī iekavēti,</w:t>
      </w:r>
    </w:p>
    <w:p w:rsidR="009F508F" w:rsidRPr="00B739AA" w:rsidRDefault="009F508F" w:rsidP="009F508F">
      <w:pPr>
        <w:spacing w:after="240"/>
        <w:ind w:left="567" w:hanging="567"/>
        <w:rPr>
          <w:b/>
          <w:i/>
          <w:szCs w:val="24"/>
        </w:rPr>
      </w:pPr>
      <w:r w:rsidRPr="00B739AA">
        <w:rPr>
          <w:b/>
          <w:i/>
        </w:rPr>
        <w:t>Budžeta un finanšu pārvaldība</w:t>
      </w:r>
    </w:p>
    <w:p w:rsidR="009F508F" w:rsidRPr="00B739AA" w:rsidRDefault="009F508F" w:rsidP="009F508F">
      <w:pPr>
        <w:spacing w:after="240"/>
        <w:ind w:left="567" w:hanging="567"/>
        <w:rPr>
          <w:szCs w:val="24"/>
        </w:rPr>
      </w:pPr>
      <w:r w:rsidRPr="00B739AA">
        <w:t>1.</w:t>
      </w:r>
      <w:r w:rsidRPr="00B739AA">
        <w:tab/>
        <w:t>norāda uz to, ka 2022. finanšu gadā īstenotās budžeta uzraudzības rezultātā izpildes līmenis attiecībā uz kārtējā gada saistību apropriācijām bija 96,88 %, kas ir nedaudz — par 2,88 % — mazāk nekā 2021. gadā, un norāda, ka kārtējā gada maksājumu apropriāciju izpildes līmenis bija 34,81 %, kas ir par 16,4 % mazāk nekā 2021. gadā;</w:t>
      </w:r>
    </w:p>
    <w:p w:rsidR="009F508F" w:rsidRPr="00B739AA" w:rsidRDefault="009F508F" w:rsidP="009F508F">
      <w:pPr>
        <w:spacing w:after="240"/>
        <w:ind w:left="567" w:hanging="567"/>
        <w:rPr>
          <w:szCs w:val="24"/>
        </w:rPr>
      </w:pPr>
      <w:r w:rsidRPr="00B739AA">
        <w:t>2.</w:t>
      </w:r>
      <w:r w:rsidRPr="00B739AA">
        <w:tab/>
        <w:t xml:space="preserve">norāda, ka Komisija sedz lielu daļu Aģentūras izdevumu, tostarp algas, kas aprēķinātas 1 937 817 EUR apmērā, telpu un IT izmaksas, kas aprēķinātas 467 708 EUR apmērā, un </w:t>
      </w:r>
      <w:proofErr w:type="spellStart"/>
      <w:r w:rsidRPr="00B739AA">
        <w:t>Kodolnovērošanas</w:t>
      </w:r>
      <w:proofErr w:type="spellEnd"/>
      <w:r w:rsidRPr="00B739AA">
        <w:t xml:space="preserve"> centra un EKA informācijas pārvaldības (NOEMI) IT sistēmas izmaksas, kas aprēķinātas 84 644 EUR apmērā; turklāt norāda, ka šie izdevumi ir iekļauti Komisijas gada pārskatos, kas pozitīvi ietekmē Aģentūras administratīvo spēju;</w:t>
      </w:r>
    </w:p>
    <w:p w:rsidR="009F508F" w:rsidRPr="00B739AA" w:rsidRDefault="009F508F" w:rsidP="009F508F">
      <w:pPr>
        <w:spacing w:after="240"/>
        <w:ind w:left="567" w:hanging="567"/>
        <w:rPr>
          <w:b/>
          <w:i/>
          <w:szCs w:val="24"/>
        </w:rPr>
      </w:pPr>
      <w:r w:rsidRPr="00B739AA">
        <w:rPr>
          <w:b/>
          <w:i/>
        </w:rPr>
        <w:t>Darbības rezultāti</w:t>
      </w:r>
    </w:p>
    <w:p w:rsidR="009F508F" w:rsidRPr="00B739AA" w:rsidRDefault="009F508F" w:rsidP="009F508F">
      <w:pPr>
        <w:pStyle w:val="NormalHanging12a"/>
      </w:pPr>
      <w:r w:rsidRPr="00B739AA">
        <w:t>3.</w:t>
      </w:r>
      <w:r w:rsidRPr="00B739AA">
        <w:tab/>
        <w:t xml:space="preserve">uzsver, ka 2022. gadu iezīmēja Krievijas iebrukums Ukrainā, kas ES radīja bažas par energoapgādes drošību kopumā un jo īpaši apdraudēja Savienības kodolmateriālu un degvielas piegādes drošību un saasināja atkarības jautājumus; norāda, ka daudzas Savienības </w:t>
      </w:r>
      <w:proofErr w:type="spellStart"/>
      <w:r w:rsidRPr="00B739AA">
        <w:t>kodolspēkstacijas</w:t>
      </w:r>
      <w:proofErr w:type="spellEnd"/>
      <w:r w:rsidRPr="00B739AA">
        <w:t xml:space="preserve"> ir atkarīgas no Krievijas degvielas piegādātājiem un Savienības komunālo pakalpojumu uzņēmumi kopumā 20–30 % apmērā ir atkarīgi no Krievijas kodolmateriālu piegādes un degvielas cikla pakalpojumiem; norāda — atzīstot lielo maksājumu par enerģijas importu nozīmi Krievijas darbību atbalstīšanā, Savienība ir nolēmusi samazināt atkarību no Krievijas dažādās nozarēs un arī kodolenerģijas tirgus, ņemot vērā tā unikālās iezīmes, šādas plašākas pārkārtošanās ietvaros var mainīties; aicina Aģentūru ziņot budžeta izpildes </w:t>
      </w:r>
      <w:proofErr w:type="spellStart"/>
      <w:r w:rsidRPr="00B739AA">
        <w:t>apstiprinātājiestādei</w:t>
      </w:r>
      <w:proofErr w:type="spellEnd"/>
      <w:r w:rsidRPr="00B739AA">
        <w:t xml:space="preserve"> par to, kā tā kopš 2022. gada ir samazinājusi Savienības atkarību no Krievijas kodoldegvielas, jo īpaši kopš kara sākuma, kad </w:t>
      </w:r>
      <w:proofErr w:type="spellStart"/>
      <w:r w:rsidRPr="00B739AA">
        <w:t>kodolrūpniecībai</w:t>
      </w:r>
      <w:proofErr w:type="spellEnd"/>
      <w:r w:rsidRPr="00B739AA">
        <w:t xml:space="preserve"> netika piemērotas sankcijas, un kā samazināšana un dažādošana ietekmēja izmaksas;</w:t>
      </w:r>
    </w:p>
    <w:p w:rsidR="009F508F" w:rsidRPr="00B739AA" w:rsidRDefault="009F508F" w:rsidP="009F508F">
      <w:pPr>
        <w:spacing w:after="240"/>
        <w:ind w:left="567" w:hanging="567"/>
      </w:pPr>
      <w:r w:rsidRPr="00B739AA">
        <w:t>4.</w:t>
      </w:r>
      <w:r w:rsidRPr="00B739AA">
        <w:tab/>
        <w:t>ar gandarījumu norāda, ka Aģentūra īpašu uzmanību pievērsa tādu līgumu pārskatīšanai, kuri varētu radīt atkarību no Krievijas, un cita starpā rūpīgi analizēja klauzulas, tehnoloģiju informāciju, piegādes ķēdes, alternatīvo degvielu pieejamību un komunālo pakalpojumu uzņēmumu darbības autonomiju, izmantojot esošos degvielas krājumus; atzinīgi vērtē to, ka Aģentūra ir veikusi pasākumus, lai vienkāršotu līgumu iesniegšanas procesu, vienlaikus saglabājot augstu drošības līmeni, un specializēti droši IT rīki veicināja to attālinātu aizpildīšanu un iesniegšanu; konstatē, ka, pateicoties minētajiem centieniem, 2022. gadā palielinājās to elektroniski parakstīto aktu skaits, kas atbilst noteikumiem par elektronisko darījumu identifikāciju vienotajā tirgū;</w:t>
      </w:r>
    </w:p>
    <w:p w:rsidR="009F508F" w:rsidRPr="00B739AA" w:rsidRDefault="009F508F" w:rsidP="009F508F">
      <w:pPr>
        <w:spacing w:after="240"/>
        <w:ind w:left="567" w:hanging="567"/>
        <w:rPr>
          <w:szCs w:val="24"/>
        </w:rPr>
      </w:pPr>
      <w:r w:rsidRPr="00B739AA">
        <w:t>5.</w:t>
      </w:r>
      <w:r w:rsidRPr="00B739AA">
        <w:tab/>
        <w:t>norāda, ka Aģentūra saskaņā ar tās stratēģiskajiem mērķiem un Komisijas politiku centās sadalīt piegādes avotus kodoldegvielas ciklā neatkarīgi no tā, vai tie ir vai nav paredzēti elektroenerģijas ražošanai, uzlabojot piegādes drošību vidējā termiņā un ilgtermiņā;</w:t>
      </w:r>
    </w:p>
    <w:p w:rsidR="009F508F" w:rsidRPr="00B739AA" w:rsidRDefault="009F508F" w:rsidP="009F508F">
      <w:pPr>
        <w:spacing w:after="240"/>
        <w:ind w:left="567" w:hanging="567"/>
        <w:rPr>
          <w:szCs w:val="24"/>
        </w:rPr>
      </w:pPr>
      <w:r w:rsidRPr="00B739AA">
        <w:t>6.</w:t>
      </w:r>
      <w:r w:rsidRPr="00B739AA">
        <w:tab/>
        <w:t>konstatē, ka Aģentūra ir atbildīga par tirgus uzraudzību, lai noteiktu tendences, kas varētu ietekmēt Savienības kodolmateriālu piegādes un pakalpojumu drošību; turklāt norāda, ka Aģentūra savā gada ziņojumā ir publicējusi tirgus analīzi, sniegusi informāciju par Savienības un pasaules kodolenerģijas tirgiem un ir dalījusies ar informāciju un zināšanām ar citām starptautiskām tirgus analīzes organizācijām;</w:t>
      </w:r>
    </w:p>
    <w:p w:rsidR="009F508F" w:rsidRPr="00B739AA" w:rsidRDefault="009F508F" w:rsidP="009F508F">
      <w:pPr>
        <w:pStyle w:val="NormalHanging12a"/>
      </w:pPr>
      <w:r w:rsidRPr="00B739AA">
        <w:t>7.</w:t>
      </w:r>
      <w:r w:rsidRPr="00B739AA">
        <w:tab/>
        <w:t>atzinīgi vērtē to, ka 2022. gadā Aģentūra vadīja darbības ar mērķi nodrošināt medicīnisko radioizotopu izejmateriālu piegādi, palīdzot īstenot stratēģisko programmu medicīniskiem jonizējošā starojuma lietojumiem (</w:t>
      </w:r>
      <w:r w:rsidRPr="00B739AA">
        <w:rPr>
          <w:i/>
          <w:iCs/>
        </w:rPr>
        <w:t>SAMIRA</w:t>
      </w:r>
      <w:r w:rsidRPr="00B739AA">
        <w:t>), un vadīja Eiropas Medicīniskam lietojumam paredzētu radioizotopu piegāžu novērošanas centru;</w:t>
      </w:r>
    </w:p>
    <w:p w:rsidR="009F508F" w:rsidRPr="00B739AA" w:rsidRDefault="009F508F" w:rsidP="009F508F">
      <w:pPr>
        <w:spacing w:after="240"/>
        <w:ind w:left="567" w:hanging="567"/>
        <w:rPr>
          <w:szCs w:val="24"/>
        </w:rPr>
      </w:pPr>
      <w:r w:rsidRPr="00B739AA">
        <w:t>8.</w:t>
      </w:r>
      <w:r w:rsidRPr="00B739AA">
        <w:tab/>
        <w:t>atzinīgi vērtē Aģentūras centienus sadarboties ar partneriem un ieinteresētajām personām, lai stiprinātu kodolmateriālu piegādes drošību, ņemot vērā nelikumīgo un neprovocēto Krievijas iebrukumu Ukrainā;</w:t>
      </w:r>
    </w:p>
    <w:p w:rsidR="009F508F" w:rsidRPr="00B739AA" w:rsidRDefault="009F508F" w:rsidP="009F508F">
      <w:pPr>
        <w:spacing w:after="240"/>
        <w:ind w:left="567" w:hanging="567"/>
        <w:rPr>
          <w:b/>
          <w:i/>
          <w:szCs w:val="24"/>
        </w:rPr>
      </w:pPr>
      <w:r w:rsidRPr="00B739AA">
        <w:rPr>
          <w:b/>
          <w:i/>
        </w:rPr>
        <w:t>Efektivitāte un ieguvumi</w:t>
      </w:r>
    </w:p>
    <w:p w:rsidR="009F508F" w:rsidRPr="00B739AA" w:rsidRDefault="009F508F" w:rsidP="009F508F">
      <w:pPr>
        <w:spacing w:after="240"/>
        <w:ind w:left="567" w:hanging="567"/>
        <w:rPr>
          <w:szCs w:val="24"/>
        </w:rPr>
      </w:pPr>
      <w:r w:rsidRPr="00B739AA">
        <w:t>9.</w:t>
      </w:r>
      <w:r w:rsidRPr="00B739AA">
        <w:tab/>
        <w:t xml:space="preserve">norāda, ka Aģentūra ir cieši sadarbojusies ar Komisiju, lai veicinātu piegādes dažādošanu; turklāt norāda, ka Aģentūra jau sen kodolenerģijas jomā ir izveidojusi attiecības ar Starptautisko Atomenerģijas aģentūru un Kodolenerģijas aģentūru Ekonomiskās sadarbības un attīstības organizācijas ietvaros; norāda uz horizontālajiem ieguvumiem, ko sniedz sadarbība un </w:t>
      </w:r>
      <w:proofErr w:type="spellStart"/>
      <w:r w:rsidRPr="00B739AA">
        <w:t>paraugprakses</w:t>
      </w:r>
      <w:proofErr w:type="spellEnd"/>
      <w:r w:rsidRPr="00B739AA">
        <w:t xml:space="preserve"> pielāgošana, un to, ka kopīgās iniciatīvas apvieno dažādas perspektīvas, samazina centienu dublēšanos, uzlabo mācīšanos un stiprina attiecības starp dalībniekiem;</w:t>
      </w:r>
    </w:p>
    <w:p w:rsidR="009F508F" w:rsidRPr="00B739AA" w:rsidRDefault="009F508F" w:rsidP="009F508F">
      <w:pPr>
        <w:spacing w:after="240"/>
        <w:ind w:left="567" w:hanging="567"/>
        <w:rPr>
          <w:szCs w:val="24"/>
        </w:rPr>
      </w:pPr>
      <w:r w:rsidRPr="00B739AA">
        <w:t>10.</w:t>
      </w:r>
      <w:r w:rsidRPr="00B739AA">
        <w:tab/>
        <w:t xml:space="preserve">konstatē, ka Aģentūra izstrādā IT sistēmu </w:t>
      </w:r>
      <w:r w:rsidRPr="00B739AA">
        <w:rPr>
          <w:i/>
          <w:iCs/>
        </w:rPr>
        <w:t>NOEMI</w:t>
      </w:r>
      <w:r w:rsidRPr="00B739AA">
        <w:t>, lai varētu pilnībā digitāli apstrādāt kodolenerģijas piegādes līgumus un tirgus informāciju, pilnībā ievērojot informācijas aizsardzības noteikumus, un vienlaikus tā strādā pie tā, lai palielinātu savas analītiskās spējas attiecībā uz pieejamajiem datiem;</w:t>
      </w:r>
    </w:p>
    <w:p w:rsidR="009F508F" w:rsidRPr="00B739AA" w:rsidRDefault="009F508F" w:rsidP="009F508F">
      <w:pPr>
        <w:spacing w:after="240"/>
        <w:ind w:left="567" w:hanging="567"/>
        <w:rPr>
          <w:szCs w:val="24"/>
        </w:rPr>
      </w:pPr>
      <w:r w:rsidRPr="00B739AA">
        <w:t>11.</w:t>
      </w:r>
      <w:r w:rsidRPr="00B739AA">
        <w:tab/>
        <w:t xml:space="preserve">norāda, ka Aģentūra ir centusies panākt efektivitātes pieaugumu un cilvēkresursu pārdali saistībā ar turpmākajiem jaunajiem uzdevumiem un </w:t>
      </w:r>
      <w:proofErr w:type="spellStart"/>
      <w:r w:rsidRPr="00B739AA">
        <w:t>problēmjautājumiem</w:t>
      </w:r>
      <w:proofErr w:type="spellEnd"/>
      <w:r w:rsidRPr="00B739AA">
        <w:t xml:space="preserve">; norāda, ka vēl vairāk palielināt efektivitāti būtu iespējams tikai tad, ja tiktu izmantotas sinerģijas un Komisijas atbalsts, nodrošinot specializētas atbalsta funkcijas, paplašinot korporatīvo rīku izmantošanu un palielinot piešķīrumu </w:t>
      </w:r>
      <w:r w:rsidRPr="00B739AA">
        <w:rPr>
          <w:i/>
        </w:rPr>
        <w:t>NOEMI</w:t>
      </w:r>
      <w:r w:rsidRPr="00B739AA">
        <w:t xml:space="preserve"> IT izstrādei; aicina Aģentūru rast vēl citas iekšējās procedūras, kuras varētu racionalizēt, izmantojot jaunus IT rīkus;</w:t>
      </w:r>
    </w:p>
    <w:p w:rsidR="009F508F" w:rsidRPr="00B739AA" w:rsidRDefault="009F508F" w:rsidP="009F508F">
      <w:pPr>
        <w:pStyle w:val="NormalHanging12a"/>
      </w:pPr>
      <w:r w:rsidRPr="00B739AA">
        <w:t>12.</w:t>
      </w:r>
      <w:r w:rsidRPr="00B739AA">
        <w:tab/>
        <w:t xml:space="preserve">atgādina, ka ir svarīgi palielināt Aģentūras darba </w:t>
      </w:r>
      <w:proofErr w:type="spellStart"/>
      <w:r w:rsidRPr="00B739AA">
        <w:t>digitalizāciju</w:t>
      </w:r>
      <w:proofErr w:type="spellEnd"/>
      <w:r w:rsidRPr="00B739AA">
        <w:t xml:space="preserve"> ne tikai attiecībā uz iekšējo darbību un pārvaldību, bet arī tādēļ, lai paātrinātu procedūru </w:t>
      </w:r>
      <w:proofErr w:type="spellStart"/>
      <w:r w:rsidRPr="00B739AA">
        <w:t>digitalizāciju</w:t>
      </w:r>
      <w:proofErr w:type="spellEnd"/>
      <w:r w:rsidRPr="00B739AA">
        <w:t xml:space="preserve">; uzsver, ka Aģentūrai šajā ziņā arī turpmāk jābūt </w:t>
      </w:r>
      <w:proofErr w:type="spellStart"/>
      <w:r w:rsidRPr="00B739AA">
        <w:t>proaktīvai</w:t>
      </w:r>
      <w:proofErr w:type="spellEnd"/>
      <w:r w:rsidRPr="00B739AA">
        <w:t>, lai novērstu digitālās plaisas starp aģentūrām; tomēr vērš uzmanību uz to, ka ir jāveic visi nepieciešamie drošības pasākumi, lai izvairītos no jebkāda apdraudējuma apstrādātās informācijas drošībai tiešsaistē, un uzstāj, ka ir jāpastiprina pasākumi pret kiberuzbrukumiem vai iefiltrēšanās mēģinājumiem, jo īpaši no Krievijas vai Ķīnas puses;</w:t>
      </w:r>
    </w:p>
    <w:p w:rsidR="009F508F" w:rsidRPr="00B739AA" w:rsidRDefault="009F508F" w:rsidP="009F508F">
      <w:pPr>
        <w:spacing w:after="240"/>
        <w:ind w:left="567" w:hanging="567"/>
        <w:rPr>
          <w:b/>
          <w:i/>
          <w:szCs w:val="24"/>
        </w:rPr>
      </w:pPr>
      <w:r w:rsidRPr="00B739AA">
        <w:rPr>
          <w:b/>
          <w:i/>
        </w:rPr>
        <w:t>Personāla politika</w:t>
      </w:r>
    </w:p>
    <w:p w:rsidR="009F508F" w:rsidRPr="00B739AA" w:rsidRDefault="009F508F" w:rsidP="009F508F">
      <w:pPr>
        <w:spacing w:after="240"/>
        <w:ind w:left="567" w:hanging="567"/>
        <w:rPr>
          <w:szCs w:val="24"/>
        </w:rPr>
      </w:pPr>
      <w:r w:rsidRPr="00B739AA">
        <w:t>13.</w:t>
      </w:r>
      <w:r w:rsidRPr="00B739AA">
        <w:tab/>
        <w:t>norāda, ka 2022. gada 31. decembrī bija aizpildīti 100 % no štatu sarakstā paredzētajām 17 pastāvīgajām štata vietām, 8 administratoru, 7 asistentu vietām un 2 asistentu un sekretāru amata vietām; turklāt norāda, ka lielāks administratoru skaits, nekā atļauts, bija saistīts ar vienas asistenta amata vietas paaugstināšanu, ko atļāva veikt Komisija;</w:t>
      </w:r>
    </w:p>
    <w:p w:rsidR="009F508F" w:rsidRPr="00B739AA" w:rsidRDefault="009F508F" w:rsidP="009F508F">
      <w:pPr>
        <w:spacing w:after="240"/>
        <w:ind w:left="567" w:hanging="567"/>
        <w:rPr>
          <w:szCs w:val="24"/>
        </w:rPr>
      </w:pPr>
      <w:r w:rsidRPr="00B739AA">
        <w:t>14.</w:t>
      </w:r>
      <w:r w:rsidRPr="00B739AA">
        <w:tab/>
        <w:t>atgādina par Aģentūras grūtībām atrast asistentus zemākās pakāpēs, ņemot vērā nepieciešamo specializēto profilu un ar to saistīto atalgojuma līmeni salīdzinājumā ar dzīves dārdzību Luksemburgā; tomēr norāda, ka Aģentūra, neraugoties uz centieniem, 2022. gadā pieņēma darbā 2 pagaidu darbiniekus pastāvīgos amatos (1 asistenta un 1 asistenta un sekretāra amatā);</w:t>
      </w:r>
    </w:p>
    <w:p w:rsidR="009F508F" w:rsidRPr="00B739AA" w:rsidRDefault="009F508F" w:rsidP="009F508F">
      <w:pPr>
        <w:spacing w:after="240"/>
        <w:ind w:left="567" w:hanging="567"/>
        <w:rPr>
          <w:szCs w:val="24"/>
        </w:rPr>
      </w:pPr>
      <w:r w:rsidRPr="00B739AA">
        <w:t>15.</w:t>
      </w:r>
      <w:r w:rsidRPr="00B739AA">
        <w:tab/>
        <w:t>norāda — Aģentūra bija paziņojusi, ka visa personāla dzimumu proporcionālais sastāvs 2022. gadā bija 59 % sieviešu un 41 % vīriešu, kas liecina par vienlīdzīgu iespēju politiku;</w:t>
      </w:r>
    </w:p>
    <w:p w:rsidR="009F508F" w:rsidRPr="00B739AA" w:rsidRDefault="009F508F" w:rsidP="009F508F">
      <w:pPr>
        <w:pStyle w:val="NormalHanging12a"/>
      </w:pPr>
      <w:r w:rsidRPr="00B739AA">
        <w:t>16.</w:t>
      </w:r>
      <w:r w:rsidRPr="00B739AA">
        <w:tab/>
        <w:t xml:space="preserve">atgādina, ka ir svarīgi izstrādāt ilgtermiņa cilvēkresursu politiku attiecībā uz darba un privātās dzīves līdzsvaru, profesionālo orientāciju visa mūža garumā un īpašu uz karjeras izaugsmi vērstas apmācības iespēju piedāvāšanu, dzimumu līdzsvaru visos personāla līmeņos, tāldarbu, tiesībām būt </w:t>
      </w:r>
      <w:proofErr w:type="spellStart"/>
      <w:r w:rsidRPr="00B739AA">
        <w:t>bezsaistē</w:t>
      </w:r>
      <w:proofErr w:type="spellEnd"/>
      <w:r w:rsidRPr="00B739AA">
        <w:t>, ģeogrāfiskā līdzsvara uzlabošanu nolūkā panākt pienācīgu pārstāvību no visām dalībvalstīm un cilvēku ar invaliditāti pieņemšanu darbā un integrāciju, kā arī vienlīdzīgas attieksmes nodrošināšanu pret šiem cilvēkiem un viņu iespēju veicināšanu;</w:t>
      </w:r>
    </w:p>
    <w:p w:rsidR="009F508F" w:rsidRPr="00B739AA" w:rsidRDefault="009F508F" w:rsidP="009F508F">
      <w:pPr>
        <w:spacing w:after="240"/>
        <w:ind w:left="567" w:hanging="567"/>
        <w:rPr>
          <w:b/>
          <w:i/>
          <w:szCs w:val="24"/>
        </w:rPr>
      </w:pPr>
      <w:r w:rsidRPr="00B739AA">
        <w:rPr>
          <w:b/>
          <w:i/>
        </w:rPr>
        <w:t>Iepirkums</w:t>
      </w:r>
    </w:p>
    <w:p w:rsidR="009F508F" w:rsidRPr="00B739AA" w:rsidRDefault="009F508F" w:rsidP="009F508F">
      <w:pPr>
        <w:spacing w:after="240"/>
        <w:ind w:left="567" w:hanging="567"/>
        <w:rPr>
          <w:rFonts w:eastAsia="Calibri"/>
          <w:szCs w:val="24"/>
        </w:rPr>
      </w:pPr>
      <w:r w:rsidRPr="00B739AA">
        <w:t>17.</w:t>
      </w:r>
      <w:r w:rsidRPr="00B739AA">
        <w:tab/>
        <w:t xml:space="preserve">pēc iepazīšanās ar Revīzijas palātas ziņojumu norāda uz konstatējumu, ka Aģentūra ir sistemātiski piešķīrusi mazas vērtības līgumus (zem 15 000 EUR), neizdodot attiecīgus novērtējuma ziņojumus un </w:t>
      </w:r>
      <w:proofErr w:type="spellStart"/>
      <w:r w:rsidRPr="00B739AA">
        <w:t>līgumslēgšanas</w:t>
      </w:r>
      <w:proofErr w:type="spellEnd"/>
      <w:r w:rsidRPr="00B739AA">
        <w:t xml:space="preserve"> tiesību piešķiršanas lēmumus, kas ir pretrunā Finanšu regulas I pielikuma 30.3. un 30.4. punktam; norāda arī uz Aģentūras atbildi, kurā ņemts vērā ieteikums un sniegti atbilstoši norādījumi visiem darbiniekiem, kas iesaistīti iepirkumā un finanšu pārvaldībā; aicina Aģentūru uzlabot savas publiskā iepirkuma procedūras, nodrošinot pilnīgu atbilstību piemērojamajiem noteikumiem, lai panāktu optimālu ieguldīto līdzekļu atdevi;</w:t>
      </w:r>
    </w:p>
    <w:p w:rsidR="009F508F" w:rsidRPr="00B739AA" w:rsidRDefault="009F508F" w:rsidP="009F508F">
      <w:pPr>
        <w:spacing w:after="240"/>
        <w:ind w:left="567" w:hanging="567"/>
        <w:rPr>
          <w:b/>
          <w:i/>
          <w:szCs w:val="24"/>
        </w:rPr>
      </w:pPr>
      <w:r w:rsidRPr="00B739AA">
        <w:rPr>
          <w:b/>
          <w:i/>
        </w:rPr>
        <w:t>Citi komentāri</w:t>
      </w:r>
    </w:p>
    <w:p w:rsidR="009F508F" w:rsidRPr="00B739AA" w:rsidRDefault="009F508F" w:rsidP="009F508F">
      <w:pPr>
        <w:spacing w:after="240"/>
        <w:ind w:left="567" w:hanging="567"/>
        <w:rPr>
          <w:szCs w:val="24"/>
        </w:rPr>
      </w:pPr>
      <w:r w:rsidRPr="00B739AA">
        <w:t>18.</w:t>
      </w:r>
      <w:r w:rsidRPr="00B739AA">
        <w:tab/>
        <w:t>norāda, ka Aģentūra ir pastiprinājusi drošību attiecībā uz piekļuvi savām telpām un visiem darbiniekiem un visiem ārējiem līgumslēdzējiem ir drošības pielaide;</w:t>
      </w:r>
    </w:p>
    <w:p w:rsidR="009F508F" w:rsidRPr="00B739AA" w:rsidRDefault="009F508F" w:rsidP="009F508F">
      <w:pPr>
        <w:spacing w:after="240"/>
        <w:ind w:left="567" w:hanging="567"/>
        <w:rPr>
          <w:szCs w:val="24"/>
        </w:rPr>
      </w:pPr>
      <w:r w:rsidRPr="00B739AA">
        <w:t>19.</w:t>
      </w:r>
      <w:r w:rsidRPr="00B739AA">
        <w:tab/>
        <w:t xml:space="preserve">pieņem zināšanai, ka </w:t>
      </w:r>
      <w:r w:rsidRPr="00B739AA">
        <w:rPr>
          <w:i/>
          <w:iCs/>
        </w:rPr>
        <w:t>NOEMI</w:t>
      </w:r>
      <w:r w:rsidRPr="00B739AA">
        <w:t xml:space="preserve"> IT sistēmai tika veikts neaizsargātības novērtējums, kas jāatkārto pēc katra izstrādes posma vai visu ieteikumu īstenošanas;</w:t>
      </w:r>
    </w:p>
    <w:p w:rsidR="009F508F" w:rsidRPr="00B739AA" w:rsidRDefault="009F508F" w:rsidP="009F508F">
      <w:pPr>
        <w:spacing w:after="240"/>
        <w:ind w:left="567" w:hanging="567"/>
        <w:rPr>
          <w:szCs w:val="24"/>
        </w:rPr>
      </w:pPr>
      <w:r w:rsidRPr="00B739AA">
        <w:t>20.</w:t>
      </w:r>
      <w:r w:rsidRPr="00B739AA">
        <w:tab/>
        <w:t xml:space="preserve">ar gandarījumu norāda, ka Aģentūra 2022. gada septembrī piedalījās Pasaules kodolenerģijas simpozijā Londonā, sniedzot skaidru vēstījumu iesaistītajiem vadošajiem </w:t>
      </w:r>
      <w:proofErr w:type="spellStart"/>
      <w:r w:rsidRPr="00B739AA">
        <w:t>kodolnozares</w:t>
      </w:r>
      <w:proofErr w:type="spellEnd"/>
      <w:r w:rsidRPr="00B739AA">
        <w:t xml:space="preserve"> līderiem, ekspertiem un vadītājiem par nepieciešamību novērst riskus, kas saistīti ar jauno tirgus struktūru; turklāt norāda, ka Aģentūras tirgus analīze un perspektīvas tika prezentētas Varšavas Drošības forumā un Pasaules kodoldegvielas cikla forumā un tā tika pārstāvēta Pirmajā starptautiskajā konferencē par </w:t>
      </w:r>
      <w:proofErr w:type="spellStart"/>
      <w:r w:rsidRPr="00B739AA">
        <w:t>kodoltiesībām</w:t>
      </w:r>
      <w:proofErr w:type="spellEnd"/>
      <w:r w:rsidRPr="00B739AA">
        <w:t xml:space="preserve"> un Eiropas Pētniecības reaktora konferencē; turklāt norāda, ka Aģentūra ir devusi ieguldījumu Eiropas </w:t>
      </w:r>
      <w:proofErr w:type="spellStart"/>
      <w:r w:rsidRPr="00B739AA">
        <w:t>kodolsabiedrības</w:t>
      </w:r>
      <w:proofErr w:type="spellEnd"/>
      <w:r w:rsidRPr="00B739AA">
        <w:t xml:space="preserve"> pasākumos;</w:t>
      </w:r>
    </w:p>
    <w:p w:rsidR="009F508F" w:rsidRPr="00B739AA" w:rsidRDefault="009F508F" w:rsidP="009F508F">
      <w:pPr>
        <w:spacing w:after="240"/>
        <w:ind w:left="567" w:hanging="567"/>
        <w:rPr>
          <w:szCs w:val="24"/>
        </w:rPr>
      </w:pPr>
      <w:r w:rsidRPr="00B739AA">
        <w:t>21.</w:t>
      </w:r>
      <w:r w:rsidRPr="00B739AA">
        <w:tab/>
        <w:t>norāda, ka Aģentūra nav sagatavojusi vides deklarāciju un nav īstenojusi vides vadības un audita sistēmu (</w:t>
      </w:r>
      <w:r w:rsidRPr="00B739AA">
        <w:rPr>
          <w:i/>
        </w:rPr>
        <w:t>EMAS</w:t>
      </w:r>
      <w:r w:rsidRPr="00B739AA">
        <w:t xml:space="preserve">); mudina Aģentūru ziņot par savu sniegumu klimata, enerģētikas un vides jomā un papildus īstenot </w:t>
      </w:r>
      <w:r w:rsidRPr="00B739AA">
        <w:rPr>
          <w:i/>
        </w:rPr>
        <w:t>EMAS</w:t>
      </w:r>
      <w:r w:rsidRPr="00B739AA">
        <w:t>;</w:t>
      </w:r>
    </w:p>
    <w:p w:rsidR="009F508F" w:rsidRPr="00B739AA" w:rsidRDefault="009F508F" w:rsidP="009F508F">
      <w:pPr>
        <w:pStyle w:val="NormalCenter12a"/>
      </w:pPr>
      <w:r w:rsidRPr="00B739AA">
        <w:t>°</w:t>
      </w:r>
    </w:p>
    <w:p w:rsidR="009F508F" w:rsidRPr="00B739AA" w:rsidRDefault="009F508F" w:rsidP="009F508F">
      <w:pPr>
        <w:pStyle w:val="NormalCenter12a"/>
      </w:pPr>
      <w:r w:rsidRPr="00B739AA">
        <w:t>°</w:t>
      </w:r>
      <w:r w:rsidRPr="00B739AA">
        <w:tab/>
        <w:t>°</w:t>
      </w:r>
    </w:p>
    <w:p w:rsidR="00E365E1" w:rsidRPr="00B739AA" w:rsidRDefault="009F508F" w:rsidP="00B739AA">
      <w:pPr>
        <w:pStyle w:val="NormalHanging12a"/>
        <w:widowControl/>
      </w:pPr>
      <w:r w:rsidRPr="00B739AA">
        <w:t>22.</w:t>
      </w:r>
      <w:r w:rsidRPr="00B739AA">
        <w:tab/>
        <w:t xml:space="preserve">attiecībā uz pārējiem horizontāla rakstura konstatējumiem, kas pievienoti lēmumam par budžeta izpildes apstiprināšanu, atsaucas uz </w:t>
      </w:r>
      <w:r w:rsidR="00FD3B5A" w:rsidRPr="00B739AA">
        <w:t>2024. gada 11. aprīļa</w:t>
      </w:r>
      <w:r w:rsidR="00FD3B5A" w:rsidRPr="00B739AA">
        <w:rPr>
          <w:vertAlign w:val="superscript"/>
        </w:rPr>
        <w:footnoteReference w:id="9"/>
      </w:r>
      <w:r w:rsidR="00FD3B5A" w:rsidRPr="00B739AA">
        <w:t xml:space="preserve"> </w:t>
      </w:r>
      <w:r w:rsidRPr="00B739AA">
        <w:t>rezolūciju par aģentūru sniegumu, finanšu pārvaldību un kontroli.</w:t>
      </w:r>
      <w:bookmarkStart w:id="11" w:name="TextBodyEnd"/>
      <w:bookmarkEnd w:id="11"/>
    </w:p>
    <w:sectPr w:rsidR="00E365E1" w:rsidRPr="00B739AA" w:rsidSect="00C3230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643" w:rsidRPr="00C32303" w:rsidRDefault="00DE6643">
      <w:r w:rsidRPr="00C32303">
        <w:separator/>
      </w:r>
    </w:p>
  </w:endnote>
  <w:endnote w:type="continuationSeparator" w:id="0">
    <w:p w:rsidR="00DE6643" w:rsidRPr="00C32303" w:rsidRDefault="00DE6643">
      <w:r w:rsidRPr="00C323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08F" w:rsidRPr="00C32303" w:rsidRDefault="009F508F" w:rsidP="0068642E">
    <w:pPr>
      <w:pStyle w:val="EPFooter"/>
    </w:pPr>
    <w:r w:rsidRPr="00C32303">
      <w:t>PE</w:t>
    </w:r>
    <w:r w:rsidRPr="00C32303">
      <w:rPr>
        <w:rStyle w:val="HideTWBExt"/>
      </w:rPr>
      <w:t>&lt;NoPE&gt;</w:t>
    </w:r>
    <w:r w:rsidRPr="00C32303">
      <w:t>753.529</w:t>
    </w:r>
    <w:r w:rsidRPr="00C32303">
      <w:rPr>
        <w:rStyle w:val="HideTWBExt"/>
      </w:rPr>
      <w:t>&lt;/NoPE&gt;&lt;Version&gt;</w:t>
    </w:r>
    <w:r w:rsidRPr="00C32303">
      <w:t>v02-00</w:t>
    </w:r>
    <w:r w:rsidRPr="00C32303">
      <w:rPr>
        <w:rStyle w:val="HideTWBExt"/>
      </w:rPr>
      <w:t>&lt;/Version&gt;</w:t>
    </w:r>
    <w:r w:rsidRPr="00C32303">
      <w:tab/>
    </w:r>
    <w:r w:rsidRPr="00C32303">
      <w:fldChar w:fldCharType="begin"/>
    </w:r>
    <w:r w:rsidRPr="00C32303">
      <w:instrText xml:space="preserve"> PAGE  \* MERGEFORMAT </w:instrText>
    </w:r>
    <w:r w:rsidRPr="00C32303">
      <w:fldChar w:fldCharType="separate"/>
    </w:r>
    <w:r w:rsidRPr="00C32303">
      <w:rPr>
        <w:noProof/>
      </w:rPr>
      <w:t>2</w:t>
    </w:r>
    <w:r w:rsidRPr="00C32303">
      <w:fldChar w:fldCharType="end"/>
    </w:r>
    <w:r w:rsidRPr="00C32303">
      <w:t>/</w:t>
    </w:r>
    <w:r w:rsidR="0049172B">
      <w:fldChar w:fldCharType="begin"/>
    </w:r>
    <w:r w:rsidR="0049172B">
      <w:instrText xml:space="preserve"> NUMPAGES  \* MERGEFORMAT </w:instrText>
    </w:r>
    <w:r w:rsidR="0049172B">
      <w:fldChar w:fldCharType="separate"/>
    </w:r>
    <w:r w:rsidRPr="00C32303">
      <w:rPr>
        <w:noProof/>
      </w:rPr>
      <w:t>2</w:t>
    </w:r>
    <w:r w:rsidR="0049172B">
      <w:rPr>
        <w:noProof/>
      </w:rPr>
      <w:fldChar w:fldCharType="end"/>
    </w:r>
    <w:r w:rsidRPr="00C32303">
      <w:tab/>
    </w:r>
    <w:r w:rsidRPr="00C32303">
      <w:rPr>
        <w:rStyle w:val="HideTWBExt"/>
      </w:rPr>
      <w:t>&lt;PathFdR&gt;</w:t>
    </w:r>
    <w:r w:rsidRPr="00C32303">
      <w:t>RR\1298833LV.docx</w:t>
    </w:r>
    <w:r w:rsidRPr="00C32303">
      <w:rPr>
        <w:rStyle w:val="HideTWBExt"/>
      </w:rPr>
      <w:t>&lt;/PathFdR&gt;</w:t>
    </w:r>
  </w:p>
  <w:p w:rsidR="009F508F" w:rsidRPr="00C32303" w:rsidRDefault="009F508F" w:rsidP="0068642E">
    <w:pPr>
      <w:pStyle w:val="EPFooter2"/>
    </w:pPr>
    <w:r w:rsidRPr="00C32303">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08F" w:rsidRPr="00C32303" w:rsidRDefault="009F508F" w:rsidP="0068642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08F" w:rsidRPr="00C32303" w:rsidRDefault="009F508F" w:rsidP="0068642E">
    <w:pPr>
      <w:pStyle w:val="EPFooter"/>
    </w:pPr>
    <w:r w:rsidRPr="00C32303">
      <w:rPr>
        <w:rStyle w:val="HideTWBExt"/>
      </w:rPr>
      <w:t>&lt;PathFdR&gt;</w:t>
    </w:r>
    <w:r w:rsidRPr="00C32303">
      <w:t>RR\1298833LV.docx</w:t>
    </w:r>
    <w:r w:rsidRPr="00C32303">
      <w:rPr>
        <w:rStyle w:val="HideTWBExt"/>
      </w:rPr>
      <w:t>&lt;/PathFdR&gt;</w:t>
    </w:r>
    <w:r w:rsidRPr="00C32303">
      <w:tab/>
    </w:r>
    <w:r w:rsidRPr="00C32303">
      <w:tab/>
      <w:t>PE</w:t>
    </w:r>
    <w:r w:rsidRPr="00C32303">
      <w:rPr>
        <w:rStyle w:val="HideTWBExt"/>
      </w:rPr>
      <w:t>&lt;NoPE&gt;</w:t>
    </w:r>
    <w:r w:rsidRPr="00C32303">
      <w:t>753.529</w:t>
    </w:r>
    <w:r w:rsidRPr="00C32303">
      <w:rPr>
        <w:rStyle w:val="HideTWBExt"/>
      </w:rPr>
      <w:t>&lt;/NoPE&gt;&lt;Version&gt;</w:t>
    </w:r>
    <w:r w:rsidRPr="00C32303">
      <w:t>v02-00</w:t>
    </w:r>
    <w:r w:rsidRPr="00C32303">
      <w:rPr>
        <w:rStyle w:val="HideTWBExt"/>
      </w:rPr>
      <w:t>&lt;/Version&gt;</w:t>
    </w:r>
  </w:p>
  <w:p w:rsidR="009F508F" w:rsidRPr="00C32303" w:rsidRDefault="009F508F" w:rsidP="0068642E">
    <w:pPr>
      <w:pStyle w:val="EPFooter2"/>
    </w:pPr>
    <w:r w:rsidRPr="00C32303">
      <w:t>LV</w:t>
    </w:r>
    <w:r w:rsidRPr="00C32303">
      <w:tab/>
    </w:r>
    <w:r w:rsidRPr="00C32303">
      <w:rPr>
        <w:b w:val="0"/>
        <w:i/>
        <w:color w:val="C0C0C0"/>
        <w:sz w:val="22"/>
      </w:rPr>
      <w:t>Vienoti daudzveidībā</w:t>
    </w:r>
    <w:r w:rsidRPr="00C32303">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230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230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23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643" w:rsidRPr="00C32303" w:rsidRDefault="00DE6643">
      <w:r w:rsidRPr="00C32303">
        <w:separator/>
      </w:r>
    </w:p>
  </w:footnote>
  <w:footnote w:type="continuationSeparator" w:id="0">
    <w:p w:rsidR="00DE6643" w:rsidRPr="00C32303" w:rsidRDefault="00DE6643">
      <w:r w:rsidRPr="00C32303">
        <w:continuationSeparator/>
      </w:r>
    </w:p>
  </w:footnote>
  <w:footnote w:id="1">
    <w:p w:rsidR="009F508F" w:rsidRPr="00C32303" w:rsidRDefault="009F508F" w:rsidP="00C32303">
      <w:pPr>
        <w:pStyle w:val="FootnoteText"/>
        <w:ind w:left="567" w:hanging="567"/>
        <w:rPr>
          <w:sz w:val="24"/>
          <w:lang w:val="lv-LV"/>
        </w:rPr>
      </w:pPr>
      <w:r w:rsidRPr="00C32303">
        <w:rPr>
          <w:rStyle w:val="FootnoteReference"/>
          <w:sz w:val="24"/>
          <w:lang w:val="lv-LV"/>
        </w:rPr>
        <w:footnoteRef/>
      </w:r>
      <w:r w:rsidR="00C32303" w:rsidRPr="00C32303">
        <w:rPr>
          <w:sz w:val="24"/>
          <w:lang w:val="lv-LV"/>
        </w:rPr>
        <w:t xml:space="preserve"> </w:t>
      </w:r>
      <w:r w:rsidR="00C32303" w:rsidRPr="00C32303">
        <w:rPr>
          <w:sz w:val="24"/>
          <w:lang w:val="lv-LV"/>
        </w:rPr>
        <w:tab/>
      </w:r>
      <w:r w:rsidRPr="00C32303">
        <w:rPr>
          <w:sz w:val="24"/>
          <w:lang w:val="lv-LV"/>
        </w:rPr>
        <w:t>OV C C/2023/594, 27.10.2023.</w:t>
      </w:r>
    </w:p>
  </w:footnote>
  <w:footnote w:id="2">
    <w:p w:rsidR="009F508F" w:rsidRPr="00C32303" w:rsidRDefault="009F508F" w:rsidP="00C32303">
      <w:pPr>
        <w:pStyle w:val="FootnoteText"/>
        <w:ind w:left="567" w:hanging="567"/>
        <w:rPr>
          <w:sz w:val="24"/>
          <w:lang w:val="lv-LV"/>
        </w:rPr>
      </w:pPr>
      <w:r w:rsidRPr="00C32303">
        <w:rPr>
          <w:rStyle w:val="FootnoteReference"/>
          <w:sz w:val="24"/>
          <w:lang w:val="lv-LV"/>
        </w:rPr>
        <w:footnoteRef/>
      </w:r>
      <w:r w:rsidR="00C32303" w:rsidRPr="00C32303">
        <w:rPr>
          <w:sz w:val="24"/>
          <w:lang w:val="lv-LV"/>
        </w:rPr>
        <w:t xml:space="preserve"> </w:t>
      </w:r>
      <w:r w:rsidR="00C32303" w:rsidRPr="00C32303">
        <w:rPr>
          <w:sz w:val="24"/>
          <w:lang w:val="lv-LV"/>
        </w:rPr>
        <w:tab/>
      </w:r>
      <w:r w:rsidRPr="00C32303">
        <w:rPr>
          <w:sz w:val="24"/>
          <w:lang w:val="lv-LV"/>
        </w:rPr>
        <w:t>OV C C/2023/112, 12.10.2023.</w:t>
      </w:r>
    </w:p>
  </w:footnote>
  <w:footnote w:id="3">
    <w:p w:rsidR="009F508F" w:rsidRPr="00C32303" w:rsidRDefault="009F508F" w:rsidP="00C32303">
      <w:pPr>
        <w:pStyle w:val="FootnoteText"/>
        <w:ind w:left="567" w:hanging="567"/>
        <w:rPr>
          <w:sz w:val="24"/>
          <w:lang w:val="lv-LV"/>
        </w:rPr>
      </w:pPr>
      <w:r w:rsidRPr="00C32303">
        <w:rPr>
          <w:rStyle w:val="FootnoteReference"/>
          <w:sz w:val="24"/>
          <w:lang w:val="lv-LV"/>
        </w:rPr>
        <w:footnoteRef/>
      </w:r>
      <w:r w:rsidR="00C32303" w:rsidRPr="00C32303">
        <w:rPr>
          <w:sz w:val="24"/>
          <w:lang w:val="lv-LV"/>
        </w:rPr>
        <w:t xml:space="preserve"> </w:t>
      </w:r>
      <w:r w:rsidR="00C32303" w:rsidRPr="00C32303">
        <w:rPr>
          <w:sz w:val="24"/>
          <w:lang w:val="lv-LV"/>
        </w:rPr>
        <w:tab/>
      </w:r>
      <w:r w:rsidRPr="00C32303">
        <w:rPr>
          <w:sz w:val="24"/>
          <w:lang w:val="lv-LV"/>
        </w:rPr>
        <w:t>OV L 193, 30.7.2018., 1. lpp.</w:t>
      </w:r>
    </w:p>
  </w:footnote>
  <w:footnote w:id="4">
    <w:p w:rsidR="009F508F" w:rsidRPr="00C32303" w:rsidRDefault="009F508F" w:rsidP="00C32303">
      <w:pPr>
        <w:pStyle w:val="FootnoteText"/>
        <w:ind w:left="567" w:hanging="567"/>
        <w:rPr>
          <w:sz w:val="24"/>
          <w:lang w:val="lv-LV"/>
        </w:rPr>
      </w:pPr>
      <w:r w:rsidRPr="00C32303">
        <w:rPr>
          <w:rStyle w:val="FootnoteReference"/>
          <w:sz w:val="24"/>
          <w:lang w:val="lv-LV"/>
        </w:rPr>
        <w:footnoteRef/>
      </w:r>
      <w:r w:rsidR="00C32303" w:rsidRPr="00C32303">
        <w:rPr>
          <w:sz w:val="24"/>
          <w:lang w:val="lv-LV"/>
        </w:rPr>
        <w:t xml:space="preserve"> </w:t>
      </w:r>
      <w:r w:rsidR="00C32303" w:rsidRPr="00C32303">
        <w:rPr>
          <w:sz w:val="24"/>
          <w:lang w:val="lv-LV"/>
        </w:rPr>
        <w:tab/>
      </w:r>
      <w:r w:rsidRPr="00C32303">
        <w:rPr>
          <w:sz w:val="24"/>
          <w:lang w:val="lv-LV"/>
        </w:rPr>
        <w:t>OV L 41, 15.2.2008., 15. lpp.</w:t>
      </w:r>
    </w:p>
  </w:footnote>
  <w:footnote w:id="5">
    <w:p w:rsidR="009F508F" w:rsidRPr="00C32303" w:rsidRDefault="009F508F" w:rsidP="00C32303">
      <w:pPr>
        <w:pStyle w:val="FootnoteText"/>
        <w:ind w:left="567" w:hanging="567"/>
        <w:rPr>
          <w:sz w:val="24"/>
          <w:lang w:val="lv-LV"/>
        </w:rPr>
      </w:pPr>
      <w:r w:rsidRPr="00C32303">
        <w:rPr>
          <w:rStyle w:val="FootnoteReference"/>
          <w:sz w:val="24"/>
          <w:lang w:val="lv-LV"/>
        </w:rPr>
        <w:footnoteRef/>
      </w:r>
      <w:r w:rsidR="00C32303" w:rsidRPr="00C32303">
        <w:rPr>
          <w:sz w:val="24"/>
          <w:lang w:val="lv-LV"/>
        </w:rPr>
        <w:t xml:space="preserve"> </w:t>
      </w:r>
      <w:r w:rsidR="00C32303" w:rsidRPr="00C32303">
        <w:rPr>
          <w:sz w:val="24"/>
          <w:lang w:val="lv-LV"/>
        </w:rPr>
        <w:tab/>
      </w:r>
      <w:r w:rsidRPr="00C32303">
        <w:rPr>
          <w:sz w:val="24"/>
          <w:lang w:val="lv-LV"/>
        </w:rPr>
        <w:t>OV C C/2023/594, 27.10.2023.</w:t>
      </w:r>
    </w:p>
  </w:footnote>
  <w:footnote w:id="6">
    <w:p w:rsidR="009F508F" w:rsidRPr="00C32303" w:rsidRDefault="009F508F" w:rsidP="00C32303">
      <w:pPr>
        <w:pStyle w:val="FootnoteText"/>
        <w:ind w:left="567" w:hanging="567"/>
        <w:rPr>
          <w:sz w:val="24"/>
          <w:lang w:val="lv-LV"/>
        </w:rPr>
      </w:pPr>
      <w:r w:rsidRPr="00C32303">
        <w:rPr>
          <w:rStyle w:val="FootnoteReference"/>
          <w:sz w:val="24"/>
          <w:lang w:val="lv-LV"/>
        </w:rPr>
        <w:footnoteRef/>
      </w:r>
      <w:r w:rsidR="00C32303" w:rsidRPr="00C32303">
        <w:rPr>
          <w:sz w:val="24"/>
          <w:lang w:val="lv-LV"/>
        </w:rPr>
        <w:t xml:space="preserve"> </w:t>
      </w:r>
      <w:r w:rsidR="00C32303" w:rsidRPr="00C32303">
        <w:rPr>
          <w:sz w:val="24"/>
          <w:lang w:val="lv-LV"/>
        </w:rPr>
        <w:tab/>
      </w:r>
      <w:r w:rsidRPr="00C32303">
        <w:rPr>
          <w:sz w:val="24"/>
          <w:lang w:val="lv-LV"/>
        </w:rPr>
        <w:t>OV C C/2023/112, 12.10.2023.</w:t>
      </w:r>
    </w:p>
  </w:footnote>
  <w:footnote w:id="7">
    <w:p w:rsidR="009F508F" w:rsidRPr="00C32303" w:rsidRDefault="009F508F" w:rsidP="00C32303">
      <w:pPr>
        <w:pStyle w:val="FootnoteText"/>
        <w:ind w:left="567" w:hanging="567"/>
        <w:rPr>
          <w:sz w:val="24"/>
          <w:lang w:val="lv-LV"/>
        </w:rPr>
      </w:pPr>
      <w:r w:rsidRPr="00C32303">
        <w:rPr>
          <w:rStyle w:val="FootnoteReference"/>
          <w:sz w:val="24"/>
          <w:lang w:val="lv-LV"/>
        </w:rPr>
        <w:footnoteRef/>
      </w:r>
      <w:r w:rsidR="00C32303" w:rsidRPr="00C32303">
        <w:rPr>
          <w:sz w:val="24"/>
          <w:lang w:val="lv-LV"/>
        </w:rPr>
        <w:t xml:space="preserve"> </w:t>
      </w:r>
      <w:r w:rsidR="00C32303" w:rsidRPr="00C32303">
        <w:rPr>
          <w:sz w:val="24"/>
          <w:lang w:val="lv-LV"/>
        </w:rPr>
        <w:tab/>
      </w:r>
      <w:r w:rsidRPr="00C32303">
        <w:rPr>
          <w:sz w:val="24"/>
          <w:lang w:val="lv-LV"/>
        </w:rPr>
        <w:t>OV L 193, 30.7.2018., 1. lpp.</w:t>
      </w:r>
    </w:p>
  </w:footnote>
  <w:footnote w:id="8">
    <w:p w:rsidR="009F508F" w:rsidRPr="00C32303" w:rsidRDefault="009F508F" w:rsidP="00C32303">
      <w:pPr>
        <w:pStyle w:val="FootnoteText"/>
        <w:ind w:left="567" w:hanging="567"/>
        <w:rPr>
          <w:sz w:val="24"/>
          <w:lang w:val="lv-LV"/>
        </w:rPr>
      </w:pPr>
      <w:r w:rsidRPr="00C32303">
        <w:rPr>
          <w:rStyle w:val="FootnoteReference"/>
          <w:sz w:val="24"/>
          <w:lang w:val="lv-LV"/>
        </w:rPr>
        <w:footnoteRef/>
      </w:r>
      <w:r w:rsidR="00C32303" w:rsidRPr="00C32303">
        <w:rPr>
          <w:sz w:val="24"/>
          <w:lang w:val="lv-LV"/>
        </w:rPr>
        <w:t xml:space="preserve"> </w:t>
      </w:r>
      <w:r w:rsidR="00C32303" w:rsidRPr="00C32303">
        <w:rPr>
          <w:sz w:val="24"/>
          <w:lang w:val="lv-LV"/>
        </w:rPr>
        <w:tab/>
      </w:r>
      <w:r w:rsidRPr="00C32303">
        <w:rPr>
          <w:sz w:val="24"/>
          <w:lang w:val="lv-LV"/>
        </w:rPr>
        <w:t>OV L 41, 15.2.2008., 15. lpp.</w:t>
      </w:r>
    </w:p>
  </w:footnote>
  <w:footnote w:id="9">
    <w:p w:rsidR="00FD3B5A" w:rsidRPr="00C32303" w:rsidRDefault="00FD3B5A" w:rsidP="00C32303">
      <w:pPr>
        <w:pStyle w:val="FootnoteText"/>
        <w:ind w:left="567" w:hanging="567"/>
        <w:rPr>
          <w:sz w:val="24"/>
          <w:lang w:val="lv-LV"/>
        </w:rPr>
      </w:pPr>
      <w:r w:rsidRPr="00C32303">
        <w:rPr>
          <w:rStyle w:val="FootnoteReference"/>
          <w:sz w:val="24"/>
          <w:lang w:val="lv-LV"/>
        </w:rPr>
        <w:footnoteRef/>
      </w:r>
      <w:r w:rsidRPr="00C32303">
        <w:rPr>
          <w:sz w:val="24"/>
          <w:lang w:val="lv-LV"/>
        </w:rPr>
        <w:t xml:space="preserve"> </w:t>
      </w:r>
      <w:r w:rsidRPr="00C32303">
        <w:rPr>
          <w:sz w:val="24"/>
          <w:lang w:val="lv-LV"/>
        </w:rPr>
        <w:tab/>
        <w:t xml:space="preserve">Pieņemtie teksti, </w:t>
      </w:r>
      <w:r w:rsidRPr="00C32303">
        <w:rPr>
          <w:sz w:val="24"/>
          <w:lang w:val="lv-LV"/>
        </w:rPr>
        <w:t>P9_TA(2024)0</w:t>
      </w:r>
      <w:r w:rsidR="0049172B">
        <w:rPr>
          <w:sz w:val="24"/>
          <w:lang w:val="lv-LV"/>
        </w:rPr>
        <w:t>280</w:t>
      </w:r>
      <w:bookmarkStart w:id="10" w:name="_GoBack"/>
      <w:bookmarkEnd w:id="10"/>
      <w:r w:rsidRPr="00C32303">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08F" w:rsidRPr="00C32303" w:rsidRDefault="009F50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08F" w:rsidRPr="00C32303" w:rsidRDefault="009F50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08F" w:rsidRPr="00C32303" w:rsidRDefault="009F50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230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230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23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LV"/>
    <w:docVar w:name="dvnumam" w:val="0"/>
    <w:docVar w:name="dvpe" w:val="753.529"/>
    <w:docVar w:name="dvrapporteur" w:val="Referents: "/>
    <w:docVar w:name="dvtitre" w:val="Eiropas Parlamenta 2024. gada XX. XXX lēmums par Euratom Apgādes aģentūras 2022. finanšu gada budžeta izpildes apstiprināšanu(2023/2161(DEC))"/>
  </w:docVars>
  <w:rsids>
    <w:rsidRoot w:val="00DE664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172B"/>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08F"/>
    <w:rsid w:val="00A1687D"/>
    <w:rsid w:val="00A43E52"/>
    <w:rsid w:val="00A4678D"/>
    <w:rsid w:val="00A778C7"/>
    <w:rsid w:val="00AB441E"/>
    <w:rsid w:val="00AB6293"/>
    <w:rsid w:val="00AE0928"/>
    <w:rsid w:val="00AF3B82"/>
    <w:rsid w:val="00B12E95"/>
    <w:rsid w:val="00B22876"/>
    <w:rsid w:val="00B558F0"/>
    <w:rsid w:val="00B739AA"/>
    <w:rsid w:val="00BD48FE"/>
    <w:rsid w:val="00BD7BD8"/>
    <w:rsid w:val="00BE6ADC"/>
    <w:rsid w:val="00C05BFE"/>
    <w:rsid w:val="00C23CD4"/>
    <w:rsid w:val="00C32303"/>
    <w:rsid w:val="00C61C0C"/>
    <w:rsid w:val="00C941CB"/>
    <w:rsid w:val="00CC2357"/>
    <w:rsid w:val="00CF071A"/>
    <w:rsid w:val="00D058B8"/>
    <w:rsid w:val="00D56C11"/>
    <w:rsid w:val="00D834A0"/>
    <w:rsid w:val="00D872DF"/>
    <w:rsid w:val="00D91E21"/>
    <w:rsid w:val="00DA7FCD"/>
    <w:rsid w:val="00DE6643"/>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B5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9DCEF4"/>
  <w15:chartTrackingRefBased/>
  <w15:docId w15:val="{A345A536-9D9A-4ECC-96D1-A91C8B3F0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F508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F508F"/>
    <w:pPr>
      <w:spacing w:before="480" w:after="240"/>
    </w:pPr>
  </w:style>
  <w:style w:type="paragraph" w:customStyle="1" w:styleId="PageHeading">
    <w:name w:val="PageHeading"/>
    <w:basedOn w:val="Normal"/>
    <w:rsid w:val="009F508F"/>
    <w:pPr>
      <w:keepNext/>
      <w:spacing w:after="480"/>
      <w:jc w:val="center"/>
    </w:pPr>
    <w:rPr>
      <w:rFonts w:ascii="Arial" w:hAnsi="Arial" w:cs="Arial"/>
      <w:b/>
    </w:rPr>
  </w:style>
  <w:style w:type="paragraph" w:customStyle="1" w:styleId="NormalBold">
    <w:name w:val="NormalBold"/>
    <w:basedOn w:val="Normal"/>
    <w:rsid w:val="009F508F"/>
    <w:rPr>
      <w:b/>
    </w:rPr>
  </w:style>
  <w:style w:type="paragraph" w:customStyle="1" w:styleId="NormalHanging12a">
    <w:name w:val="NormalHanging12a"/>
    <w:basedOn w:val="Normal"/>
    <w:link w:val="NormalHanging12aChar"/>
    <w:rsid w:val="009F508F"/>
    <w:pPr>
      <w:spacing w:after="240"/>
      <w:ind w:left="567" w:hanging="567"/>
    </w:pPr>
  </w:style>
  <w:style w:type="paragraph" w:customStyle="1" w:styleId="NormalCenter12a">
    <w:name w:val="NormalCenter12a"/>
    <w:basedOn w:val="Normal"/>
    <w:rsid w:val="009F508F"/>
    <w:pPr>
      <w:spacing w:after="240"/>
      <w:jc w:val="center"/>
    </w:pPr>
  </w:style>
  <w:style w:type="paragraph" w:styleId="Header">
    <w:name w:val="header"/>
    <w:basedOn w:val="Normal"/>
    <w:link w:val="HeaderChar"/>
    <w:rsid w:val="009F508F"/>
    <w:pPr>
      <w:tabs>
        <w:tab w:val="center" w:pos="4513"/>
        <w:tab w:val="right" w:pos="9026"/>
      </w:tabs>
    </w:pPr>
  </w:style>
  <w:style w:type="character" w:customStyle="1" w:styleId="HeaderChar">
    <w:name w:val="Header Char"/>
    <w:basedOn w:val="DefaultParagraphFont"/>
    <w:link w:val="Header"/>
    <w:rsid w:val="009F508F"/>
    <w:rPr>
      <w:sz w:val="24"/>
      <w:lang w:val="lv-LV"/>
    </w:rPr>
  </w:style>
  <w:style w:type="paragraph" w:customStyle="1" w:styleId="EPFooter">
    <w:name w:val="EPFooter"/>
    <w:basedOn w:val="Normal"/>
    <w:rsid w:val="009F508F"/>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9F508F"/>
    <w:rPr>
      <w:sz w:val="24"/>
      <w:lang w:val="lv-LV"/>
    </w:rPr>
  </w:style>
  <w:style w:type="paragraph" w:styleId="BalloonText">
    <w:name w:val="Balloon Text"/>
    <w:basedOn w:val="Normal"/>
    <w:link w:val="BalloonTextChar"/>
    <w:rsid w:val="00FD3B5A"/>
    <w:rPr>
      <w:rFonts w:ascii="Segoe UI" w:hAnsi="Segoe UI" w:cs="Segoe UI"/>
      <w:sz w:val="18"/>
      <w:szCs w:val="18"/>
    </w:rPr>
  </w:style>
  <w:style w:type="character" w:customStyle="1" w:styleId="BalloonTextChar">
    <w:name w:val="Balloon Text Char"/>
    <w:basedOn w:val="DefaultParagraphFont"/>
    <w:link w:val="BalloonText"/>
    <w:rsid w:val="00FD3B5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A71F2-A156-47FB-A6F6-977109B29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1951</Words>
  <Characters>12855</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2024-04-11T15:38:00Z</dcterms:created>
  <dcterms:modified xsi:type="dcterms:W3CDTF">2024-04-11T15:38:00Z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A9-0108/2024</vt:lpwstr>
  </property>
  <property fmtid="{D5CDD505-2E9C-101B-9397-08002B2CF9AE}" pid="4" name="&lt;Type&gt;">
    <vt:lpwstr>RR</vt:lpwstr>
  </property>
</Properties>
</file>