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1A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81AAC" w:rsidRDefault="00CE5C11" w:rsidP="0010095E">
            <w:pPr>
              <w:pStyle w:val="EPName"/>
            </w:pPr>
            <w:r w:rsidRPr="00981AAC">
              <w:t>Parlament Ewropew</w:t>
            </w:r>
          </w:p>
          <w:p w:rsidR="00751A4A" w:rsidRPr="00981A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1AA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81AAC" w:rsidRDefault="00187494" w:rsidP="0010095E">
            <w:pPr>
              <w:pStyle w:val="EPLogo"/>
            </w:pPr>
            <w:r w:rsidRPr="00981AA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81AAC" w:rsidRDefault="00D058B8" w:rsidP="004C5D52">
      <w:pPr>
        <w:pStyle w:val="LineTop"/>
      </w:pPr>
    </w:p>
    <w:p w:rsidR="00680577" w:rsidRPr="00981AAC" w:rsidRDefault="00CE5C11" w:rsidP="00680577">
      <w:pPr>
        <w:pStyle w:val="EPBodyTA1"/>
      </w:pPr>
      <w:r w:rsidRPr="00981AAC">
        <w:t>TESTI ADOTTATI</w:t>
      </w:r>
    </w:p>
    <w:p w:rsidR="00D058B8" w:rsidRPr="00981AAC" w:rsidRDefault="00D058B8" w:rsidP="00D058B8">
      <w:pPr>
        <w:pStyle w:val="LineBottom"/>
      </w:pPr>
    </w:p>
    <w:p w:rsidR="00CE5C11" w:rsidRPr="00981AAC" w:rsidRDefault="00CE5C11" w:rsidP="00CE5C11">
      <w:pPr>
        <w:pStyle w:val="ATHeading1"/>
      </w:pPr>
      <w:bookmarkStart w:id="0" w:name="TANumber"/>
      <w:r w:rsidRPr="00981AAC">
        <w:t>P9_TA(2024)0</w:t>
      </w:r>
      <w:r w:rsidR="00312163">
        <w:t>259</w:t>
      </w:r>
      <w:bookmarkEnd w:id="0"/>
    </w:p>
    <w:p w:rsidR="00CE5C11" w:rsidRPr="00981AAC" w:rsidRDefault="00CE5C11" w:rsidP="00CE5C11">
      <w:pPr>
        <w:pStyle w:val="ATHeading2"/>
      </w:pPr>
      <w:bookmarkStart w:id="1" w:name="title"/>
      <w:r w:rsidRPr="00981AAC">
        <w:t>Kwittanza 2022: L-Aġenzija Fornitriċi tal-Euratom</w:t>
      </w:r>
      <w:bookmarkEnd w:id="1"/>
    </w:p>
    <w:p w:rsidR="00CE5C11" w:rsidRPr="00981AAC" w:rsidRDefault="00CE5C11" w:rsidP="00CE5C11">
      <w:pPr>
        <w:rPr>
          <w:i/>
          <w:vanish/>
        </w:rPr>
      </w:pPr>
      <w:r w:rsidRPr="00981AAC">
        <w:rPr>
          <w:i/>
        </w:rPr>
        <w:fldChar w:fldCharType="begin"/>
      </w:r>
      <w:r w:rsidRPr="00981AAC">
        <w:rPr>
          <w:i/>
        </w:rPr>
        <w:instrText xml:space="preserve"> TC"(</w:instrText>
      </w:r>
      <w:bookmarkStart w:id="2" w:name="DocNumber"/>
      <w:r w:rsidRPr="00981AAC">
        <w:rPr>
          <w:i/>
        </w:rPr>
        <w:instrText>A9-0108/2024</w:instrText>
      </w:r>
      <w:bookmarkEnd w:id="2"/>
      <w:r w:rsidRPr="00981AAC">
        <w:rPr>
          <w:i/>
        </w:rPr>
        <w:instrText xml:space="preserve"> - Rapporteur: Petri Sarvamaa)"\l3 \n&gt; \* MERGEFORMAT </w:instrText>
      </w:r>
      <w:r w:rsidRPr="00981AAC">
        <w:rPr>
          <w:i/>
        </w:rPr>
        <w:fldChar w:fldCharType="end"/>
      </w:r>
    </w:p>
    <w:p w:rsidR="00CE5C11" w:rsidRPr="00981AAC" w:rsidRDefault="00CE5C11" w:rsidP="00CE5C11">
      <w:pPr>
        <w:rPr>
          <w:vanish/>
        </w:rPr>
      </w:pPr>
      <w:bookmarkStart w:id="3" w:name="Commission"/>
      <w:r w:rsidRPr="00981AAC">
        <w:rPr>
          <w:vanish/>
        </w:rPr>
        <w:t>Kumitat għall-Kontroll tal-Baġit</w:t>
      </w:r>
      <w:bookmarkEnd w:id="3"/>
    </w:p>
    <w:p w:rsidR="00CE5C11" w:rsidRPr="00981AAC" w:rsidRDefault="00CE5C11" w:rsidP="00CE5C11">
      <w:pPr>
        <w:rPr>
          <w:vanish/>
        </w:rPr>
      </w:pPr>
      <w:bookmarkStart w:id="4" w:name="PE"/>
      <w:r w:rsidRPr="00981AAC">
        <w:rPr>
          <w:vanish/>
        </w:rPr>
        <w:t>PE753.529</w:t>
      </w:r>
      <w:bookmarkEnd w:id="4"/>
    </w:p>
    <w:p w:rsidR="00CE5C11" w:rsidRPr="00981AAC" w:rsidRDefault="005C6D71" w:rsidP="00CE5C11">
      <w:pPr>
        <w:pStyle w:val="ATHeading3"/>
      </w:pPr>
      <w:bookmarkStart w:id="5" w:name="Sujet"/>
      <w:r>
        <w:t xml:space="preserve">1. </w:t>
      </w:r>
      <w:r w:rsidR="00CE5C11" w:rsidRPr="00981AAC">
        <w:t>Deċiżjoni tal-Parlament Ewropew tal-11 ta' April 2024 dwar il-kwittanza għall-implimentazzjoni tal-baġit tal-Aġenzija Fornitriċi tal-Euratom għas-sena finanzjarja 2022</w:t>
      </w:r>
      <w:bookmarkEnd w:id="5"/>
      <w:r w:rsidR="00CE5C11" w:rsidRPr="00981AAC">
        <w:t xml:space="preserve"> </w:t>
      </w:r>
      <w:bookmarkStart w:id="6" w:name="References"/>
      <w:r w:rsidR="00CE5C11" w:rsidRPr="00981AAC">
        <w:t>(2023/2161(DEC))</w:t>
      </w:r>
      <w:bookmarkEnd w:id="6"/>
    </w:p>
    <w:p w:rsidR="007425A3" w:rsidRPr="00981AAC" w:rsidRDefault="007425A3" w:rsidP="007425A3">
      <w:pPr>
        <w:pStyle w:val="EPComma"/>
      </w:pPr>
      <w:bookmarkStart w:id="7" w:name="TextBodyBegin"/>
      <w:bookmarkEnd w:id="7"/>
      <w:r w:rsidRPr="00981AAC">
        <w:rPr>
          <w:i/>
          <w:iCs/>
        </w:rPr>
        <w:t>Il-Parlament Ewropew,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l-kontijiet annwali finali tal-Aġenzija Fornitriċi tal-Euratom għas-sena finanzjarja 2022,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r-rapport annwali tal-Qorti tal-Awdituri dwar l-aġenziji tal-UE għas-sena finanzjarja 2022, flimkien mar-risposti tal-aġenziji</w:t>
      </w:r>
      <w:r w:rsidRPr="00981AAC">
        <w:rPr>
          <w:rStyle w:val="FootnoteReference"/>
        </w:rPr>
        <w:footnoteReference w:id="1"/>
      </w:r>
      <w:r w:rsidRPr="00981AAC">
        <w:t>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d-dikjarazzjoni ta’ assigurazzjoni</w:t>
      </w:r>
      <w:r w:rsidRPr="00981AAC">
        <w:rPr>
          <w:rStyle w:val="FootnoteReference"/>
        </w:rPr>
        <w:footnoteReference w:id="2"/>
      </w:r>
      <w:r w:rsidRPr="00981AAC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r-rakkomandazzjoni tal-Kunsill tat-22 ta’ Frar 2024 dwar il-kwittanza li għandha tingħata lill-Aġenzija fir-rigward tal-implimentazzjoni tal-baġit għas-sena finanzjarja 2022 (</w:t>
      </w:r>
      <w:r w:rsidR="00F166B1">
        <w:t>06180</w:t>
      </w:r>
      <w:r w:rsidRPr="00981AAC">
        <w:t>/2024 – C9</w:t>
      </w:r>
      <w:r w:rsidRPr="00981AAC">
        <w:noBreakHyphen/>
      </w:r>
      <w:r w:rsidR="00F166B1">
        <w:t>0099</w:t>
      </w:r>
      <w:r w:rsidRPr="00981AAC">
        <w:t>/2024)),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319 tat-Trattat dwar il-Funzjonament tal-Unjoni Ewropea,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106a tat-Trattat li jistabbilixxi l-Komunità Ewropea tal-Enerġija Atomika,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</w:t>
      </w:r>
      <w:r w:rsidR="00FA3BAF">
        <w:t xml:space="preserve"> r-Regolament (UE, Euratom) </w:t>
      </w:r>
      <w:r w:rsidRPr="00981AAC">
        <w:t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81AAC">
        <w:rPr>
          <w:rStyle w:val="FootnoteReference"/>
        </w:rPr>
        <w:footnoteReference w:id="3"/>
      </w:r>
      <w:r w:rsidRPr="00981AAC">
        <w:t>, u b’mod partikolari l-Artikolu 68 tiegħu,</w:t>
      </w:r>
    </w:p>
    <w:p w:rsidR="007425A3" w:rsidRPr="00981AAC" w:rsidRDefault="007425A3" w:rsidP="007425A3">
      <w:pPr>
        <w:pStyle w:val="NormalHanging12a"/>
      </w:pPr>
      <w:r w:rsidRPr="00981AAC">
        <w:lastRenderedPageBreak/>
        <w:t>–</w:t>
      </w:r>
      <w:r w:rsidRPr="00981AAC">
        <w:tab/>
        <w:t>wara li kkunsidra d-Deċiżjoni tal-Kunsill 2008/114/KE, Euratom tat-12 ta’ Frar 2008 li tistabbilixxi l-Istatuti tal-Aġenzija Fornitriċi tal-Euratom</w:t>
      </w:r>
      <w:r w:rsidRPr="00981AAC">
        <w:rPr>
          <w:rStyle w:val="FootnoteReference"/>
        </w:rPr>
        <w:footnoteReference w:id="4"/>
      </w:r>
      <w:r w:rsidRPr="00981AAC">
        <w:t>, u b’mod partikolari l-Artikolu 8 tal-Anness tagħha,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100 u l-Anness V tar-Regoli ta’ Proċedura tiegħu,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rapport tal-Kumitat għall-Kontroll tal-Baġit (A9-0108/2024),</w:t>
      </w:r>
    </w:p>
    <w:p w:rsidR="007425A3" w:rsidRPr="00981AAC" w:rsidRDefault="007425A3" w:rsidP="007425A3">
      <w:pPr>
        <w:pStyle w:val="NormalHanging12a"/>
      </w:pPr>
      <w:r w:rsidRPr="00981AAC">
        <w:t>1.</w:t>
      </w:r>
      <w:r w:rsidRPr="00981AAC">
        <w:tab/>
        <w:t>Jagħti l-kwittanza lill-Aġent Direttur Ġenerali tal-Aġenzija Fornitriċi tal-Euratom għall-implimentazzjoni tal-baġit tal-Aġenzija għas-sena finanzjarja 2022;</w:t>
      </w:r>
    </w:p>
    <w:p w:rsidR="007425A3" w:rsidRPr="00981AAC" w:rsidRDefault="007425A3" w:rsidP="007425A3">
      <w:pPr>
        <w:pStyle w:val="NormalHanging12a"/>
      </w:pPr>
      <w:r w:rsidRPr="00981AAC">
        <w:t>2.</w:t>
      </w:r>
      <w:r w:rsidRPr="00981AAC">
        <w:tab/>
        <w:t>Jippreżenta l-kummenti tiegħu fir-riżoluzzjoni t’hawn taħt;</w:t>
      </w:r>
    </w:p>
    <w:p w:rsidR="007425A3" w:rsidRPr="00981AAC" w:rsidRDefault="007425A3" w:rsidP="007425A3">
      <w:pPr>
        <w:pStyle w:val="NormalHanging12a"/>
      </w:pPr>
      <w:r w:rsidRPr="00981AAC">
        <w:t>3.</w:t>
      </w:r>
      <w:r w:rsidRPr="00981AAC">
        <w:tab/>
        <w:t>Jagħti istruzzjonijiet lill-President tiegħu biex tgħaddi din id-deċiżjoni, kif ukoll ir-riżoluzzjoni li hija parti integrali minnha, lid-Direttur Ġenerali tal-Aġenzija Fornitriċi tal-Euratom, lill-Kunsill, lill-Kummissjoni u lill-Qorti tal-Awdituri, u biex tiżgura li jiġu ppubblikati f’</w:t>
      </w:r>
      <w:r w:rsidRPr="00981AAC">
        <w:rPr>
          <w:i/>
          <w:iCs/>
        </w:rPr>
        <w:t>Il-Ġurnal Uffiċjali tal-Unjoni Ewropea</w:t>
      </w:r>
      <w:r w:rsidRPr="00981AAC">
        <w:t xml:space="preserve"> (serje L).</w:t>
      </w:r>
    </w:p>
    <w:p w:rsidR="007425A3" w:rsidRPr="00981AAC" w:rsidRDefault="007425A3" w:rsidP="007425A3"/>
    <w:p w:rsidR="007425A3" w:rsidRPr="00981AAC" w:rsidRDefault="007425A3" w:rsidP="007425A3">
      <w:pPr>
        <w:pStyle w:val="PageHeading"/>
        <w:sectPr w:rsidR="007425A3" w:rsidRPr="00981AAC" w:rsidSect="00981A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425A3" w:rsidRPr="00981AAC" w:rsidRDefault="005C6D71" w:rsidP="005C6D71">
      <w:pPr>
        <w:pStyle w:val="ATHeading3"/>
      </w:pPr>
      <w:r>
        <w:lastRenderedPageBreak/>
        <w:t xml:space="preserve">2. Deċiżjoni tal-Parlament Ewropew tal-11 ta’ April 2024 </w:t>
      </w:r>
      <w:r w:rsidR="007425A3" w:rsidRPr="00981AAC">
        <w:t>dwar l-għeluq tal-kontijiet tal-Aġenzija Fornitriċi tal-Euratom għas-sena finanzjarja 2022</w:t>
      </w:r>
      <w:r>
        <w:t xml:space="preserve"> </w:t>
      </w:r>
      <w:r w:rsidR="007425A3" w:rsidRPr="00981AAC">
        <w:t>(2023/2161(DEC))</w:t>
      </w:r>
    </w:p>
    <w:p w:rsidR="007425A3" w:rsidRPr="00981AAC" w:rsidRDefault="007425A3" w:rsidP="007425A3">
      <w:pPr>
        <w:pStyle w:val="EPComma"/>
      </w:pPr>
      <w:r w:rsidRPr="00981AAC">
        <w:rPr>
          <w:i/>
          <w:iCs/>
        </w:rPr>
        <w:t>Il-Parlament Ewropew,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l-kontijiet annwali finali tal-Aġenzija Fornitriċi tal-Euratom għas-sena finanzjarja 2022,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r-rapport annwali tal-Qorti tal-Awdituri dwar l-aġenziji tal-UE għas-sena finanzjarja 2022, flimkien mar-risposti tal-aġenziji</w:t>
      </w:r>
      <w:r w:rsidRPr="00981AAC">
        <w:rPr>
          <w:rStyle w:val="FootnoteReference"/>
        </w:rPr>
        <w:footnoteReference w:id="5"/>
      </w:r>
      <w:r w:rsidRPr="00981AAC">
        <w:t>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d-dikjarazzjoni ta’ assigurazzjoni</w:t>
      </w:r>
      <w:r w:rsidRPr="00981AAC">
        <w:rPr>
          <w:rStyle w:val="FootnoteReference"/>
        </w:rPr>
        <w:footnoteReference w:id="6"/>
      </w:r>
      <w:r w:rsidRPr="00981AAC">
        <w:t xml:space="preserve"> dwar l-affidabbiltà tal-kontijiet u l-legalità u r-regolarità tat-tranżazzjonijiet ta’ bażi, ipprovduta mill-Qorti tal-Awdituri għas-sena finanzjarja 2022 skont l-Artikolu 287 tat-Trattat dwar il-Funzjonament tal-Unjoni Ewropea,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r-rakkomandazzjoni tal-Kunsill tat-22 ta’ Frar 2024 dwar il-kwittanza li għandha tingħata lill-Aġenzija fir-rigward tal-implimentazzjoni tal-baġit għas-sena finanzjarja 2022 (</w:t>
      </w:r>
      <w:r w:rsidR="00F166B1">
        <w:t>06180</w:t>
      </w:r>
      <w:r w:rsidRPr="00981AAC">
        <w:t>/2024 – C9</w:t>
      </w:r>
      <w:r w:rsidRPr="00981AAC">
        <w:noBreakHyphen/>
      </w:r>
      <w:r w:rsidR="00F166B1">
        <w:t>0099</w:t>
      </w:r>
      <w:r w:rsidRPr="00981AAC">
        <w:t>/2024)),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319 tat-Trattat dwar il-Funzjonament tal-Unjoni Ewropea,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106a tat-Trattat li jistabbilixxi l-Komunità Ewropea tal-Enerġija Atomika,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</w:t>
      </w:r>
      <w:r w:rsidR="00FA3BAF">
        <w:t xml:space="preserve"> r-Regolament (UE, Euratom) </w:t>
      </w:r>
      <w:bookmarkStart w:id="8" w:name="_GoBack"/>
      <w:bookmarkEnd w:id="8"/>
      <w:r w:rsidRPr="00981AAC">
        <w:t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81AAC">
        <w:rPr>
          <w:rStyle w:val="FootnoteReference"/>
        </w:rPr>
        <w:footnoteReference w:id="7"/>
      </w:r>
      <w:r w:rsidRPr="00981AAC">
        <w:t>, u b’mod partikolari l-Artikolu 68 tiegħu,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d-Deċiżjoni tal-Kunsill 2008/114/KE, Euratom tat-12 ta’ Frar 2008 li tistabbilixxi l-Istatuti tal-Aġenzija Fornitriċi tal-Euratom</w:t>
      </w:r>
      <w:r w:rsidRPr="00981AAC">
        <w:rPr>
          <w:rStyle w:val="FootnoteReference"/>
        </w:rPr>
        <w:footnoteReference w:id="8"/>
      </w:r>
      <w:r w:rsidRPr="00981AAC">
        <w:t>, u b’mod partikolari l-Artikolu 8 tal-Anness tagħha,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100 u l-Anness V tar-Regoli ta’ Proċedura tiegħu,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rapport tal-Kumitat għall-Kontroll tal-Baġit (A9-0108/2024),</w:t>
      </w:r>
    </w:p>
    <w:p w:rsidR="007425A3" w:rsidRPr="00981AAC" w:rsidRDefault="007425A3" w:rsidP="007425A3">
      <w:pPr>
        <w:pStyle w:val="NormalHanging12a"/>
      </w:pPr>
      <w:r w:rsidRPr="00981AAC">
        <w:t>1.</w:t>
      </w:r>
      <w:r w:rsidRPr="00981AAC">
        <w:tab/>
        <w:t>Japprova l-għeluq tal-kontijiet tal-Aġenzija Fornitriċi tal-Euratom għas-sena finanzjarja 2022;</w:t>
      </w:r>
    </w:p>
    <w:p w:rsidR="007425A3" w:rsidRPr="00981AAC" w:rsidRDefault="007425A3" w:rsidP="007425A3">
      <w:pPr>
        <w:pStyle w:val="NormalHanging12a"/>
      </w:pPr>
      <w:r w:rsidRPr="00981AAC">
        <w:t>2.</w:t>
      </w:r>
      <w:r w:rsidRPr="00981AAC">
        <w:tab/>
        <w:t>Jagħti istruzzjonijiet lill-President tiegħu biex tgħaddi din id-deċiżjoni lill-Aġent Direttur Ġenerali tal-Aġenzija Fornitriċi tal-Euratom, lill-Kunsill, lill-Kummissjoni u lill-Qorti tal-Awdituri, u biex tiżgura li tiġi ppubblikata f’</w:t>
      </w:r>
      <w:r w:rsidRPr="00981AAC">
        <w:rPr>
          <w:i/>
          <w:iCs/>
        </w:rPr>
        <w:t>Il-Ġurnal Uffiċjali tal-Unjoni Ewropea</w:t>
      </w:r>
      <w:r w:rsidRPr="00981AAC">
        <w:t xml:space="preserve"> (serje L).</w:t>
      </w:r>
    </w:p>
    <w:p w:rsidR="007425A3" w:rsidRPr="00981AAC" w:rsidRDefault="007425A3" w:rsidP="007425A3"/>
    <w:p w:rsidR="007425A3" w:rsidRPr="00981AAC" w:rsidRDefault="007425A3" w:rsidP="007425A3">
      <w:pPr>
        <w:pStyle w:val="PageHeading"/>
        <w:sectPr w:rsidR="007425A3" w:rsidRPr="00981AAC" w:rsidSect="00981AA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7425A3" w:rsidRPr="00981AAC" w:rsidRDefault="005C6D71" w:rsidP="005C6D71">
      <w:pPr>
        <w:pStyle w:val="ATHeading3"/>
      </w:pPr>
      <w:r>
        <w:t xml:space="preserve">3. Riżoluzzjoni tal-Parlament Ewropew tal-11 ta’ April 2024 </w:t>
      </w:r>
      <w:r w:rsidR="007425A3" w:rsidRPr="00981AAC">
        <w:t>li tinkludi l-kummenti li jagħmlu parti integrali mid-deċiżjoni dwar il-kwittanza għall-implimentazzjoni tal-baġit tal-Aġenzija Fornitriċi tal-Euratom għas-sena finanzjarja 2022</w:t>
      </w:r>
      <w:r>
        <w:t xml:space="preserve"> </w:t>
      </w:r>
      <w:r w:rsidR="007425A3" w:rsidRPr="00981AAC">
        <w:t>(2023/2161(DEC))</w:t>
      </w:r>
    </w:p>
    <w:p w:rsidR="007425A3" w:rsidRPr="00981AAC" w:rsidRDefault="007425A3" w:rsidP="007425A3">
      <w:pPr>
        <w:pStyle w:val="EPComma"/>
      </w:pPr>
      <w:r w:rsidRPr="00981AAC">
        <w:rPr>
          <w:i/>
          <w:iCs/>
        </w:rPr>
        <w:t>Il-Parlament Ewropew,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d-deċiżjoni tiegħu dwar il-kwittanza għall-implimentazzjoni tal-baġit tal-Aġenzija Fornitriċi tal-Euratom (l-“Aġenzija”) għas-sena finanzjarja 2022,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l-Artikolu 100 u l-Anness V tar-Regoli ta’ Proċedura tiegħu,</w:t>
      </w:r>
    </w:p>
    <w:p w:rsidR="007425A3" w:rsidRPr="00981AAC" w:rsidRDefault="007425A3" w:rsidP="007425A3">
      <w:pPr>
        <w:pStyle w:val="NormalHanging12a"/>
      </w:pPr>
      <w:r w:rsidRPr="00981AAC">
        <w:t>–</w:t>
      </w:r>
      <w:r w:rsidRPr="00981AAC">
        <w:tab/>
        <w:t>wara li kkunsidra rapport tal-Kumitat għall-Kontroll tal-Baġit (A9-0108/2024),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A.</w:t>
      </w:r>
      <w:r w:rsidRPr="00981AAC">
        <w:tab/>
        <w:t>billi, skont ir-rapporti finanzjarji tad-dħul u l-infiq tagħha, il-baġit finali tal-Aġenzija għas-sena finanzjarja 2022 kien ta’ EUR 167 000, ammont li jirrappreżenta tnaqqis ta’ 20,48 % meta mqabbel mal-2021 (EUR 210 000); billi l-baġit kollu tal-Aġenzija huwa derivat mill-baġit tal-Unjoni;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B.</w:t>
      </w:r>
      <w:r w:rsidRPr="00981AAC">
        <w:tab/>
        <w:t>billi l-Qorti tal-Awdituri (il-“Qorti”), fir-rapport tagħha dwar il-kontijiet annwali tal-Aġenzija għas-sena finanzjarja 2022 (ir-“rapport tal-Qorti”), stqarret li hija kienet kisbet aċċertament raġonevoli li l-kontijiet annwali tal-Aġenzija huma affidabbli u li t-tranżazzjonijiet ta’ bażi huma legali u regolari;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C.</w:t>
      </w:r>
      <w:r w:rsidRPr="00981AAC">
        <w:tab/>
        <w:t>billi, fir-rigward tas-sistemi ta’ kontroll intern tal-Aġenzija, ma ġiet irrapportata ebda kwistjoni li teħtieġ azzjonijiet korrettivi għall-2022, u lanqas ma hemm azzjonijiet korrettivi għaddejjin jew pendenti mill-awditi u l-valutazzjonijiet tas-snin preċedenti;</w:t>
      </w:r>
    </w:p>
    <w:p w:rsidR="007425A3" w:rsidRPr="00981AAC" w:rsidRDefault="007425A3" w:rsidP="007425A3">
      <w:pPr>
        <w:spacing w:after="240"/>
        <w:ind w:left="567" w:hanging="567"/>
        <w:rPr>
          <w:b/>
          <w:i/>
          <w:szCs w:val="24"/>
        </w:rPr>
      </w:pPr>
      <w:r w:rsidRPr="00981AAC">
        <w:rPr>
          <w:b/>
          <w:i/>
        </w:rPr>
        <w:t>Ġestjoni baġitarja u finanzjarja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1.</w:t>
      </w:r>
      <w:r w:rsidRPr="00981AAC">
        <w:tab/>
        <w:t>Jinnota li l-isforzi għall-monitoraġġ tal-baġit matul is-sena finanzjarja 2022 irriżultaw fl-implimentazzjoni ta’ rata tal-approprjazzjonijiet ta’ impenji tas-sena attwali ta’ 96,88 % li tirrappreżenta tnaqqis żgħir ta’ 2,88 % meta mqabbla mal-2021, u jinnota li l-eżekuzzjoni tar-rata tal-approprjazzjonijiet ta’ pagament tas-sena attwali kienet ta’ 34,81 %, li tirrappreżenta tnaqqis ta’ 16,4 % meta mqabbla mal-2021;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2.</w:t>
      </w:r>
      <w:r w:rsidRPr="00981AAC">
        <w:tab/>
        <w:t>Jinnota li parti kbira mill-ispejjeż tal-Aġenzija huma koperti mill-Kummissjoni, inklużi EUR 1 937 817 ikkalkulati f’salarji, EUR 467 708 ikkalkulati fi spejjeż tal-bini u tal-IT u EUR 84 644 ikkalkulati fis-sistema tal-IT NOEMI (“Osservatorju Nukleari u Ġestjoni tal-Informazzjoni tal-ESA”); jinnota, barra minn hekk, li dawn l-ispejjeż huma inklużi fil-kontijiet annwali tal-Kummissjoni li jikkontribwixxu b’mod pożittiv għall-kapaċità amministrattiva tal-Aġenzija;</w:t>
      </w:r>
    </w:p>
    <w:p w:rsidR="007425A3" w:rsidRPr="00981AAC" w:rsidRDefault="007425A3" w:rsidP="007425A3">
      <w:pPr>
        <w:spacing w:after="240"/>
        <w:ind w:left="567" w:hanging="567"/>
        <w:rPr>
          <w:b/>
          <w:i/>
          <w:szCs w:val="24"/>
        </w:rPr>
      </w:pPr>
      <w:r w:rsidRPr="00981AAC">
        <w:rPr>
          <w:b/>
          <w:i/>
        </w:rPr>
        <w:t>Prestazzjoni</w:t>
      </w:r>
    </w:p>
    <w:p w:rsidR="007425A3" w:rsidRPr="00981AAC" w:rsidRDefault="007425A3" w:rsidP="007425A3">
      <w:pPr>
        <w:pStyle w:val="NormalHanging12a"/>
      </w:pPr>
      <w:r w:rsidRPr="00981AAC">
        <w:t>3.</w:t>
      </w:r>
      <w:r w:rsidRPr="00981AAC">
        <w:tab/>
        <w:t>Jenfasizza li s-sena 2022 kienet ikkaratterizzata mill-invażjoni Russa tal-Ukrajna, li qajmet tħassib tal-UE għas-sigurtà tal-enerġija b’mod ġenerali, u b’mod partikolari ddgħajjef is-sigurtà tal-provvista tal-Unjoni għall-materjali u l-fjuwil nukleari u taggrava l-kwistjonijiet ta’ dipendenza; jinnota li, ħafna impjanti tal-enerġija nukleari tal-Unjoni jiddependu fuq fornituri Russi għall-fjuwil, u li 20 sa 30 % tal-utilitajiet tal-Unjoni b’mod ġenerali huma dipendenti fuq il-provvista Russa ta’ materjali nukleari u s-servizzi taċ-ċiklu tal-fjuwil; jinnota li, filwaqt li tirrikonoxxi r-rwol tal-pagamenti għoljin għall-importazzjonijiet tal-enerġija fl-appoġġ tal-azzjonijiet tar-Russja, l-Unjoni ddeċidiet li tnaqqas id-dipendenza tagħha fuq ir-Russja f’diversi setturi u s-suq nukleari, minħabba l-karatteristiċi uniċi tiegħu, jista’ wkoll jgħaddi minn bidliet fil-futur bħala parti minn din il-bidla usa’; jitlob lill-Aġenzija tirrapporta lura lill-awtorità ta’ kwittanza dwar kif naqqset id-dipendenza tal-Unjoni fuq il-fjuwil nukleari Russu mill-2022 b’mod partikolari mill-bidu tal-gwerra meta l-industrija nukleari ġiet eżentata mis-sanzjonijiet u kif it-tnaqqis u d-diversifikazzjoni affettwaw l-ispejjeż;</w:t>
      </w:r>
    </w:p>
    <w:p w:rsidR="007425A3" w:rsidRPr="00981AAC" w:rsidRDefault="007425A3" w:rsidP="007425A3">
      <w:pPr>
        <w:spacing w:after="240"/>
        <w:ind w:left="567" w:hanging="567"/>
      </w:pPr>
      <w:r w:rsidRPr="00981AAC">
        <w:t>4.</w:t>
      </w:r>
      <w:r w:rsidRPr="00981AAC">
        <w:tab/>
        <w:t>Jinnota b’sodisfazzjon li l-Aġenzija tat attenzjoni speċjali lir-rieżami tal-kuntratti b’riskji ta’ dipendenza fuq ir-Russja, li kienet tinvolvi analiżi bir-reqqa tal-klawżoli, l-informazzjoni teknoloġika, il-ktajjen tal-provvista, id-disponibbiltà ta’ fjuwils alternattivi, u l-awtonomija operattiva tal-utilitajiet fuq l-istokkijiet tal-fjuwil eżistenti; ifaħħar il-fatt li l-Aġenzija ħadet passi biex tissimplifika l-proċess ta’ sottomissjoni tal-kuntratti filwaqt li żammet livell għoli ta’ sigurtà, u għodod tal-IT siguri ddedikati ffaċilitaw it-tlestija u s-sottomissjoni mill-bogħod; josserva li fl-2022, b’riżultat ta’ dawn l-isforzi, żdied l-għadd ta’ atti ffirmati elettronikament li jikkonformaw mar-regolamenti dwar l-identifikazzjoni għal tranżazzjonijiet elettroniċi fis-suq uniku;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5.</w:t>
      </w:r>
      <w:r w:rsidRPr="00981AAC">
        <w:tab/>
        <w:t>Jinnota li l-Aġenzija, f’konformità mal-objettivi strateġiċi tagħha u mal-politiki tal-Kummissjoni, kellha l-għan li tqassam is-sorsi ta’ provvista fiċ-ċiklu tal-fjuwil nukleari għall-użi tal-enerġija u mhux tal-enerġija, filwaqt li tikkontribwixxi għal provvisti siguri fuq terminu medju u twil;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6.</w:t>
      </w:r>
      <w:r w:rsidRPr="00981AAC">
        <w:tab/>
        <w:t>Josserva li l-Aġenzija hija responsabbli għall-monitoraġġ tas-suq biex tidentifika xejriet li x’aktarx jaffettwaw is-sigurtà tal-provvista tal-Unjoni ta’ materjal u servizzi nukleari; jinnota, barra minn hekk, li l-Aġenzija ppubblikat analiżi tas-suq fir-rapport annwali tagħha, ipprovdiet informazzjoni dwar is-swieq nukleari tal-Unjoni u globali u qasmet informazzjoni u għarfien ma’ organizzazzjonijiet internazzjonali tal-analiżi tas-suq oħrajn;</w:t>
      </w:r>
    </w:p>
    <w:p w:rsidR="007425A3" w:rsidRPr="00981AAC" w:rsidRDefault="007425A3" w:rsidP="007425A3">
      <w:pPr>
        <w:pStyle w:val="NormalHanging12a"/>
      </w:pPr>
      <w:r w:rsidRPr="00981AAC">
        <w:t>7.</w:t>
      </w:r>
      <w:r w:rsidRPr="00981AAC">
        <w:tab/>
        <w:t>Jilqa’ l-fatt li fl-2022 l-Aġenzija mexxiet l-azzjonijiet biex tiżgura l-provvista ta’ materjali sors għall-isotopi radjuattivi mediċi, wara li kkontribwiet għall-implimentazzjoni tal-“Aġenda Strateġika għall-Applikazzjonijiet Mediċi tar-Radjazzjoni Jonizzanti (SAMIRA), u mexxiet l-Osservatorju Ewropew dwar il-Forniment ta’ Isotopi Radjuattivi Mediċi;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8.</w:t>
      </w:r>
      <w:r w:rsidRPr="00981AAC">
        <w:tab/>
        <w:t>Jilqa’ l-isforzi tal-Aġenzija biex tikkoopera mas-sħab u mal-partijiet ikkonċernati biex issaħħaħ is-sigurtà tal-provvista ta’ materjali nukleari fid-dawl tal-invażjoni illegali u mhux provokata tar-Russja fl-Ukrajna;</w:t>
      </w:r>
    </w:p>
    <w:p w:rsidR="007425A3" w:rsidRPr="00981AAC" w:rsidRDefault="007425A3" w:rsidP="007425A3">
      <w:pPr>
        <w:spacing w:after="240"/>
        <w:ind w:left="567" w:hanging="567"/>
        <w:rPr>
          <w:b/>
          <w:i/>
          <w:szCs w:val="24"/>
        </w:rPr>
      </w:pPr>
      <w:r w:rsidRPr="00981AAC">
        <w:rPr>
          <w:b/>
          <w:i/>
        </w:rPr>
        <w:t>Effiċjenza u titjib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9.</w:t>
      </w:r>
      <w:r w:rsidRPr="00981AAC">
        <w:tab/>
        <w:t>Jinnota li l-Aġenzija ħadmet mill-qrib mal-Kummissjoni sabiex tippromwovi d-diversifikazzjoni tal-provvista; jinnota wkoll li l-Aġenzija għandha relazzjonijiet li ilhom stabbiliti dwar l-enerġija nukleari mal-Aġenzija Internazzjonali tal-Enerġija Atomika u l-Aġenzija għall-Enerġija Nukleari fil-qafas tal-Organizzazzjoni għall-Kooperazzjoni u l-Iżvilupp Ekonomiċi; jiġbed l-attenzjoni għall-benefiċċji orizzontali ta’ ħidma flimkien u l-adattament tal-aħjar prattiki u li l-inizjattivi konġunti jiġbru flimkien perspettivi differenti, inaqqsu d-duplikazzjoni tal-isforzi, itejbu t-tagħlim u jsaħħu r-relazzjonijiet bejn il-parteċipanti;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10.</w:t>
      </w:r>
      <w:r w:rsidRPr="00981AAC">
        <w:tab/>
        <w:t>Josserva li l-Aġenzija qed tiżviluppa s-sistema tal-IT NOEMI biex tippermetti l-ipproċessar diġitali sħiħ ta’ kuntratti ta’ provvista nukleari u informazzjoni tas-suq f’konformità sħiħa mar-regoli dwar il-protezzjoni tal-informazzjoni u, b’mod parallel, qed taħdem biex testendi l-kapaċità analitika tagħha fuq id-data disponibbli;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11.</w:t>
      </w:r>
      <w:r w:rsidRPr="00981AAC">
        <w:tab/>
        <w:t>Jinnota li l-Aġenzija għamlet sforzi biex tikseb titjib fl-effiċjenza u r-riallokazzjoni tar-riżorsi umani għall-kompiti u l-isfidi l-ġodda li ġejjin; jinnota li aktar kisbiet fl-effiċjenza jkunu possibbli biss bl-użu ta’ sinerġiji u appoġġ mill-Kummissjoni permezz tal-forniment ta’ funzjonijiet ta’ appoġġ speċjalizzati, l-estensjoni tal-użu ta’ għodod korporattivi u ż-żieda tal-allokazzjoni għall-iżvilupp tas-sistema tal-IT NOEMI; jistieden lill-Aġenzija ssib aktar proċeduri interni li jistgħu jiġu ssimplifikati permezz ta’ għodod ġodda tal-IT;</w:t>
      </w:r>
    </w:p>
    <w:p w:rsidR="007425A3" w:rsidRPr="00981AAC" w:rsidRDefault="007425A3" w:rsidP="007425A3">
      <w:pPr>
        <w:pStyle w:val="NormalHanging12a"/>
      </w:pPr>
      <w:r w:rsidRPr="00981AAC">
        <w:t>12.</w:t>
      </w:r>
      <w:r w:rsidRPr="00981AAC">
        <w:tab/>
        <w:t>Ifakkar fl-importanza li tiżdied id-diġitalizzazzjoni tal-Aġenzija f’termini ta’ operazzjoni u ġestjoni interni iżda wkoll sabiex titħaffef id-diġitalizzazzjoni tal-proċeduri; jisħaq fuq il-ħtieġa li l-Aġenzija tkompli tkun proattiva f’dan ir-rigward sabiex jiġi evitat distakk diġitali bejn l-aġenziji; jiġbed l-attenzjoni, madankollu, għall-ħtieġa li jittieħdu l-miżuri ta’ sigurtà kollha meħtieġa biex jiġi evitat kwalunkwe riskju għas-sigurtà online tal-informazzjoni pproċessata, u jinsisti li jiżdiedu l-isforzi kontra l-attakki ċibernetiċi jew it-tentattivi ta’ infiltrazzjoni li joriġinaw b’mod partikolari mir-Russja jew miċ-Ċina;</w:t>
      </w:r>
    </w:p>
    <w:p w:rsidR="007425A3" w:rsidRPr="00981AAC" w:rsidRDefault="007425A3" w:rsidP="007425A3">
      <w:pPr>
        <w:spacing w:after="240"/>
        <w:ind w:left="567" w:hanging="567"/>
        <w:rPr>
          <w:b/>
          <w:i/>
          <w:szCs w:val="24"/>
        </w:rPr>
      </w:pPr>
      <w:r w:rsidRPr="00981AAC">
        <w:rPr>
          <w:b/>
          <w:i/>
        </w:rPr>
        <w:t>Politika dwar il-persunal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13.</w:t>
      </w:r>
      <w:r w:rsidRPr="00981AAC">
        <w:tab/>
        <w:t>Jinnota li fil-31 ta’ Diċembru 2022, it-tabella tal-persunal kienet 100 % mimlija b’17-il post permanenti, 8 amministraturi, 7 postijiet ta’ assistent u 2 karigi ta’ assistent u segretarju; jinnota, barra minn hekk, li l-għadd ogħla ta’ amministraturi milli awtorizzat huwa kkawżat minn valorizzazzjoni mill-ġdid mill-Kummissjoni ta’ post wieħed ta’ assistent;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14.</w:t>
      </w:r>
      <w:r w:rsidRPr="00981AAC">
        <w:tab/>
        <w:t>Ifakkar id-diffikultà tal-Aġenzija biex issib assistenti fi gradi aktar baxxi, minħabba l-profil speċjalizzat meħtieġ u l-livelli tal-pagi assoċjati meta mqabbla mal-għoli tal-ħajja fil-Lussemburgu; jinnota madankollu li l-Aġenzija, minkejja l-isforzi tagħha, fl-2022 irreklutat 2 aġenti temporanju f’karigi permanenti (assistent wieħed u assistent u segretarju wieħed);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15.</w:t>
      </w:r>
      <w:r w:rsidRPr="00981AAC">
        <w:tab/>
        <w:t>Jinnota li l-Aġenzija rrappurtat proporzjon bejn il-ġeneri għall-persunal kollu ta’ 59 % nisa u 41 % irġiel fl-2022, li huwa xhieda tal-politika ta’ opportunitajiet indaqs;</w:t>
      </w:r>
    </w:p>
    <w:p w:rsidR="007425A3" w:rsidRPr="00981AAC" w:rsidRDefault="007425A3" w:rsidP="007425A3">
      <w:pPr>
        <w:pStyle w:val="NormalHanging12a"/>
      </w:pPr>
      <w:r w:rsidRPr="00981AAC">
        <w:t>16.</w:t>
      </w:r>
      <w:r w:rsidRPr="00981AAC">
        <w:tab/>
        <w:t>Ifakkar fl-importanza li tiġi żviluppata politika tar-riżorsi umani fit-tul dwar il-bilanċ bejn ix-xogħol u l-ħajja privata, il-gwida tul il-ħajja u l-offerta ta’ possibbiltajiet ta’ taħriġ speċifiku għall-iżvilupp tal-karriera, il-bilanċ bejn il-ġeneri fil-livelli kollha tal-persunal, it-telexogħol, id-dritt għall-iskonnessjoni, it-titjib tal-bilanċ ġeografiku biex ikun hemm rappreżentanza xierqa mill-Istati Membri kollha, u r-reklutaġġ u l-integrazzjoni ta’ persuni b’diżabbiltà kif ukoll il-promozzjoni tat-trattament ugwali tagħhom l-opportunitajiet offrunti lilhom;</w:t>
      </w:r>
    </w:p>
    <w:p w:rsidR="007425A3" w:rsidRPr="00981AAC" w:rsidRDefault="007425A3" w:rsidP="007425A3">
      <w:pPr>
        <w:spacing w:after="240"/>
        <w:ind w:left="567" w:hanging="567"/>
        <w:rPr>
          <w:b/>
          <w:i/>
          <w:szCs w:val="24"/>
        </w:rPr>
      </w:pPr>
      <w:r w:rsidRPr="00981AAC">
        <w:rPr>
          <w:b/>
          <w:i/>
        </w:rPr>
        <w:t>Akkwist</w:t>
      </w:r>
    </w:p>
    <w:p w:rsidR="007425A3" w:rsidRPr="00981AAC" w:rsidRDefault="007425A3" w:rsidP="007425A3">
      <w:pPr>
        <w:spacing w:after="240"/>
        <w:ind w:left="567" w:hanging="567"/>
        <w:rPr>
          <w:rFonts w:eastAsia="Calibri"/>
          <w:szCs w:val="24"/>
        </w:rPr>
      </w:pPr>
      <w:r w:rsidRPr="00981AAC">
        <w:t>17.</w:t>
      </w:r>
      <w:r w:rsidRPr="00981AAC">
        <w:tab/>
        <w:t>Jinnota mir-rapport tal-Qorti l-osservazzjoni li l-Aġenzija sistematikament tat kuntratti ta’ valur baxx (inqas minn EUR 15 000) mingħajr ma ħarġet rapporti ta’ evalwazzjoni u deċiżjonijiet ta’ aġġudikazzjoni korrispondenti, li jmur kontra l-punti 30.3 u 30.4 tal-Anness I tar-Regolament Finanzjarju; jinnota wkoll mit-tweġiba tal-Aġenzija li tqis ir-rakkomandazzjoni u se tipprovdi gwida xierqa lill-persunal kollu involut fl-akkwist u l-ġestjoni finanzjarja; jistieden lill-Aġenzija ttejjeb il-proċeduri ta’ akkwist pubbliku tagħha, filwaqt li tiżgura konformità sħiħa mar-regoli applikabbli, biex jinkiseb l-aħjar valur possibbli għall-flus;</w:t>
      </w:r>
    </w:p>
    <w:p w:rsidR="007425A3" w:rsidRPr="00981AAC" w:rsidRDefault="007425A3" w:rsidP="007425A3">
      <w:pPr>
        <w:spacing w:after="240"/>
        <w:ind w:left="567" w:hanging="567"/>
        <w:rPr>
          <w:b/>
          <w:i/>
          <w:szCs w:val="24"/>
        </w:rPr>
      </w:pPr>
      <w:r w:rsidRPr="00981AAC">
        <w:rPr>
          <w:b/>
          <w:i/>
        </w:rPr>
        <w:t>Kummenti oħra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18.</w:t>
      </w:r>
      <w:r w:rsidRPr="00981AAC">
        <w:tab/>
        <w:t>Jinnota li l-Aġenzija saħħet is-sigurtà tal-aċċess għall-bini tagħha, u l-membri kollha tal-persunal u l-kuntratturi esterni kollha għandhom approvazzjoni tas-sigurtà;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19.</w:t>
      </w:r>
      <w:r w:rsidRPr="00981AAC">
        <w:tab/>
        <w:t>Jieħu nota li s-sistema tal-IT NOEMI għaddiet minn valutazzjoni tal-vulnerabbiltà, li għandha tiġi ripetuta wara kull fażi ta’ żvilupp jew wara li r-rakkomandazzjonijiet kollha jiġu implimentati;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20.</w:t>
      </w:r>
      <w:r w:rsidRPr="00981AAC">
        <w:tab/>
        <w:t>Jinnota b’apprezzament li l-Aġenzija pparteċipat fis-Simpożju Nukleari Dinji f’Londra f’Settembru 2022, li wassal messaġġ ċar lill-ogħla mexxejja, esperti u eżekuttivi tal-industrija nukleari parteċipanti dwar il-ħtieġa li jiġu indirizzati r-riskji relatati mal-istruttura l-ġdida tas-suq; jinnota wkoll li l-analiżi u l-prospetti tas-suq tal-Aġenzija ġew ippreżentati fil-Forum ta’ Varsavja dwar is-Sigurtà u fiċ-Ċiklu Dinji tal-Fjuwil Nukleari, u kienet irrappreżentata fl-Ewwel Konferenza Internazzjonali dwar il-Liġi Nukleari u fil-Konferenza Ewropea dwar ir-Reatturi ta’ Riċerka; jinnota, barra minn hekk, li l-Aġenzija kkontribwiet għall-avvenimenti tas-Soċjetà Nukleari Ewropea;</w:t>
      </w:r>
    </w:p>
    <w:p w:rsidR="007425A3" w:rsidRPr="00981AAC" w:rsidRDefault="007425A3" w:rsidP="007425A3">
      <w:pPr>
        <w:spacing w:after="240"/>
        <w:ind w:left="567" w:hanging="567"/>
        <w:rPr>
          <w:szCs w:val="24"/>
        </w:rPr>
      </w:pPr>
      <w:r w:rsidRPr="00981AAC">
        <w:t>21.</w:t>
      </w:r>
      <w:r w:rsidRPr="00981AAC">
        <w:tab/>
        <w:t>Jinnota li l-Aġenzija ma toħroġx dikjarazzjoni ambjentali u lanqas ma implimentat Skema ta’ Ġestjoni u Verifika Ambjentali (EMAS); iħeġġeġ lill-Aġenzija tirrapporta dwar il-prestazzjoni klimatika, enerġetika u ambjentali tagħha u barra minn hekk timplimenta l-EMAS;</w:t>
      </w:r>
    </w:p>
    <w:p w:rsidR="007425A3" w:rsidRPr="00981AAC" w:rsidRDefault="007425A3" w:rsidP="007425A3">
      <w:pPr>
        <w:pStyle w:val="NormalCenter12a"/>
      </w:pPr>
      <w:r w:rsidRPr="00981AAC">
        <w:t>°</w:t>
      </w:r>
    </w:p>
    <w:p w:rsidR="007425A3" w:rsidRPr="00981AAC" w:rsidRDefault="007425A3" w:rsidP="007425A3">
      <w:pPr>
        <w:pStyle w:val="NormalCenter12a"/>
      </w:pPr>
      <w:r w:rsidRPr="00981AAC">
        <w:t>°</w:t>
      </w:r>
      <w:r w:rsidRPr="00981AAC">
        <w:tab/>
        <w:t>°</w:t>
      </w:r>
    </w:p>
    <w:p w:rsidR="00E365E1" w:rsidRPr="00981AAC" w:rsidRDefault="007425A3" w:rsidP="005C6D71">
      <w:pPr>
        <w:pStyle w:val="NormalHanging12a"/>
      </w:pPr>
      <w:r w:rsidRPr="00981AAC">
        <w:t>22.</w:t>
      </w:r>
      <w:r w:rsidRPr="00981AAC">
        <w:tab/>
        <w:t>Jirreferi, fir-rigward tal-kummenti l-oħra li jakkumpanjaw id-deċiżjoni tiegħu dwar il-kwittanza, li huma ta’ natura orizzontali, għar-riżoluzzjoni tiegħu ta</w:t>
      </w:r>
      <w:r w:rsidR="00F166B1">
        <w:t>l-11 ta’ April 2024</w:t>
      </w:r>
      <w:r w:rsidRPr="00981AAC">
        <w:rPr>
          <w:vertAlign w:val="superscript"/>
        </w:rPr>
        <w:footnoteReference w:id="9"/>
      </w:r>
      <w:r w:rsidRPr="00981AAC">
        <w:t xml:space="preserve"> dwar il-prestazzjoni, il-ġestjoni finanzjarja u l-kontroll tal-aġenziji.</w:t>
      </w:r>
      <w:bookmarkStart w:id="9" w:name="TextBodyEnd"/>
      <w:bookmarkEnd w:id="9"/>
    </w:p>
    <w:sectPr w:rsidR="00E365E1" w:rsidRPr="00981AAC" w:rsidSect="00981AA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C11" w:rsidRPr="00981AAC" w:rsidRDefault="00CE5C11">
      <w:r w:rsidRPr="00981AAC">
        <w:separator/>
      </w:r>
    </w:p>
  </w:endnote>
  <w:endnote w:type="continuationSeparator" w:id="0">
    <w:p w:rsidR="00CE5C11" w:rsidRPr="00981AAC" w:rsidRDefault="00CE5C11">
      <w:r w:rsidRPr="00981A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5A3" w:rsidRPr="00981AAC" w:rsidRDefault="007425A3" w:rsidP="00C20C55">
    <w:pPr>
      <w:pStyle w:val="EPFooter"/>
    </w:pPr>
    <w:r w:rsidRPr="00981AAC">
      <w:t>PE</w:t>
    </w:r>
    <w:r w:rsidRPr="00981AAC">
      <w:rPr>
        <w:rStyle w:val="HideTWBExt"/>
      </w:rPr>
      <w:t>&lt;NoPE&gt;</w:t>
    </w:r>
    <w:r w:rsidRPr="00981AAC">
      <w:t>753.529</w:t>
    </w:r>
    <w:r w:rsidRPr="00981AAC">
      <w:rPr>
        <w:rStyle w:val="HideTWBExt"/>
      </w:rPr>
      <w:t>&lt;/NoPE&gt;&lt;Version&gt;</w:t>
    </w:r>
    <w:r w:rsidRPr="00981AAC">
      <w:t>v02-00</w:t>
    </w:r>
    <w:r w:rsidRPr="00981AAC">
      <w:rPr>
        <w:rStyle w:val="HideTWBExt"/>
      </w:rPr>
      <w:t>&lt;/Version&gt;</w:t>
    </w:r>
    <w:r w:rsidRPr="00981AAC">
      <w:tab/>
    </w:r>
    <w:r w:rsidRPr="00981AAC">
      <w:fldChar w:fldCharType="begin"/>
    </w:r>
    <w:r w:rsidRPr="00981AAC">
      <w:instrText xml:space="preserve"> PAGE  \* MERGEFORMAT </w:instrText>
    </w:r>
    <w:r w:rsidRPr="00981AAC">
      <w:fldChar w:fldCharType="separate"/>
    </w:r>
    <w:r w:rsidR="00981AAC" w:rsidRPr="00981AAC">
      <w:rPr>
        <w:noProof/>
      </w:rPr>
      <w:t>2</w:t>
    </w:r>
    <w:r w:rsidRPr="00981AAC">
      <w:fldChar w:fldCharType="end"/>
    </w:r>
    <w:r w:rsidRPr="00981AAC">
      <w:t>/</w:t>
    </w:r>
    <w:r w:rsidR="00FA3BAF">
      <w:fldChar w:fldCharType="begin"/>
    </w:r>
    <w:r w:rsidR="00FA3BAF">
      <w:instrText xml:space="preserve"> NUMPAGES  \* MERGEFORMAT </w:instrText>
    </w:r>
    <w:r w:rsidR="00FA3BAF">
      <w:fldChar w:fldCharType="separate"/>
    </w:r>
    <w:r w:rsidR="00981AAC" w:rsidRPr="00981AAC">
      <w:rPr>
        <w:noProof/>
      </w:rPr>
      <w:t>4</w:t>
    </w:r>
    <w:r w:rsidR="00FA3BAF">
      <w:rPr>
        <w:noProof/>
      </w:rPr>
      <w:fldChar w:fldCharType="end"/>
    </w:r>
    <w:r w:rsidRPr="00981AAC">
      <w:tab/>
    </w:r>
    <w:r w:rsidRPr="00981AAC">
      <w:rPr>
        <w:rStyle w:val="HideTWBExt"/>
      </w:rPr>
      <w:t>&lt;PathFdR&gt;</w:t>
    </w:r>
    <w:r w:rsidRPr="00981AAC">
      <w:t>RR\1298833MT.docx</w:t>
    </w:r>
    <w:r w:rsidRPr="00981AAC">
      <w:rPr>
        <w:rStyle w:val="HideTWBExt"/>
      </w:rPr>
      <w:t>&lt;/PathFdR&gt;</w:t>
    </w:r>
  </w:p>
  <w:p w:rsidR="007425A3" w:rsidRPr="00981AAC" w:rsidRDefault="007425A3" w:rsidP="00C20C55">
    <w:pPr>
      <w:pStyle w:val="EPFooter2"/>
    </w:pPr>
    <w:r w:rsidRPr="00981AA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5A3" w:rsidRPr="00981AAC" w:rsidRDefault="007425A3" w:rsidP="00C20C55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5A3" w:rsidRPr="00981AAC" w:rsidRDefault="007425A3" w:rsidP="00C20C55">
    <w:pPr>
      <w:pStyle w:val="EPFooter"/>
    </w:pPr>
    <w:r w:rsidRPr="00981AAC">
      <w:rPr>
        <w:rStyle w:val="HideTWBExt"/>
      </w:rPr>
      <w:t>&lt;PathFdR&gt;</w:t>
    </w:r>
    <w:r w:rsidRPr="00981AAC">
      <w:t>RR\1298833MT.docx</w:t>
    </w:r>
    <w:r w:rsidRPr="00981AAC">
      <w:rPr>
        <w:rStyle w:val="HideTWBExt"/>
      </w:rPr>
      <w:t>&lt;/PathFdR&gt;</w:t>
    </w:r>
    <w:r w:rsidRPr="00981AAC">
      <w:tab/>
    </w:r>
    <w:r w:rsidRPr="00981AAC">
      <w:tab/>
      <w:t>PE</w:t>
    </w:r>
    <w:r w:rsidRPr="00981AAC">
      <w:rPr>
        <w:rStyle w:val="HideTWBExt"/>
      </w:rPr>
      <w:t>&lt;NoPE&gt;</w:t>
    </w:r>
    <w:r w:rsidRPr="00981AAC">
      <w:t>753.529</w:t>
    </w:r>
    <w:r w:rsidRPr="00981AAC">
      <w:rPr>
        <w:rStyle w:val="HideTWBExt"/>
      </w:rPr>
      <w:t>&lt;/NoPE&gt;&lt;Version&gt;</w:t>
    </w:r>
    <w:r w:rsidRPr="00981AAC">
      <w:t>v02-00</w:t>
    </w:r>
    <w:r w:rsidRPr="00981AAC">
      <w:rPr>
        <w:rStyle w:val="HideTWBExt"/>
      </w:rPr>
      <w:t>&lt;/Version&gt;</w:t>
    </w:r>
  </w:p>
  <w:p w:rsidR="007425A3" w:rsidRPr="00981AAC" w:rsidRDefault="007425A3" w:rsidP="00C20C55">
    <w:pPr>
      <w:pStyle w:val="EPFooter2"/>
    </w:pPr>
    <w:r w:rsidRPr="00981AAC">
      <w:t>MT</w:t>
    </w:r>
    <w:r w:rsidRPr="00981AAC">
      <w:tab/>
    </w:r>
    <w:r w:rsidRPr="00981AAC">
      <w:rPr>
        <w:b w:val="0"/>
        <w:i/>
        <w:color w:val="C0C0C0"/>
        <w:sz w:val="22"/>
      </w:rPr>
      <w:t>Magħquda fid-diversità</w:t>
    </w:r>
    <w:r w:rsidRPr="00981AA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1AA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1AA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1A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C11" w:rsidRPr="00981AAC" w:rsidRDefault="00CE5C11">
      <w:r w:rsidRPr="00981AAC">
        <w:separator/>
      </w:r>
    </w:p>
  </w:footnote>
  <w:footnote w:type="continuationSeparator" w:id="0">
    <w:p w:rsidR="00CE5C11" w:rsidRPr="00981AAC" w:rsidRDefault="00CE5C11">
      <w:r w:rsidRPr="00981AAC">
        <w:continuationSeparator/>
      </w:r>
    </w:p>
  </w:footnote>
  <w:footnote w:id="1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C, C/2023/594, 27.10.2023.</w:t>
      </w:r>
    </w:p>
  </w:footnote>
  <w:footnote w:id="2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C, C/2023/112, 12.10.2023.</w:t>
      </w:r>
    </w:p>
  </w:footnote>
  <w:footnote w:id="3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L 193, 30.7.2018, p. 1.</w:t>
      </w:r>
    </w:p>
  </w:footnote>
  <w:footnote w:id="4">
    <w:p w:rsidR="007425A3" w:rsidRPr="00981AAC" w:rsidRDefault="007425A3" w:rsidP="00981AAC">
      <w:pPr>
        <w:pStyle w:val="FootnoteText"/>
        <w:ind w:left="567" w:hanging="567"/>
        <w:rPr>
          <w:sz w:val="24"/>
          <w:szCs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L 41, 15.2.2008, p. 15.</w:t>
      </w:r>
    </w:p>
  </w:footnote>
  <w:footnote w:id="5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C, C/2023/594, 27.10.2023.</w:t>
      </w:r>
    </w:p>
  </w:footnote>
  <w:footnote w:id="6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C, C/2023/112, 12.10.2023.</w:t>
      </w:r>
    </w:p>
  </w:footnote>
  <w:footnote w:id="7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L 193, 30.7.2018, p. 1.</w:t>
      </w:r>
    </w:p>
  </w:footnote>
  <w:footnote w:id="8">
    <w:p w:rsidR="007425A3" w:rsidRPr="00981AAC" w:rsidRDefault="007425A3" w:rsidP="00981AAC">
      <w:pPr>
        <w:pStyle w:val="FootnoteText"/>
        <w:ind w:left="567" w:hanging="567"/>
        <w:rPr>
          <w:sz w:val="24"/>
          <w:szCs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ĠU L 41, 15.2.2008, p. 15.</w:t>
      </w:r>
    </w:p>
  </w:footnote>
  <w:footnote w:id="9">
    <w:p w:rsidR="007425A3" w:rsidRPr="00981AAC" w:rsidRDefault="007425A3" w:rsidP="00981AAC">
      <w:pPr>
        <w:pStyle w:val="FootnoteText"/>
        <w:ind w:left="567" w:hanging="567"/>
        <w:rPr>
          <w:sz w:val="24"/>
          <w:lang w:val="mt-MT"/>
        </w:rPr>
      </w:pPr>
      <w:r w:rsidRPr="00981AAC">
        <w:rPr>
          <w:rStyle w:val="FootnoteReference"/>
          <w:sz w:val="24"/>
          <w:lang w:val="mt-MT"/>
        </w:rPr>
        <w:footnoteRef/>
      </w:r>
      <w:r w:rsidR="00981AAC" w:rsidRPr="00981AAC">
        <w:rPr>
          <w:sz w:val="24"/>
          <w:lang w:val="mt-MT"/>
        </w:rPr>
        <w:t xml:space="preserve"> </w:t>
      </w:r>
      <w:r w:rsidR="00981AAC" w:rsidRPr="00981AAC">
        <w:rPr>
          <w:sz w:val="24"/>
          <w:lang w:val="mt-MT"/>
        </w:rPr>
        <w:tab/>
      </w:r>
      <w:r w:rsidRPr="00981AAC">
        <w:rPr>
          <w:sz w:val="24"/>
          <w:lang w:val="mt-MT"/>
        </w:rPr>
        <w:t>Testi adottati, P9_TA(2024)</w:t>
      </w:r>
      <w:r w:rsidR="009C172A">
        <w:rPr>
          <w:sz w:val="24"/>
          <w:lang w:val="mt-MT"/>
        </w:rPr>
        <w:t>0280</w:t>
      </w:r>
      <w:r w:rsidRPr="00981AA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5A3" w:rsidRPr="00981AAC" w:rsidRDefault="007425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5A3" w:rsidRPr="00981AAC" w:rsidRDefault="007425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5A3" w:rsidRPr="00981AAC" w:rsidRDefault="007425A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1AA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1AA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1A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8/2024"/>
    <w:docVar w:name="dvlangue" w:val="MT"/>
    <w:docVar w:name="dvnumam" w:val="0"/>
    <w:docVar w:name="dvpe" w:val="753.529"/>
    <w:docVar w:name="dvrapporteur" w:val="Rapporteur: "/>
    <w:docVar w:name="dvtitre" w:val="Deċiżjoni tal-Parlament Ewropew tal-11 ta' April 2024 dwar il-kwittanza għall-implimentazzjoni tal-baġit tal-Aġenzija Fornitriċi tal-Euratom għas-sena finanzjarja 2022(2023/2161(DEC))"/>
  </w:docVars>
  <w:rsids>
    <w:rsidRoot w:val="00CE5C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3DF3"/>
    <w:rsid w:val="0031216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D71"/>
    <w:rsid w:val="006037C0"/>
    <w:rsid w:val="006631B6"/>
    <w:rsid w:val="00680577"/>
    <w:rsid w:val="006F74FA"/>
    <w:rsid w:val="00731ADD"/>
    <w:rsid w:val="00734777"/>
    <w:rsid w:val="007425A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AAC"/>
    <w:rsid w:val="009C172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C1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6B1"/>
    <w:rsid w:val="00F5134D"/>
    <w:rsid w:val="00F74202"/>
    <w:rsid w:val="00F87713"/>
    <w:rsid w:val="00FA3BA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FCB54"/>
  <w15:chartTrackingRefBased/>
  <w15:docId w15:val="{D9A68B78-140C-4BC9-9176-E0DD1653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425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425A3"/>
    <w:pPr>
      <w:spacing w:before="480" w:after="240"/>
    </w:pPr>
  </w:style>
  <w:style w:type="paragraph" w:customStyle="1" w:styleId="PageHeading">
    <w:name w:val="PageHeading"/>
    <w:basedOn w:val="Normal"/>
    <w:rsid w:val="007425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425A3"/>
    <w:rPr>
      <w:b/>
    </w:rPr>
  </w:style>
  <w:style w:type="paragraph" w:customStyle="1" w:styleId="NormalHanging12a">
    <w:name w:val="NormalHanging12a"/>
    <w:basedOn w:val="Normal"/>
    <w:link w:val="NormalHanging12aChar"/>
    <w:rsid w:val="007425A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425A3"/>
    <w:pPr>
      <w:spacing w:after="240"/>
      <w:jc w:val="center"/>
    </w:pPr>
  </w:style>
  <w:style w:type="paragraph" w:styleId="Header">
    <w:name w:val="header"/>
    <w:basedOn w:val="Normal"/>
    <w:link w:val="HeaderChar"/>
    <w:rsid w:val="007425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425A3"/>
    <w:rPr>
      <w:sz w:val="24"/>
      <w:lang w:val="mt-MT"/>
    </w:rPr>
  </w:style>
  <w:style w:type="paragraph" w:customStyle="1" w:styleId="EPFooter">
    <w:name w:val="EPFooter"/>
    <w:basedOn w:val="Normal"/>
    <w:rsid w:val="007425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7425A3"/>
    <w:rPr>
      <w:sz w:val="24"/>
      <w:lang w:val="mt-MT"/>
    </w:rPr>
  </w:style>
  <w:style w:type="paragraph" w:styleId="BalloonText">
    <w:name w:val="Balloon Text"/>
    <w:basedOn w:val="Normal"/>
    <w:link w:val="BalloonTextChar"/>
    <w:rsid w:val="00F166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166B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BD43F-D5C6-4688-B59F-1B9DF8732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2031</Words>
  <Characters>14976</Characters>
  <Application>Microsoft Office Word</Application>
  <DocSecurity>0</DocSecurity>
  <Lines>217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2024-05-23T13:11:00Z</dcterms:created>
  <dcterms:modified xsi:type="dcterms:W3CDTF">2024-05-23T13:11:00Z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P9_TA(2024)0259_</vt:lpwstr>
  </property>
  <property fmtid="{D5CDD505-2E9C-101B-9397-08002B2CF9AE}" pid="4" name="&lt;Type&gt;">
    <vt:lpwstr>RR</vt:lpwstr>
  </property>
</Properties>
</file>