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7880" w14:paraId="350D5615" w14:textId="77777777" w:rsidTr="0010095E">
        <w:trPr>
          <w:trHeight w:hRule="exact" w:val="1418"/>
        </w:trPr>
        <w:tc>
          <w:tcPr>
            <w:tcW w:w="6804" w:type="dxa"/>
            <w:shd w:val="clear" w:color="auto" w:fill="auto"/>
            <w:vAlign w:val="center"/>
          </w:tcPr>
          <w:p w14:paraId="0EACFC26" w14:textId="77777777" w:rsidR="00751A4A" w:rsidRPr="00FB7880" w:rsidRDefault="00501AD2" w:rsidP="0010095E">
            <w:pPr>
              <w:pStyle w:val="EPName"/>
            </w:pPr>
            <w:r w:rsidRPr="00FB7880">
              <w:t>Europees Parlement</w:t>
            </w:r>
          </w:p>
          <w:p w14:paraId="1D51FB19" w14:textId="77777777" w:rsidR="00751A4A" w:rsidRPr="00FB7880" w:rsidRDefault="00817416" w:rsidP="00756632">
            <w:pPr>
              <w:pStyle w:val="EPTerm"/>
              <w:rPr>
                <w:rStyle w:val="HideTWBExt"/>
                <w:noProof w:val="0"/>
                <w:vanish w:val="0"/>
                <w:color w:val="auto"/>
              </w:rPr>
            </w:pPr>
            <w:r w:rsidRPr="00FB7880">
              <w:t>2019-2024</w:t>
            </w:r>
          </w:p>
        </w:tc>
        <w:tc>
          <w:tcPr>
            <w:tcW w:w="2268" w:type="dxa"/>
            <w:shd w:val="clear" w:color="auto" w:fill="auto"/>
          </w:tcPr>
          <w:p w14:paraId="6D1AB7E2" w14:textId="77777777" w:rsidR="00751A4A" w:rsidRPr="00FB7880" w:rsidRDefault="00187494" w:rsidP="0010095E">
            <w:pPr>
              <w:pStyle w:val="EPLogo"/>
            </w:pPr>
            <w:r w:rsidRPr="00FB7880">
              <w:rPr>
                <w:noProof/>
                <w:lang w:val="en-GB"/>
              </w:rPr>
              <w:drawing>
                <wp:inline distT="0" distB="0" distL="0" distR="0" wp14:anchorId="07381599" wp14:editId="0DA132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AC3C91" w14:textId="77777777" w:rsidR="00D058B8" w:rsidRPr="00FB7880" w:rsidRDefault="00D058B8" w:rsidP="004C5D52">
      <w:pPr>
        <w:pStyle w:val="LineTop"/>
      </w:pPr>
    </w:p>
    <w:p w14:paraId="799C77D0" w14:textId="77777777" w:rsidR="00680577" w:rsidRPr="00FB7880" w:rsidRDefault="00501AD2" w:rsidP="00680577">
      <w:pPr>
        <w:pStyle w:val="EPBodyTA1"/>
      </w:pPr>
      <w:r w:rsidRPr="00FB7880">
        <w:t>AANGENOMEN TEKSTEN</w:t>
      </w:r>
    </w:p>
    <w:p w14:paraId="02AD7169" w14:textId="77777777" w:rsidR="00D058B8" w:rsidRPr="00FB7880" w:rsidRDefault="00D058B8" w:rsidP="00D058B8">
      <w:pPr>
        <w:pStyle w:val="LineBottom"/>
      </w:pPr>
    </w:p>
    <w:p w14:paraId="52E46C96" w14:textId="460BFF56" w:rsidR="00501AD2" w:rsidRPr="00FB7880" w:rsidRDefault="00501AD2" w:rsidP="00501AD2">
      <w:pPr>
        <w:pStyle w:val="ATHeading1"/>
      </w:pPr>
      <w:bookmarkStart w:id="0" w:name="TANumber"/>
      <w:r w:rsidRPr="00FB7880">
        <w:t>P9_</w:t>
      </w:r>
      <w:proofErr w:type="gramStart"/>
      <w:r w:rsidRPr="00FB7880">
        <w:t>TA(</w:t>
      </w:r>
      <w:proofErr w:type="gramEnd"/>
      <w:r w:rsidRPr="00FB7880">
        <w:t>2024)0</w:t>
      </w:r>
      <w:r w:rsidR="00FB7880" w:rsidRPr="00FB7880">
        <w:t>259</w:t>
      </w:r>
      <w:bookmarkEnd w:id="0"/>
    </w:p>
    <w:p w14:paraId="20268D1D" w14:textId="77777777" w:rsidR="00501AD2" w:rsidRPr="00FB7880" w:rsidRDefault="00501AD2" w:rsidP="00501AD2">
      <w:pPr>
        <w:pStyle w:val="ATHeading2"/>
      </w:pPr>
      <w:bookmarkStart w:id="1" w:name="title"/>
      <w:r w:rsidRPr="00FB7880">
        <w:t>Kwijting 2022: Voorzieningsagentschap van Euratom</w:t>
      </w:r>
      <w:bookmarkEnd w:id="1"/>
    </w:p>
    <w:p w14:paraId="02005B1E" w14:textId="77777777" w:rsidR="00501AD2" w:rsidRPr="00FB7880" w:rsidRDefault="00501AD2" w:rsidP="00501AD2">
      <w:pPr>
        <w:rPr>
          <w:i/>
          <w:vanish/>
        </w:rPr>
      </w:pPr>
      <w:r w:rsidRPr="00FB7880">
        <w:rPr>
          <w:i/>
        </w:rPr>
        <w:fldChar w:fldCharType="begin"/>
      </w:r>
      <w:r w:rsidRPr="00FB7880">
        <w:rPr>
          <w:i/>
        </w:rPr>
        <w:instrText xml:space="preserve"> TC"(</w:instrText>
      </w:r>
      <w:bookmarkStart w:id="2" w:name="DocNumber"/>
      <w:r w:rsidRPr="00FB7880">
        <w:rPr>
          <w:i/>
        </w:rPr>
        <w:instrText>A9-0108/2024</w:instrText>
      </w:r>
      <w:bookmarkEnd w:id="2"/>
      <w:r w:rsidRPr="00FB7880">
        <w:rPr>
          <w:i/>
        </w:rPr>
        <w:instrText xml:space="preserve"> - Rapporteur: Petri </w:instrText>
      </w:r>
      <w:proofErr w:type="spellStart"/>
      <w:r w:rsidRPr="00FB7880">
        <w:rPr>
          <w:i/>
        </w:rPr>
        <w:instrText>Sarvamaa</w:instrText>
      </w:r>
      <w:proofErr w:type="spellEnd"/>
      <w:r w:rsidRPr="00FB7880">
        <w:rPr>
          <w:i/>
        </w:rPr>
        <w:instrText xml:space="preserve">)"\l3 \n&gt; \* MERGEFORMAT </w:instrText>
      </w:r>
      <w:r w:rsidRPr="00FB7880">
        <w:rPr>
          <w:i/>
        </w:rPr>
        <w:fldChar w:fldCharType="end"/>
      </w:r>
    </w:p>
    <w:p w14:paraId="62B44F9C" w14:textId="77777777" w:rsidR="00501AD2" w:rsidRPr="00FB7880" w:rsidRDefault="00501AD2" w:rsidP="00501AD2">
      <w:pPr>
        <w:rPr>
          <w:vanish/>
        </w:rPr>
      </w:pPr>
      <w:bookmarkStart w:id="3" w:name="Commission"/>
      <w:r w:rsidRPr="00FB7880">
        <w:rPr>
          <w:vanish/>
        </w:rPr>
        <w:t>Commissie begrotingscontrole</w:t>
      </w:r>
      <w:bookmarkEnd w:id="3"/>
    </w:p>
    <w:p w14:paraId="3A5EF8FA" w14:textId="77777777" w:rsidR="00501AD2" w:rsidRPr="00FB7880" w:rsidRDefault="00501AD2" w:rsidP="00501AD2">
      <w:pPr>
        <w:rPr>
          <w:vanish/>
        </w:rPr>
      </w:pPr>
      <w:bookmarkStart w:id="4" w:name="PE"/>
      <w:r w:rsidRPr="00FB7880">
        <w:rPr>
          <w:vanish/>
        </w:rPr>
        <w:t>PE753.529</w:t>
      </w:r>
      <w:bookmarkEnd w:id="4"/>
    </w:p>
    <w:p w14:paraId="68826F7A" w14:textId="77777777" w:rsidR="00501AD2" w:rsidRPr="00FB7880" w:rsidRDefault="00501AD2" w:rsidP="00501AD2">
      <w:pPr>
        <w:pStyle w:val="ATHeading3"/>
      </w:pPr>
      <w:bookmarkStart w:id="5" w:name="Sujet"/>
      <w:r w:rsidRPr="00FB7880">
        <w:t>1. Besluit van het Europees Parlement van 11 april 2024 over het verlenen van kwijting voor de uitvoering van de begroting van het Voorzieningsagentschap van Euratom voor het begrotingsjaar 2022</w:t>
      </w:r>
      <w:bookmarkEnd w:id="5"/>
      <w:r w:rsidRPr="00FB7880">
        <w:t xml:space="preserve"> </w:t>
      </w:r>
      <w:bookmarkStart w:id="6" w:name="References"/>
      <w:r w:rsidRPr="00FB7880">
        <w:t>(2023/2161(DEC))</w:t>
      </w:r>
      <w:bookmarkEnd w:id="6"/>
    </w:p>
    <w:p w14:paraId="6EFB814C" w14:textId="77777777" w:rsidR="009F4FA1" w:rsidRPr="00FB7880" w:rsidRDefault="009F4FA1" w:rsidP="009F4FA1">
      <w:pPr>
        <w:pStyle w:val="EPComma"/>
      </w:pPr>
      <w:bookmarkStart w:id="7" w:name="TextBodyBegin"/>
      <w:bookmarkEnd w:id="7"/>
      <w:r w:rsidRPr="00FB7880">
        <w:rPr>
          <w:i/>
          <w:iCs/>
        </w:rPr>
        <w:t>Het Europees Parlement</w:t>
      </w:r>
      <w:r w:rsidRPr="00FB7880">
        <w:t>,</w:t>
      </w:r>
    </w:p>
    <w:p w14:paraId="419C229E" w14:textId="77777777" w:rsidR="009F4FA1" w:rsidRPr="00FB7880" w:rsidRDefault="009F4FA1" w:rsidP="009F4FA1">
      <w:pPr>
        <w:pStyle w:val="NormalHanging12a"/>
      </w:pPr>
      <w:r w:rsidRPr="00FB7880">
        <w:t>–</w:t>
      </w:r>
      <w:r w:rsidRPr="00FB7880">
        <w:tab/>
        <w:t>gezien de definitieve jaarrekening van het Voorzieningsagentschap van Euratom voor het begrotingsjaar 2022,</w:t>
      </w:r>
    </w:p>
    <w:p w14:paraId="1DE8D15B" w14:textId="77777777" w:rsidR="009F4FA1" w:rsidRPr="00FB7880" w:rsidRDefault="009F4FA1" w:rsidP="009F4FA1">
      <w:pPr>
        <w:pStyle w:val="NormalHanging12a"/>
      </w:pPr>
      <w:r w:rsidRPr="00FB7880">
        <w:t>–</w:t>
      </w:r>
      <w:r w:rsidRPr="00FB7880">
        <w:tab/>
        <w:t>gezien het jaarverslag van de Rekenkamer over de EU-agentschappen betreffende het begrotingsjaar 2022, vergezeld van de antwoorden van de agentschappen</w:t>
      </w:r>
      <w:r w:rsidRPr="00FB7880">
        <w:rPr>
          <w:rStyle w:val="FootnoteReference"/>
        </w:rPr>
        <w:footnoteReference w:id="1"/>
      </w:r>
      <w:r w:rsidRPr="00FB7880">
        <w:t>,</w:t>
      </w:r>
    </w:p>
    <w:p w14:paraId="07B44E41" w14:textId="77777777" w:rsidR="009F4FA1" w:rsidRPr="00FB7880" w:rsidRDefault="009F4FA1" w:rsidP="009F4FA1">
      <w:pPr>
        <w:pStyle w:val="NormalHanging12a"/>
      </w:pPr>
      <w:r w:rsidRPr="00FB7880">
        <w:t>–</w:t>
      </w:r>
      <w:r w:rsidRPr="00FB7880">
        <w:tab/>
        <w:t>gezien de verklaring van de Rekenkamer voor het begrotingsjaar 2022</w:t>
      </w:r>
      <w:r w:rsidRPr="00FB7880">
        <w:rPr>
          <w:rStyle w:val="FootnoteReference"/>
        </w:rPr>
        <w:footnoteReference w:id="2"/>
      </w:r>
      <w:r w:rsidRPr="00FB7880">
        <w:t xml:space="preserve"> waarin de betrouwbaarheid van de rekeningen en de wettigheid en regelmatigheid van de onderliggende verrichtingen worden bevestigd, overeenkomstig artikel 287 van het Verdrag betreffende de werking van de Europese Unie,</w:t>
      </w:r>
    </w:p>
    <w:p w14:paraId="2B2ABDF3" w14:textId="60374208" w:rsidR="009F4FA1" w:rsidRPr="00FB7880" w:rsidRDefault="009F4FA1" w:rsidP="009F4FA1">
      <w:pPr>
        <w:pStyle w:val="NormalHanging12a"/>
      </w:pPr>
      <w:r w:rsidRPr="00FB7880">
        <w:t>–</w:t>
      </w:r>
      <w:r w:rsidRPr="00FB7880">
        <w:tab/>
        <w:t>gezien de aanbeveling van de Raad van 22 februari 2024 betreffende de aan het Agentschap te verlenen kwijting voor de uitvoering van de begroting voor het begrotingsjaar 2022 (</w:t>
      </w:r>
      <w:r w:rsidR="002C6CA5" w:rsidRPr="00FB7880">
        <w:t>06180</w:t>
      </w:r>
      <w:r w:rsidRPr="00FB7880">
        <w:t>/2024 – C9</w:t>
      </w:r>
      <w:r w:rsidRPr="00FB7880">
        <w:noBreakHyphen/>
      </w:r>
      <w:r w:rsidR="002C6CA5" w:rsidRPr="00FB7880">
        <w:t>0099</w:t>
      </w:r>
      <w:r w:rsidRPr="00FB7880">
        <w:t>/2024),</w:t>
      </w:r>
    </w:p>
    <w:p w14:paraId="21C5DECF" w14:textId="77777777" w:rsidR="009F4FA1" w:rsidRPr="00FB7880" w:rsidRDefault="009F4FA1" w:rsidP="009F4FA1">
      <w:pPr>
        <w:pStyle w:val="NormalHanging12a"/>
      </w:pPr>
      <w:r w:rsidRPr="00FB7880">
        <w:t>–</w:t>
      </w:r>
      <w:r w:rsidRPr="00FB7880">
        <w:tab/>
        <w:t>gezien artikel 319 van het Verdrag betreffende de werking van de Europese Unie,</w:t>
      </w:r>
    </w:p>
    <w:p w14:paraId="3F016246" w14:textId="77777777" w:rsidR="009F4FA1" w:rsidRPr="00FB7880" w:rsidRDefault="009F4FA1" w:rsidP="009F4FA1">
      <w:pPr>
        <w:pStyle w:val="NormalHanging12a"/>
      </w:pPr>
      <w:r w:rsidRPr="00FB7880">
        <w:t>–</w:t>
      </w:r>
      <w:r w:rsidRPr="00FB7880">
        <w:tab/>
        <w:t xml:space="preserve">gezien artikel 106 bis van het Verdrag tot oprichting van de Europese Gemeenschap </w:t>
      </w:r>
      <w:proofErr w:type="gramStart"/>
      <w:r w:rsidRPr="00FB7880">
        <w:t>voor</w:t>
      </w:r>
      <w:proofErr w:type="gramEnd"/>
      <w:r w:rsidRPr="00FB7880">
        <w:t xml:space="preserve"> Atoomenergie,</w:t>
      </w:r>
    </w:p>
    <w:p w14:paraId="3323DE50" w14:textId="77777777" w:rsidR="009F4FA1" w:rsidRPr="00FB7880" w:rsidRDefault="009F4FA1" w:rsidP="009F4FA1">
      <w:pPr>
        <w:pStyle w:val="NormalHanging12a"/>
      </w:pPr>
      <w:r w:rsidRPr="00FB7880">
        <w:t>–</w:t>
      </w:r>
      <w:r w:rsidRPr="00FB7880">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FB7880">
        <w:lastRenderedPageBreak/>
        <w:t>intrekking van Verordening (EU, Euratom) nr. 966/2012</w:t>
      </w:r>
      <w:r w:rsidRPr="00FB7880">
        <w:rPr>
          <w:rStyle w:val="FootnoteReference"/>
        </w:rPr>
        <w:footnoteReference w:id="3"/>
      </w:r>
      <w:r w:rsidRPr="00FB7880">
        <w:t>, en met name artikel 68,</w:t>
      </w:r>
    </w:p>
    <w:p w14:paraId="02147676" w14:textId="77777777" w:rsidR="009F4FA1" w:rsidRPr="00FB7880" w:rsidRDefault="009F4FA1" w:rsidP="009F4FA1">
      <w:pPr>
        <w:pStyle w:val="NormalHanging12a"/>
      </w:pPr>
      <w:r w:rsidRPr="00FB7880">
        <w:t>–</w:t>
      </w:r>
      <w:r w:rsidRPr="00FB7880">
        <w:tab/>
        <w:t>gezien Besluit 2008/114/EG, Euratom van de Raad van 12 februari 2008 tot vaststelling van statuten voor het Voorzieningsagentschap van Euratom</w:t>
      </w:r>
      <w:r w:rsidRPr="00FB7880">
        <w:rPr>
          <w:rStyle w:val="FootnoteReference"/>
        </w:rPr>
        <w:footnoteReference w:id="4"/>
      </w:r>
      <w:r w:rsidRPr="00FB7880">
        <w:t>, en met name artikel 8 van de bijlage,</w:t>
      </w:r>
    </w:p>
    <w:p w14:paraId="661146B6" w14:textId="77777777" w:rsidR="009F4FA1" w:rsidRPr="00FB7880" w:rsidRDefault="009F4FA1" w:rsidP="009F4FA1">
      <w:pPr>
        <w:pStyle w:val="NormalHanging12a"/>
      </w:pPr>
      <w:r w:rsidRPr="00FB7880">
        <w:t>–</w:t>
      </w:r>
      <w:r w:rsidRPr="00FB7880">
        <w:tab/>
        <w:t>gezien artikel 100 van en bijlage V bij zijn Reglement,</w:t>
      </w:r>
    </w:p>
    <w:p w14:paraId="3FD296A7" w14:textId="77777777" w:rsidR="009F4FA1" w:rsidRPr="00FB7880" w:rsidRDefault="009F4FA1" w:rsidP="009F4FA1">
      <w:pPr>
        <w:pStyle w:val="NormalHanging12a"/>
      </w:pPr>
      <w:r w:rsidRPr="00FB7880">
        <w:t>–</w:t>
      </w:r>
      <w:r w:rsidRPr="00FB7880">
        <w:tab/>
        <w:t>gezien het verslag van de Commissie begrotingscontrole (A9-0108/2024),</w:t>
      </w:r>
    </w:p>
    <w:p w14:paraId="0CEA49AE" w14:textId="77777777" w:rsidR="009F4FA1" w:rsidRPr="00FB7880" w:rsidRDefault="009F4FA1" w:rsidP="009F4FA1">
      <w:pPr>
        <w:pStyle w:val="NormalHanging12a"/>
      </w:pPr>
      <w:r w:rsidRPr="00FB7880">
        <w:t>1.</w:t>
      </w:r>
      <w:r w:rsidRPr="00FB7880">
        <w:tab/>
        <w:t>verleent de waarnemend directeur-generaal van het Voorzieningsagentschap van Euratom kwijting voor de uitvoering van de begroting van het Agentschap voor het begrotingsjaar 2022;</w:t>
      </w:r>
    </w:p>
    <w:p w14:paraId="131956DB" w14:textId="77777777" w:rsidR="009F4FA1" w:rsidRPr="00FB7880" w:rsidRDefault="009F4FA1" w:rsidP="009F4FA1">
      <w:pPr>
        <w:pStyle w:val="NormalHanging12a"/>
      </w:pPr>
      <w:r w:rsidRPr="00FB7880">
        <w:t>2.</w:t>
      </w:r>
      <w:r w:rsidRPr="00FB7880">
        <w:tab/>
        <w:t>formuleert zijn opmerkingen in onderstaande resolutie;</w:t>
      </w:r>
    </w:p>
    <w:p w14:paraId="4E25BD57" w14:textId="77777777" w:rsidR="009F4FA1" w:rsidRPr="00FB7880" w:rsidRDefault="009F4FA1" w:rsidP="009F4FA1">
      <w:pPr>
        <w:pStyle w:val="NormalHanging12a"/>
      </w:pPr>
      <w:r w:rsidRPr="00FB7880">
        <w:t>3.</w:t>
      </w:r>
      <w:r w:rsidRPr="00FB7880">
        <w:tab/>
        <w:t xml:space="preserve">verzoekt zijn Voorzitter dit besluit en de resolutie die daarvan een integrerend deel uitmaakt, te doen toekomen aan de waarnemend directeur-generaal van het Voorzieningsagentschap van Euratom, de Raad, de Commissie en de Rekenkamer, en te zorgen voor publicatie ervan in het </w:t>
      </w:r>
      <w:r w:rsidRPr="00FB7880">
        <w:rPr>
          <w:i/>
          <w:iCs/>
        </w:rPr>
        <w:t>Publicatieblad van de Europese Unie</w:t>
      </w:r>
      <w:r w:rsidRPr="00FB7880">
        <w:t xml:space="preserve"> (L-serie).</w:t>
      </w:r>
    </w:p>
    <w:p w14:paraId="18DD8BC6" w14:textId="77777777" w:rsidR="009F4FA1" w:rsidRPr="00FB7880" w:rsidRDefault="009F4FA1" w:rsidP="009F4FA1"/>
    <w:p w14:paraId="0647E441" w14:textId="77777777" w:rsidR="009F4FA1" w:rsidRPr="00FB7880" w:rsidRDefault="009F4FA1" w:rsidP="009F4FA1">
      <w:pPr>
        <w:widowControl/>
        <w:rPr>
          <w:rFonts w:ascii="Arial" w:hAnsi="Arial" w:cs="Arial"/>
          <w:b/>
        </w:rPr>
        <w:sectPr w:rsidR="009F4FA1" w:rsidRPr="00FB7880" w:rsidSect="009D4A7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0F0C435E" w14:textId="77777777" w:rsidR="009F4FA1" w:rsidRPr="00FB7880" w:rsidRDefault="009F4FA1" w:rsidP="0009681A">
      <w:pPr>
        <w:pStyle w:val="ATHeading3"/>
      </w:pPr>
      <w:bookmarkStart w:id="8" w:name="_Toc161911015"/>
      <w:r w:rsidRPr="00FB7880">
        <w:lastRenderedPageBreak/>
        <w:t xml:space="preserve">2. </w:t>
      </w:r>
      <w:bookmarkEnd w:id="8"/>
      <w:r w:rsidR="0009681A" w:rsidRPr="00FB7880">
        <w:t xml:space="preserve">Besluit van het Europees Parlement van 11 april 2024 </w:t>
      </w:r>
      <w:r w:rsidRPr="00FB7880">
        <w:t>over de afsluiting van de rekeningen van het Voorzieningsagentschap van Euratom voor het begrotingsjaar 2022</w:t>
      </w:r>
      <w:r w:rsidR="0009681A" w:rsidRPr="00FB7880">
        <w:t xml:space="preserve"> </w:t>
      </w:r>
      <w:r w:rsidRPr="00FB7880">
        <w:t>(2023/2161(DEC))</w:t>
      </w:r>
    </w:p>
    <w:p w14:paraId="64813800" w14:textId="77777777" w:rsidR="009F4FA1" w:rsidRPr="00FB7880" w:rsidRDefault="009F4FA1" w:rsidP="009F4FA1">
      <w:pPr>
        <w:pStyle w:val="EPComma"/>
      </w:pPr>
      <w:r w:rsidRPr="00FB7880">
        <w:rPr>
          <w:i/>
          <w:iCs/>
        </w:rPr>
        <w:t>Het Europees Parlement</w:t>
      </w:r>
      <w:r w:rsidRPr="00FB7880">
        <w:t>,</w:t>
      </w:r>
    </w:p>
    <w:p w14:paraId="4C4E4372" w14:textId="77777777" w:rsidR="009F4FA1" w:rsidRPr="00FB7880" w:rsidRDefault="009F4FA1" w:rsidP="009F4FA1">
      <w:pPr>
        <w:pStyle w:val="NormalHanging12a"/>
      </w:pPr>
      <w:r w:rsidRPr="00FB7880">
        <w:t>–</w:t>
      </w:r>
      <w:r w:rsidRPr="00FB7880">
        <w:tab/>
        <w:t>gezien de definitieve jaarrekening van het Voorzieningsagentschap van Euratom voor het begrotingsjaar 2022,</w:t>
      </w:r>
    </w:p>
    <w:p w14:paraId="717E5862" w14:textId="77777777" w:rsidR="009F4FA1" w:rsidRPr="00FB7880" w:rsidRDefault="009F4FA1" w:rsidP="009F4FA1">
      <w:pPr>
        <w:pStyle w:val="NormalHanging12a"/>
      </w:pPr>
      <w:r w:rsidRPr="00FB7880">
        <w:t>–</w:t>
      </w:r>
      <w:r w:rsidRPr="00FB7880">
        <w:tab/>
        <w:t>gezien het jaarverslag van de Rekenkamer over de EU-agentschappen betreffende het begrotingsjaar 2022, vergezeld van de antwoorden van de agentschappen</w:t>
      </w:r>
      <w:r w:rsidRPr="00FB7880">
        <w:rPr>
          <w:rStyle w:val="FootnoteReference"/>
        </w:rPr>
        <w:footnoteReference w:id="5"/>
      </w:r>
      <w:r w:rsidRPr="00FB7880">
        <w:t>,</w:t>
      </w:r>
    </w:p>
    <w:p w14:paraId="17119DFE" w14:textId="77777777" w:rsidR="009F4FA1" w:rsidRPr="00FB7880" w:rsidRDefault="009F4FA1" w:rsidP="009F4FA1">
      <w:pPr>
        <w:pStyle w:val="NormalHanging12a"/>
      </w:pPr>
      <w:r w:rsidRPr="00FB7880">
        <w:t>–</w:t>
      </w:r>
      <w:r w:rsidRPr="00FB7880">
        <w:tab/>
        <w:t>gezien de verklaring van de Rekenkamer voor het begrotingsjaar 2022</w:t>
      </w:r>
      <w:r w:rsidRPr="00FB7880">
        <w:rPr>
          <w:rStyle w:val="FootnoteReference"/>
        </w:rPr>
        <w:footnoteReference w:id="6"/>
      </w:r>
      <w:r w:rsidRPr="00FB7880">
        <w:t xml:space="preserve"> waarin de betrouwbaarheid van de rekeningen en de wettigheid en regelmatigheid van de onderliggende verrichtingen worden bevestigd, overeenkomstig artikel 287 van het Verdrag betreffende de werking van de Europese Unie,</w:t>
      </w:r>
    </w:p>
    <w:p w14:paraId="19E6CC74" w14:textId="1F5B832F" w:rsidR="009F4FA1" w:rsidRPr="00FB7880" w:rsidRDefault="009F4FA1" w:rsidP="009F4FA1">
      <w:pPr>
        <w:pStyle w:val="NormalHanging12a"/>
      </w:pPr>
      <w:r w:rsidRPr="00FB7880">
        <w:t>–</w:t>
      </w:r>
      <w:r w:rsidRPr="00FB7880">
        <w:tab/>
        <w:t>gezien de aanbeveling van de Raad van 22 februari 2024 betreffende de aan het Agentschap te verlenen kwijting voor de uitvoering van de begroting voor het begrotingsjaar 2022 (</w:t>
      </w:r>
      <w:r w:rsidR="002C6CA5" w:rsidRPr="00FB7880">
        <w:t>06180</w:t>
      </w:r>
      <w:r w:rsidRPr="00FB7880">
        <w:t>/2024 – C9</w:t>
      </w:r>
      <w:r w:rsidRPr="00FB7880">
        <w:noBreakHyphen/>
      </w:r>
      <w:r w:rsidR="002C6CA5" w:rsidRPr="00FB7880">
        <w:t>0099</w:t>
      </w:r>
      <w:r w:rsidRPr="00FB7880">
        <w:t>/2024),</w:t>
      </w:r>
    </w:p>
    <w:p w14:paraId="463E33F0" w14:textId="77777777" w:rsidR="009F4FA1" w:rsidRPr="00FB7880" w:rsidRDefault="009F4FA1" w:rsidP="009F4FA1">
      <w:pPr>
        <w:pStyle w:val="NormalHanging12a"/>
      </w:pPr>
      <w:r w:rsidRPr="00FB7880">
        <w:t>–</w:t>
      </w:r>
      <w:r w:rsidRPr="00FB7880">
        <w:tab/>
        <w:t>gezien artikel 319 van het Verdrag betreffende de werking van de Europese Unie,</w:t>
      </w:r>
    </w:p>
    <w:p w14:paraId="5B5B680F" w14:textId="77777777" w:rsidR="009F4FA1" w:rsidRPr="00FB7880" w:rsidRDefault="009F4FA1" w:rsidP="009F4FA1">
      <w:pPr>
        <w:pStyle w:val="NormalHanging12a"/>
      </w:pPr>
      <w:r w:rsidRPr="00FB7880">
        <w:t>–</w:t>
      </w:r>
      <w:r w:rsidRPr="00FB7880">
        <w:tab/>
        <w:t>gezien artikel 106 bis van het Verdrag tot oprichting van de Europese Gemeenschap voor Atoomenergie,</w:t>
      </w:r>
    </w:p>
    <w:p w14:paraId="5CB3FA8A" w14:textId="77777777" w:rsidR="009F4FA1" w:rsidRPr="00FB7880" w:rsidRDefault="009F4FA1" w:rsidP="009F4FA1">
      <w:pPr>
        <w:pStyle w:val="NormalHanging12a"/>
      </w:pPr>
      <w:r w:rsidRPr="00FB7880">
        <w:t>–</w:t>
      </w:r>
      <w:r w:rsidRPr="00FB7880">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FB7880">
        <w:rPr>
          <w:rStyle w:val="FootnoteReference"/>
        </w:rPr>
        <w:footnoteReference w:id="7"/>
      </w:r>
      <w:r w:rsidRPr="00FB7880">
        <w:t>, en met name artikel 68,</w:t>
      </w:r>
    </w:p>
    <w:p w14:paraId="7F9F59F8" w14:textId="77777777" w:rsidR="009F4FA1" w:rsidRPr="00FB7880" w:rsidRDefault="009F4FA1" w:rsidP="009F4FA1">
      <w:pPr>
        <w:pStyle w:val="NormalHanging12a"/>
      </w:pPr>
      <w:r w:rsidRPr="00FB7880">
        <w:t>–</w:t>
      </w:r>
      <w:r w:rsidRPr="00FB7880">
        <w:tab/>
        <w:t>gezien Besluit 2008/114/EG, Euratom van de Raad van 12 februari 2008 tot vaststelling van statuten voor het Voorzieningsagentschap van Euratom</w:t>
      </w:r>
      <w:r w:rsidRPr="00FB7880">
        <w:rPr>
          <w:rStyle w:val="FootnoteReference"/>
        </w:rPr>
        <w:footnoteReference w:id="8"/>
      </w:r>
      <w:r w:rsidRPr="00FB7880">
        <w:t>, en met name artikel 8 van de bijlage,</w:t>
      </w:r>
    </w:p>
    <w:p w14:paraId="1F4B7722" w14:textId="77777777" w:rsidR="009F4FA1" w:rsidRPr="00FB7880" w:rsidRDefault="009F4FA1" w:rsidP="009F4FA1">
      <w:pPr>
        <w:pStyle w:val="NormalHanging12a"/>
      </w:pPr>
      <w:r w:rsidRPr="00FB7880">
        <w:t>–</w:t>
      </w:r>
      <w:r w:rsidRPr="00FB7880">
        <w:tab/>
        <w:t>gezien artikel 100 van en bijlage V bij zijn Reglement,</w:t>
      </w:r>
    </w:p>
    <w:p w14:paraId="2D260687" w14:textId="77777777" w:rsidR="009F4FA1" w:rsidRPr="00FB7880" w:rsidRDefault="009F4FA1" w:rsidP="009F4FA1">
      <w:pPr>
        <w:pStyle w:val="NormalHanging12a"/>
      </w:pPr>
      <w:r w:rsidRPr="00FB7880">
        <w:t>–</w:t>
      </w:r>
      <w:r w:rsidRPr="00FB7880">
        <w:tab/>
        <w:t>gezien het verslag van de Commissie begrotingscontrole (A9-0108/2024),</w:t>
      </w:r>
    </w:p>
    <w:p w14:paraId="26D54535" w14:textId="77777777" w:rsidR="009F4FA1" w:rsidRPr="00FB7880" w:rsidRDefault="009F4FA1" w:rsidP="009F4FA1">
      <w:pPr>
        <w:pStyle w:val="NormalHanging12a"/>
      </w:pPr>
      <w:r w:rsidRPr="00FB7880">
        <w:t>1.</w:t>
      </w:r>
      <w:r w:rsidRPr="00FB7880">
        <w:tab/>
        <w:t>hecht zijn goedkeuring aan de afsluiting van de rekeningen van het Voorzieningsagentschap van Euratom voor het begrotingsjaar 2022;</w:t>
      </w:r>
    </w:p>
    <w:p w14:paraId="5ECCC5C3" w14:textId="77777777" w:rsidR="009F4FA1" w:rsidRPr="00FB7880" w:rsidRDefault="009F4FA1" w:rsidP="009F4FA1">
      <w:pPr>
        <w:pStyle w:val="NormalHanging12a"/>
      </w:pPr>
      <w:r w:rsidRPr="00FB7880">
        <w:t>2.</w:t>
      </w:r>
      <w:r w:rsidRPr="00FB7880">
        <w:tab/>
        <w:t xml:space="preserve">verzoekt zijn Voorzitter dit besluit te doen toekomen aan de waarnemend directeur-generaal van het Voorzieningsagentschap van Euratom, de Raad, de Commissie en de Rekenkamer, en te zorgen voor publicatie ervan in het </w:t>
      </w:r>
      <w:r w:rsidRPr="00FB7880">
        <w:rPr>
          <w:i/>
          <w:iCs/>
        </w:rPr>
        <w:t xml:space="preserve">Publicatieblad van de Europese </w:t>
      </w:r>
      <w:r w:rsidRPr="00FB7880">
        <w:rPr>
          <w:i/>
          <w:iCs/>
        </w:rPr>
        <w:lastRenderedPageBreak/>
        <w:t>Unie</w:t>
      </w:r>
      <w:r w:rsidRPr="00FB7880">
        <w:t xml:space="preserve"> (L-serie).</w:t>
      </w:r>
    </w:p>
    <w:p w14:paraId="70CBBCED" w14:textId="77777777" w:rsidR="009F4FA1" w:rsidRPr="00FB7880" w:rsidRDefault="009F4FA1" w:rsidP="009F4FA1"/>
    <w:p w14:paraId="531BD04D" w14:textId="77777777" w:rsidR="009F4FA1" w:rsidRPr="00FB7880" w:rsidRDefault="009F4FA1" w:rsidP="009F4FA1">
      <w:pPr>
        <w:widowControl/>
        <w:rPr>
          <w:rFonts w:ascii="Arial" w:hAnsi="Arial" w:cs="Arial"/>
          <w:b/>
        </w:rPr>
        <w:sectPr w:rsidR="009F4FA1" w:rsidRPr="00FB7880" w:rsidSect="009D4A76">
          <w:footnotePr>
            <w:numRestart w:val="eachPage"/>
          </w:footnotePr>
          <w:endnotePr>
            <w:numFmt w:val="decimal"/>
          </w:endnotePr>
          <w:pgSz w:w="11906" w:h="16838"/>
          <w:pgMar w:top="1134" w:right="1418" w:bottom="1418" w:left="1418" w:header="567" w:footer="567" w:gutter="0"/>
          <w:cols w:space="720"/>
          <w:docGrid w:linePitch="326"/>
        </w:sectPr>
      </w:pPr>
    </w:p>
    <w:p w14:paraId="6D12EBB8" w14:textId="77777777" w:rsidR="009F4FA1" w:rsidRPr="00FB7880" w:rsidRDefault="009F4FA1" w:rsidP="0009681A">
      <w:pPr>
        <w:pStyle w:val="ATHeading3"/>
      </w:pPr>
      <w:bookmarkStart w:id="9" w:name="_Toc161911016"/>
      <w:r w:rsidRPr="00FB7880">
        <w:lastRenderedPageBreak/>
        <w:t xml:space="preserve">3. </w:t>
      </w:r>
      <w:bookmarkEnd w:id="9"/>
      <w:r w:rsidR="0009681A" w:rsidRPr="00FB7880">
        <w:t xml:space="preserve">Resolutie van het Europees Parlement van 11 april 2024 </w:t>
      </w:r>
      <w:r w:rsidRPr="00FB7880">
        <w:t>met de opmerkingen die een integrerend deel uitmaken van het besluit over het verlenen van kwijting voor de uitvoering van de begroting van het Voorzieningsagentschap van Euratom voor het begrotingsjaar 2022</w:t>
      </w:r>
      <w:r w:rsidR="0009681A" w:rsidRPr="00FB7880">
        <w:t xml:space="preserve"> </w:t>
      </w:r>
      <w:r w:rsidRPr="00FB7880">
        <w:t>(2023/2161(DEC))</w:t>
      </w:r>
    </w:p>
    <w:p w14:paraId="09E9D235" w14:textId="77777777" w:rsidR="009F4FA1" w:rsidRPr="00FB7880" w:rsidRDefault="009F4FA1" w:rsidP="009F4FA1">
      <w:pPr>
        <w:pStyle w:val="EPComma"/>
      </w:pPr>
      <w:r w:rsidRPr="00FB7880">
        <w:rPr>
          <w:i/>
          <w:iCs/>
        </w:rPr>
        <w:t>Het Europees Parlement</w:t>
      </w:r>
      <w:r w:rsidRPr="00FB7880">
        <w:t>,</w:t>
      </w:r>
    </w:p>
    <w:p w14:paraId="6A31DF24" w14:textId="77777777" w:rsidR="009F4FA1" w:rsidRPr="00FB7880" w:rsidRDefault="009F4FA1" w:rsidP="009F4FA1">
      <w:pPr>
        <w:pStyle w:val="NormalHanging12a"/>
      </w:pPr>
      <w:r w:rsidRPr="00FB7880">
        <w:t>–</w:t>
      </w:r>
      <w:r w:rsidRPr="00FB7880">
        <w:tab/>
        <w:t>gezien zijn besluit over het verlenen van kwijting voor de uitvoering van de begroting van het Voorzieningsagentschap van Euratom (hierna het “Agentschap”) voor het begrotingsjaar 2022,</w:t>
      </w:r>
    </w:p>
    <w:p w14:paraId="164A6882" w14:textId="77777777" w:rsidR="009F4FA1" w:rsidRPr="00FB7880" w:rsidRDefault="009F4FA1" w:rsidP="009F4FA1">
      <w:pPr>
        <w:pStyle w:val="NormalHanging12a"/>
      </w:pPr>
      <w:r w:rsidRPr="00FB7880">
        <w:t>–</w:t>
      </w:r>
      <w:r w:rsidRPr="00FB7880">
        <w:tab/>
        <w:t>gezien artikel 100 van en bijlage V bij zijn Reglement,</w:t>
      </w:r>
    </w:p>
    <w:p w14:paraId="3F980371" w14:textId="77777777" w:rsidR="009F4FA1" w:rsidRPr="00FB7880" w:rsidRDefault="009F4FA1" w:rsidP="009F4FA1">
      <w:pPr>
        <w:pStyle w:val="NormalHanging12a"/>
      </w:pPr>
      <w:r w:rsidRPr="00FB7880">
        <w:t>–</w:t>
      </w:r>
      <w:r w:rsidRPr="00FB7880">
        <w:tab/>
        <w:t>gezien het verslag van de Commissie begrotingscontrole (A9-0108/2024),</w:t>
      </w:r>
    </w:p>
    <w:p w14:paraId="45C8D314" w14:textId="77777777" w:rsidR="009F4FA1" w:rsidRPr="00FB7880" w:rsidRDefault="009F4FA1" w:rsidP="009F4FA1">
      <w:pPr>
        <w:spacing w:after="240"/>
        <w:ind w:left="567" w:hanging="567"/>
        <w:rPr>
          <w:szCs w:val="24"/>
        </w:rPr>
      </w:pPr>
      <w:r w:rsidRPr="00FB7880">
        <w:t>A.</w:t>
      </w:r>
      <w:r w:rsidRPr="00FB7880">
        <w:tab/>
        <w:t>overwegende dat de definitieve begroting van het Agentschap voor het begrotingsjaar 2022 volgens zijn staat van ontvangsten en uitgaven 167 000 EUR bedroeg, wat een daling van 20,48 % inhoudt ten opzichte van 2021 (210 000 EUR); overwegende dat de begroting van het Agentschap volledig wordt gefinancierd met middelen van de begroting van de Unie;</w:t>
      </w:r>
    </w:p>
    <w:p w14:paraId="4456759D" w14:textId="77777777" w:rsidR="009F4FA1" w:rsidRPr="00FB7880" w:rsidRDefault="009F4FA1" w:rsidP="009F4FA1">
      <w:pPr>
        <w:spacing w:after="240"/>
        <w:ind w:left="567" w:hanging="567"/>
        <w:rPr>
          <w:szCs w:val="24"/>
        </w:rPr>
      </w:pPr>
      <w:r w:rsidRPr="00FB7880">
        <w:t>B.</w:t>
      </w:r>
      <w:r w:rsidRPr="00FB7880">
        <w:tab/>
        <w:t>overwegende dat de Rekenkamer in haar verslag over de jaarrekening van het Agentschap voor het begrotingsjaar 2022 (hierna “het verslag van de Rekenkamer”) heeft verklaard redelijke zekerheid te hebben gekregen dat de jaarrekening van het Agentschap betrouwbaar is en dat de onderliggende verrichtingen wettig en regelmatig zijn;</w:t>
      </w:r>
    </w:p>
    <w:p w14:paraId="43EAEF96" w14:textId="77777777" w:rsidR="009F4FA1" w:rsidRPr="00FB7880" w:rsidRDefault="009F4FA1" w:rsidP="009F4FA1">
      <w:pPr>
        <w:spacing w:after="240"/>
        <w:ind w:left="567" w:hanging="567"/>
        <w:rPr>
          <w:szCs w:val="24"/>
        </w:rPr>
      </w:pPr>
      <w:r w:rsidRPr="00FB7880">
        <w:t>C.</w:t>
      </w:r>
      <w:r w:rsidRPr="00FB7880">
        <w:tab/>
        <w:t xml:space="preserve">overwegende dat er met betrekking tot de </w:t>
      </w:r>
      <w:proofErr w:type="spellStart"/>
      <w:r w:rsidRPr="00FB7880">
        <w:t>internecontrolesystemen</w:t>
      </w:r>
      <w:proofErr w:type="spellEnd"/>
      <w:r w:rsidRPr="00FB7880">
        <w:t xml:space="preserve"> van het Agentschap voor 2022 geen zaken zijn gemeld die corrigerende maatregelen vereisen, en dat er ook geen corrigerende maatregelen lopen of nog niet zijn uitgevoerd in het kader van controles en beoordelingen van voorgaande jaren;</w:t>
      </w:r>
    </w:p>
    <w:p w14:paraId="26F62862" w14:textId="77777777" w:rsidR="009F4FA1" w:rsidRPr="00FB7880" w:rsidRDefault="009F4FA1" w:rsidP="009F4FA1">
      <w:pPr>
        <w:spacing w:after="240"/>
        <w:ind w:left="567" w:hanging="567"/>
        <w:rPr>
          <w:b/>
          <w:i/>
          <w:szCs w:val="24"/>
        </w:rPr>
      </w:pPr>
      <w:r w:rsidRPr="00FB7880">
        <w:rPr>
          <w:b/>
          <w:i/>
        </w:rPr>
        <w:t>Begrotings- en financieel beheer</w:t>
      </w:r>
    </w:p>
    <w:p w14:paraId="4C77F7BD" w14:textId="77777777" w:rsidR="009F4FA1" w:rsidRPr="00FB7880" w:rsidRDefault="009F4FA1" w:rsidP="009F4FA1">
      <w:pPr>
        <w:spacing w:after="240"/>
        <w:ind w:left="567" w:hanging="567"/>
        <w:rPr>
          <w:szCs w:val="24"/>
        </w:rPr>
      </w:pPr>
      <w:r w:rsidRPr="00FB7880">
        <w:t>1.</w:t>
      </w:r>
      <w:r w:rsidRPr="00FB7880">
        <w:tab/>
        <w:t>merkt op dat de inspanningen op het gebied van begrotingstoezicht gedurende het begrotingsjaar 2022 hebben geresulteerd in een uitvoeringspercentage voor de vastleggingskredieten van het huidige jaar van 96,88 %, hetgeen neerkomt op een lichte daling van 2,88 % ten opzichte van het jaar 2021, en merkt op dat het uitvoeringspercentage voor de betalingskredieten van het huidige jaar 34,81 % bedroeg, hetgeen neerkomt op een daling van 16,4 % ten opzichte van 2021;</w:t>
      </w:r>
    </w:p>
    <w:p w14:paraId="3167FA15" w14:textId="77777777" w:rsidR="009F4FA1" w:rsidRPr="00FB7880" w:rsidRDefault="009F4FA1" w:rsidP="009F4FA1">
      <w:pPr>
        <w:spacing w:after="240"/>
        <w:ind w:left="567" w:hanging="567"/>
        <w:rPr>
          <w:szCs w:val="24"/>
        </w:rPr>
      </w:pPr>
      <w:r w:rsidRPr="00FB7880">
        <w:t>2.</w:t>
      </w:r>
      <w:r w:rsidRPr="00FB7880">
        <w:tab/>
        <w:t>merkt op dat een groot deel van de uitgaven van het Agentschap wordt gedekt door de Commissie, met inbegrip 1 937 817 EUR voor salarissen, 467 708 EUR voor kantoor- en IT-uitgaven en 84 644 EUR voor het IT-systeem NOEMI (“</w:t>
      </w:r>
      <w:proofErr w:type="spellStart"/>
      <w:r w:rsidRPr="00FB7880">
        <w:t>Nuclear</w:t>
      </w:r>
      <w:proofErr w:type="spellEnd"/>
      <w:r w:rsidRPr="00FB7880">
        <w:t xml:space="preserve"> </w:t>
      </w:r>
      <w:proofErr w:type="spellStart"/>
      <w:r w:rsidRPr="00FB7880">
        <w:t>Observatory</w:t>
      </w:r>
      <w:proofErr w:type="spellEnd"/>
      <w:r w:rsidRPr="00FB7880">
        <w:t xml:space="preserve"> </w:t>
      </w:r>
      <w:proofErr w:type="spellStart"/>
      <w:r w:rsidRPr="00FB7880">
        <w:t>and</w:t>
      </w:r>
      <w:proofErr w:type="spellEnd"/>
      <w:r w:rsidRPr="00FB7880">
        <w:t xml:space="preserve"> ESA Management of Information”); constateert bovendien dat deze uitgaven zijn opgenomen in de jaarrekeningen van de Commissie en een positieve bijdrage leveren aan de administratieve capaciteit van het Agentschap;</w:t>
      </w:r>
    </w:p>
    <w:p w14:paraId="7CF1CB18" w14:textId="77777777" w:rsidR="009F4FA1" w:rsidRPr="00FB7880" w:rsidRDefault="009F4FA1" w:rsidP="009F4FA1">
      <w:pPr>
        <w:spacing w:after="240"/>
        <w:ind w:left="567" w:hanging="567"/>
        <w:rPr>
          <w:b/>
          <w:i/>
          <w:szCs w:val="24"/>
        </w:rPr>
      </w:pPr>
      <w:r w:rsidRPr="00FB7880">
        <w:rPr>
          <w:b/>
          <w:i/>
        </w:rPr>
        <w:t>Prestatie</w:t>
      </w:r>
    </w:p>
    <w:p w14:paraId="63096542" w14:textId="77777777" w:rsidR="009F4FA1" w:rsidRPr="00FB7880" w:rsidRDefault="009F4FA1" w:rsidP="009F4FA1">
      <w:pPr>
        <w:pStyle w:val="NormalHanging12a"/>
      </w:pPr>
      <w:r w:rsidRPr="00FB7880">
        <w:t>3.</w:t>
      </w:r>
      <w:r w:rsidRPr="00FB7880">
        <w:tab/>
        <w:t xml:space="preserve">benadrukt dat het jaar 2022 in het teken stond van de Russische invasie in Oekraïne, wat </w:t>
      </w:r>
      <w:r w:rsidRPr="00FB7880">
        <w:lastRenderedPageBreak/>
        <w:t>leidde tot bezorgdheid in de EU over energiezekerheid in het algemeen, en in het bijzonder de voorzieningszekerheid van de Unie met betrekking tot nucleair materiaal en splijtstoffen ondermijnde en de problemen in verband met energieafhankelijkheid verergerde; merkt op dat veel kerncentrales in de Unie voor brandstof afhankelijk zijn van Russische leveranciers en dat de nutsbedrijven in de Unie voor 20 tot 30 % afhankelijk zijn van de Russische levering van nucleair materiaal en diensten op het gebied van de splijtstofcyclus; merkt op dat de Unie in het licht van de hoge betalingen voor energie-invoer, die het Russische optreden ondersteunen, heeft besloten haar afhankelijkheid van Rusland in verschillende sectoren te verminderen, en dat de nucleaire markt, gezien de unieke kenmerken ervan, in de context van deze bredere verschuiving in de toekomst ook zal kunnen veranderen; verzoekt het Agentschap aan de kwijtingsautoriteit verslag uit te brengen over de wijze waarop het sinds 2022 de afhankelijkheid van de EU van Russische splijtstof heeft verminderd, met name sinds het begin van de oorlog, toen de nucleaire industrie werd vrijgesteld van sancties, en over de wijze waarop de vermindering en diversificatie van invloed waren op de kosten;</w:t>
      </w:r>
    </w:p>
    <w:p w14:paraId="7A7E7375" w14:textId="77777777" w:rsidR="009F4FA1" w:rsidRPr="00FB7880" w:rsidRDefault="009F4FA1" w:rsidP="009F4FA1">
      <w:pPr>
        <w:spacing w:after="240"/>
        <w:ind w:left="567" w:hanging="567"/>
      </w:pPr>
      <w:r w:rsidRPr="00FB7880">
        <w:t>4.</w:t>
      </w:r>
      <w:r w:rsidRPr="00FB7880">
        <w:tab/>
        <w:t>stelt met tevredenheid vast dat het Agentschap bijzondere aandacht heeft besteed aan de herziening van contracten die het risico van afhankelijkheid van Rusland met zich meebrengen, met inbegrip van een grondige analyse van clausules, technologische informatie, toeleveringsketens, beschikbaarheid van alternatieve brandstoffen en de operationele autonomie van nutsbedrijven ten aanzien van bestaande brandstofvoorraden; prijst het feit dat het Agentschap stappen heeft ondernomen om de procedure voor de indiening van contracten te vereenvoudigen en tegelijkertijd een hoog niveau van beveiliging te handhaven, en dat speciale beveiligde IT-instrumenten de voltooiing en indiening op afstand mogelijk hebben gemaakt; stelt vast dat als gevolg van deze inspanningen het aantal elektronisch ondertekende handelingen dat in overeenstemming is met de regelgeving inzake identificatie voor elektronische transacties in de interne markt in 2022 is toegenomen;</w:t>
      </w:r>
    </w:p>
    <w:p w14:paraId="60205194" w14:textId="77777777" w:rsidR="009F4FA1" w:rsidRPr="00FB7880" w:rsidRDefault="009F4FA1" w:rsidP="009F4FA1">
      <w:pPr>
        <w:spacing w:after="240"/>
        <w:ind w:left="567" w:hanging="567"/>
        <w:rPr>
          <w:szCs w:val="24"/>
        </w:rPr>
      </w:pPr>
      <w:r w:rsidRPr="00FB7880">
        <w:t>5.</w:t>
      </w:r>
      <w:r w:rsidRPr="00FB7880">
        <w:tab/>
        <w:t>merkt op dat het Agentschap, in overeenstemming met zijn strategische doelstellingen en het beleid van de Commissie, tot doel heeft de bevoorradingsbronnen in de splijtstofcyclus, die al dan niet voor energiedoeleinden worden gebruikt, te verdelen, en zo bij te dragen tot de voorzieningszekerheid op middellange en lange termijn;</w:t>
      </w:r>
    </w:p>
    <w:p w14:paraId="52E68131" w14:textId="77777777" w:rsidR="009F4FA1" w:rsidRPr="00FB7880" w:rsidRDefault="009F4FA1" w:rsidP="009F4FA1">
      <w:pPr>
        <w:spacing w:after="240"/>
        <w:ind w:left="567" w:hanging="567"/>
        <w:rPr>
          <w:szCs w:val="24"/>
        </w:rPr>
      </w:pPr>
      <w:r w:rsidRPr="00FB7880">
        <w:t>6.</w:t>
      </w:r>
      <w:r w:rsidRPr="00FB7880">
        <w:tab/>
        <w:t>constateert dat het Agentschap verantwoordelijk is voor het toezicht op de markt om trends vast te stellen die van invloed kunnen zijn op de voorzieningszekerheid van nucleair materiaal en nucleaire diensten in de Unie; merkt bovendien op dat het Agentschap een marktanalyse in zijn jaarverslag heeft gepubliceerd, informatie heeft verstrekt over de nucleaire markten van de Unie en de rest van de wereld en informatie en kennis heeft gedeeld met andere internationale marktanalyseorganisaties;</w:t>
      </w:r>
    </w:p>
    <w:p w14:paraId="6FF71A40" w14:textId="77777777" w:rsidR="009F4FA1" w:rsidRPr="00FB7880" w:rsidRDefault="009F4FA1" w:rsidP="009F4FA1">
      <w:pPr>
        <w:pStyle w:val="NormalHanging12a"/>
      </w:pPr>
      <w:r w:rsidRPr="00FB7880">
        <w:t>7.</w:t>
      </w:r>
      <w:r w:rsidRPr="00FB7880">
        <w:tab/>
        <w:t>is ingenomen met het feit dat het Agentschap in 2022 het voortouw heeft genomen met het oog op het veiligstellen van de levering van grondstoffen voor medische radio-isotopen, heeft bijgedragen aan de uitvoering van de strategische agenda voor medische toepassingen van ioniserende straling (Samira), en leiding heeft gegeven aan het Europees Waarnemingscentrum voor de voorziening van medische radio-isotopen;</w:t>
      </w:r>
    </w:p>
    <w:p w14:paraId="75B70734" w14:textId="77777777" w:rsidR="009F4FA1" w:rsidRPr="00FB7880" w:rsidRDefault="009F4FA1" w:rsidP="009F4FA1">
      <w:pPr>
        <w:spacing w:after="240"/>
        <w:ind w:left="567" w:hanging="567"/>
        <w:rPr>
          <w:szCs w:val="24"/>
        </w:rPr>
      </w:pPr>
      <w:r w:rsidRPr="00FB7880">
        <w:t>8.</w:t>
      </w:r>
      <w:r w:rsidRPr="00FB7880">
        <w:tab/>
        <w:t>is ingenomen met de inspanningen van het Agentschap om samen te werken met partners en belanghebbenden ter versterking van de voorzieningszekerheid van nucleair materiaal met het oog op de illegale en niet-uitgelokte Russische invasie van Oekraïne;</w:t>
      </w:r>
    </w:p>
    <w:p w14:paraId="099C3CC5" w14:textId="77777777" w:rsidR="009F4FA1" w:rsidRPr="00FB7880" w:rsidRDefault="009F4FA1" w:rsidP="009F4FA1">
      <w:pPr>
        <w:spacing w:after="240"/>
        <w:ind w:left="567" w:hanging="567"/>
        <w:rPr>
          <w:b/>
          <w:i/>
          <w:szCs w:val="24"/>
        </w:rPr>
      </w:pPr>
      <w:r w:rsidRPr="00FB7880">
        <w:rPr>
          <w:b/>
          <w:i/>
        </w:rPr>
        <w:lastRenderedPageBreak/>
        <w:t>Efficiëntie en verbeteringen</w:t>
      </w:r>
    </w:p>
    <w:p w14:paraId="49D4142D" w14:textId="77777777" w:rsidR="009F4FA1" w:rsidRPr="00FB7880" w:rsidRDefault="009F4FA1" w:rsidP="009F4FA1">
      <w:pPr>
        <w:spacing w:after="240"/>
        <w:ind w:left="567" w:hanging="567"/>
        <w:rPr>
          <w:szCs w:val="24"/>
        </w:rPr>
      </w:pPr>
      <w:r w:rsidRPr="00FB7880">
        <w:t>9.</w:t>
      </w:r>
      <w:r w:rsidRPr="00FB7880">
        <w:tab/>
        <w:t>merkt op dat het Agentschap nauw heeft samengewerkt met de Commissie om de diversificatie van de energievoorziening te bevorderen; merkt voorts op dat het Agentschap sinds jaar en dag op het gebied van kernenergie betrekkingen onderhoudt met de Internationale Organisatie voor Atoomenergie en het Agentschap voor kernenergie in het kader van de Organisatie voor Economische Samenwerking en Ontwikkeling; wijst op de horizontale voordelen van samenwerking en de aanpassing van beste praktijken en het feit dat gezamenlijke initiatieven uiteenlopende perspectieven samenbrengen, dubbel werk verminderen, leerprocessen verbeteren en de relaties tussen de deelnemers versterken;</w:t>
      </w:r>
    </w:p>
    <w:p w14:paraId="6816EE8B" w14:textId="77777777" w:rsidR="009F4FA1" w:rsidRPr="00FB7880" w:rsidRDefault="009F4FA1" w:rsidP="009F4FA1">
      <w:pPr>
        <w:spacing w:after="240"/>
        <w:ind w:left="567" w:hanging="567"/>
        <w:rPr>
          <w:szCs w:val="24"/>
        </w:rPr>
      </w:pPr>
      <w:r w:rsidRPr="00FB7880">
        <w:t>10.</w:t>
      </w:r>
      <w:r w:rsidRPr="00FB7880">
        <w:tab/>
        <w:t>merkt op dat het Agentschap bezig is met de ontwikkeling van het IT-systeem NOEMI om de volledige digitale verwerking van nucleaire leveringscontracten en marktinformatie mogelijk te maken, met volledige inachtneming van de regels inzake informatiebescherming, en tegelijkertijd werkt aan de uitbreiding van zijn analysecapaciteit met betrekking tot de beschikbare gegevens;</w:t>
      </w:r>
    </w:p>
    <w:p w14:paraId="52CA2F6C" w14:textId="77777777" w:rsidR="009F4FA1" w:rsidRPr="00FB7880" w:rsidRDefault="009F4FA1" w:rsidP="009F4FA1">
      <w:pPr>
        <w:spacing w:after="240"/>
        <w:ind w:left="567" w:hanging="567"/>
        <w:rPr>
          <w:szCs w:val="24"/>
        </w:rPr>
      </w:pPr>
      <w:r w:rsidRPr="00FB7880">
        <w:t>11.</w:t>
      </w:r>
      <w:r w:rsidRPr="00FB7880">
        <w:tab/>
        <w:t>merkt op dat het Agentschap inspanningen heeft geleverd om de efficiëntie te verbeteren en personele middelen te herschikken voor nieuwe toekomstige taken en uitdagingen; merkt op dat verdere efficiëntieverbeteringen alleen mogelijk zijn door gebruik te maken van synergieën en ondersteuning door de Commissie door middel van de uitvoering van gespecialiseerde ondersteunende functies, de uitbreiding van het gebruik van bedrijfsinstrumenten en een verhoging van de toewijzing voor de ontwikkeling van het IT-systeem NOEMI; verzoekt het Agentschap meer interne procedures te vinden die via nieuwe IT-instrumenten kunnen worden gestroomlijnd;</w:t>
      </w:r>
    </w:p>
    <w:p w14:paraId="318A35C6" w14:textId="3DD32D7A" w:rsidR="009F4FA1" w:rsidRPr="00FB7880" w:rsidRDefault="009F4FA1" w:rsidP="009F4FA1">
      <w:pPr>
        <w:pStyle w:val="NormalHanging12a"/>
      </w:pPr>
      <w:r w:rsidRPr="00FB7880">
        <w:t>12.</w:t>
      </w:r>
      <w:r w:rsidRPr="00FB7880">
        <w:tab/>
        <w:t xml:space="preserve">wijst erop dat het belangrijk is het Agentschap verder te digitaliseren wat interne werking en management betreft, maar ook ter versnelling van de digitalisering van procedures; benadrukt dat het Agentschap op dit gebied proactief moet blijven, teneinde een digitale kloof tussen de agentschappen te voorkomen; wijst er echter op dat alle nodige veiligheidsmaatregelen moeten worden genomen om elk risico voor de onlineveiligheid van de verwerkte informatie te voorkomen, </w:t>
      </w:r>
      <w:r w:rsidR="002C6CA5" w:rsidRPr="00FB7880">
        <w:t xml:space="preserve">benadrukt de noodzaak steviger </w:t>
      </w:r>
      <w:r w:rsidRPr="00FB7880">
        <w:t>op te treden tegen cyberaanvallen of infiltratiepogingen</w:t>
      </w:r>
      <w:r w:rsidR="002C6CA5" w:rsidRPr="00FB7880">
        <w:t>, met name tegen deze die</w:t>
      </w:r>
      <w:r w:rsidRPr="00FB7880">
        <w:t xml:space="preserve"> uit Rusland of China afkomstig zijn;</w:t>
      </w:r>
    </w:p>
    <w:p w14:paraId="1E3DCA38" w14:textId="77777777" w:rsidR="009F4FA1" w:rsidRPr="00FB7880" w:rsidRDefault="009F4FA1" w:rsidP="009F4FA1">
      <w:pPr>
        <w:spacing w:after="240"/>
        <w:ind w:left="567" w:hanging="567"/>
        <w:rPr>
          <w:b/>
          <w:i/>
          <w:szCs w:val="24"/>
        </w:rPr>
      </w:pPr>
      <w:r w:rsidRPr="00FB7880">
        <w:rPr>
          <w:b/>
          <w:i/>
        </w:rPr>
        <w:t>Personeelsbeleid</w:t>
      </w:r>
    </w:p>
    <w:p w14:paraId="43837F4A" w14:textId="77777777" w:rsidR="009F4FA1" w:rsidRPr="00FB7880" w:rsidRDefault="009F4FA1" w:rsidP="009F4FA1">
      <w:pPr>
        <w:spacing w:after="240"/>
        <w:ind w:left="567" w:hanging="567"/>
        <w:rPr>
          <w:szCs w:val="24"/>
        </w:rPr>
      </w:pPr>
      <w:r w:rsidRPr="00FB7880">
        <w:t>13.</w:t>
      </w:r>
      <w:r w:rsidRPr="00FB7880">
        <w:tab/>
        <w:t>stelt vast dat de personeelsformatie op 31 december 2022 voor 100 % compleet was met 17 vaste posten, namelijk 8 posten voor administrateurs, 7 posten voor assistenten en 2 posten voor assistenten en secretariaatsmedewerkers; merkt bovendien op dat het hogere dan toegestane aantal administrateurs het gevolg is van een door de Commissie toegekende upgrade van één post voor assistenten;</w:t>
      </w:r>
    </w:p>
    <w:p w14:paraId="26B71586" w14:textId="77777777" w:rsidR="009F4FA1" w:rsidRPr="00FB7880" w:rsidRDefault="009F4FA1" w:rsidP="009F4FA1">
      <w:pPr>
        <w:spacing w:after="240"/>
        <w:ind w:left="567" w:hanging="567"/>
        <w:rPr>
          <w:szCs w:val="24"/>
        </w:rPr>
      </w:pPr>
      <w:r w:rsidRPr="00FB7880">
        <w:t>14.</w:t>
      </w:r>
      <w:r w:rsidRPr="00FB7880">
        <w:tab/>
        <w:t>wijst erop hoe moeilijk het is voor het Agentschap om assistenten in lagere rangen te vinden, gezien het vereiste gespecialiseerde profiel en de bijbehorende salarisniveaus ten opzichte van de kosten van levensonderhoud in Luxemburg; merkt echter op dat het Agentschap ondanks zijn inspanningen in 2022 twee tijdelijke functionarissen op een vaste post heeft aangeworven (één assistent en één assistent en secretariaatsmedewerker);</w:t>
      </w:r>
    </w:p>
    <w:p w14:paraId="58C16EC6" w14:textId="77777777" w:rsidR="009F4FA1" w:rsidRPr="00FB7880" w:rsidRDefault="009F4FA1" w:rsidP="009F4FA1">
      <w:pPr>
        <w:spacing w:after="240"/>
        <w:ind w:left="567" w:hanging="567"/>
        <w:rPr>
          <w:szCs w:val="24"/>
        </w:rPr>
      </w:pPr>
      <w:r w:rsidRPr="00FB7880">
        <w:lastRenderedPageBreak/>
        <w:t>15.</w:t>
      </w:r>
      <w:r w:rsidRPr="00FB7880">
        <w:tab/>
        <w:t xml:space="preserve">merkt op dat het Agentschap heeft gemeld dat de genderverhouding in 2022 voor alle personeelsleden 59 % vrouwen en 41 % mannen bedraagt, waaruit blijkt dat het een </w:t>
      </w:r>
      <w:proofErr w:type="spellStart"/>
      <w:r w:rsidRPr="00FB7880">
        <w:t>gelijkekansenbeleid</w:t>
      </w:r>
      <w:proofErr w:type="spellEnd"/>
      <w:r w:rsidRPr="00FB7880">
        <w:t xml:space="preserve"> voert;</w:t>
      </w:r>
    </w:p>
    <w:p w14:paraId="0FC38B82" w14:textId="77777777" w:rsidR="009F4FA1" w:rsidRPr="00FB7880" w:rsidRDefault="009F4FA1" w:rsidP="009F4FA1">
      <w:pPr>
        <w:pStyle w:val="NormalHanging12a"/>
      </w:pPr>
      <w:r w:rsidRPr="00FB7880">
        <w:t>16.</w:t>
      </w:r>
      <w:r w:rsidRPr="00FB7880">
        <w:tab/>
        <w:t>wijst erop hoe belangrijk het is dat het Agentschap werkt aan de ontwikkeling van personeelsbeleid voor de lange termijn dat gericht is op een evenwicht tussen werk en privéleven, levenslange begeleiding en het aanbod aan specifieke opleidingsmogelijkheden voor loopbaanontwikkeling, genderevenwicht op alle personeelsniveaus, telewerken, het recht om onbereikbaar te zijn, een beter geografisch evenwicht zodat alle lidstaten voldoende vertegenwoordigd zijn, de aanwerving en integratie van personen met een handicap en de bevordering van hun gelijke behandeling en gelijke kansen;</w:t>
      </w:r>
    </w:p>
    <w:p w14:paraId="5BCBAB14" w14:textId="77777777" w:rsidR="009F4FA1" w:rsidRPr="00FB7880" w:rsidRDefault="009F4FA1" w:rsidP="009F4FA1">
      <w:pPr>
        <w:spacing w:after="240"/>
        <w:ind w:left="567" w:hanging="567"/>
        <w:rPr>
          <w:b/>
          <w:i/>
          <w:szCs w:val="24"/>
        </w:rPr>
      </w:pPr>
      <w:r w:rsidRPr="00FB7880">
        <w:rPr>
          <w:b/>
          <w:i/>
        </w:rPr>
        <w:t>Aanbesteding</w:t>
      </w:r>
    </w:p>
    <w:p w14:paraId="2F6F0897" w14:textId="77777777" w:rsidR="009F4FA1" w:rsidRPr="00FB7880" w:rsidRDefault="009F4FA1" w:rsidP="009F4FA1">
      <w:pPr>
        <w:spacing w:after="240"/>
        <w:ind w:left="567" w:hanging="567"/>
        <w:rPr>
          <w:rFonts w:eastAsia="Calibri"/>
          <w:szCs w:val="24"/>
        </w:rPr>
      </w:pPr>
      <w:r w:rsidRPr="00FB7880">
        <w:t>17.</w:t>
      </w:r>
      <w:r w:rsidRPr="00FB7880">
        <w:tab/>
        <w:t>maakt uit het verslag van de Rekenkamer op dat het Agentschap systematisch contracten van geringe waarde (minder dan 15 000 EUR) heeft gegund zonder overeenkomstige evaluatieverslagen en gunningsbesluiten te publiceren, hetgeen in strijd is met de punten 30.3 en 30.4 van bijlage I bij het Financieel Reglement; maakt voorts uit het antwoord van het Agentschap op dat het rekening zal houden met de aanbeveling en alle personeelsleden die betrokken zijn bij overheidsopdrachten en financieel beheer passende richtsnoeren zal verstrekken; verzoekt het Agentschap zijn procedures voor overheidsopdrachten te verbeteren en ervoor te zorgen dat de toepasselijke regels volledig worden nageleefd, zodat deze de best mogelijke prijs-kwaliteitverhouding opleveren;</w:t>
      </w:r>
    </w:p>
    <w:p w14:paraId="51A95907" w14:textId="77777777" w:rsidR="009F4FA1" w:rsidRPr="00FB7880" w:rsidRDefault="009F4FA1" w:rsidP="009F4FA1">
      <w:pPr>
        <w:spacing w:after="240"/>
        <w:ind w:left="567" w:hanging="567"/>
        <w:rPr>
          <w:b/>
          <w:i/>
          <w:szCs w:val="24"/>
        </w:rPr>
      </w:pPr>
      <w:r w:rsidRPr="00FB7880">
        <w:rPr>
          <w:b/>
          <w:i/>
        </w:rPr>
        <w:t>Overige opmerkingen</w:t>
      </w:r>
    </w:p>
    <w:p w14:paraId="68C94904" w14:textId="77777777" w:rsidR="009F4FA1" w:rsidRPr="00FB7880" w:rsidRDefault="009F4FA1" w:rsidP="009F4FA1">
      <w:pPr>
        <w:spacing w:after="240"/>
        <w:ind w:left="567" w:hanging="567"/>
        <w:rPr>
          <w:szCs w:val="24"/>
        </w:rPr>
      </w:pPr>
      <w:r w:rsidRPr="00FB7880">
        <w:t>18.</w:t>
      </w:r>
      <w:r w:rsidRPr="00FB7880">
        <w:tab/>
        <w:t>merkt op dat het Agentschap de toegang tot zijn gebouwen extra heeft beveiligd en dat alle personeelsleden en alle externe contractanten over een veiligheidsmachtiging beschikken;</w:t>
      </w:r>
    </w:p>
    <w:p w14:paraId="0D0318BD" w14:textId="77777777" w:rsidR="009F4FA1" w:rsidRPr="00FB7880" w:rsidRDefault="009F4FA1" w:rsidP="009F4FA1">
      <w:pPr>
        <w:spacing w:after="240"/>
        <w:ind w:left="567" w:hanging="567"/>
        <w:rPr>
          <w:szCs w:val="24"/>
        </w:rPr>
      </w:pPr>
      <w:r w:rsidRPr="00FB7880">
        <w:t>19.</w:t>
      </w:r>
      <w:r w:rsidRPr="00FB7880">
        <w:tab/>
        <w:t>neemt er nota van dat het IT-systeem NOEMI een kwetsbaarheidsbeoordeling heeft ondergaan, die na elke ontwikkelingsfase moet worden herhaald of wanneer alle aanbevelingen zijn uitgevoerd;</w:t>
      </w:r>
    </w:p>
    <w:p w14:paraId="4AD8CEEB" w14:textId="77777777" w:rsidR="009F4FA1" w:rsidRPr="00FB7880" w:rsidRDefault="009F4FA1" w:rsidP="009F4FA1">
      <w:pPr>
        <w:spacing w:after="240"/>
        <w:ind w:left="567" w:hanging="567"/>
        <w:rPr>
          <w:szCs w:val="24"/>
        </w:rPr>
      </w:pPr>
      <w:r w:rsidRPr="00FB7880">
        <w:t>20.</w:t>
      </w:r>
      <w:r w:rsidRPr="00FB7880">
        <w:tab/>
        <w:t xml:space="preserve">stelt met waardering vast dat het Agentschap in september 2022 heeft deelgenomen aan het World </w:t>
      </w:r>
      <w:proofErr w:type="spellStart"/>
      <w:r w:rsidRPr="00FB7880">
        <w:t>Nuclear</w:t>
      </w:r>
      <w:proofErr w:type="spellEnd"/>
      <w:r w:rsidRPr="00FB7880">
        <w:t xml:space="preserve"> Symposium in Londen, en aan de deelnemende leiders, deskundigen en leidinggevenden in de nucleaire industrie een duidelijk signaal heeft gegeven over de noodzaak om de risico’s in verband met de nieuwe marktstructuur aan te pakken; merkt voorts op dat de marktanalyse en -prognose van het Agentschap zijn gepresenteerd op het Warsaw Security Forum en tijdens de World </w:t>
      </w:r>
      <w:proofErr w:type="spellStart"/>
      <w:r w:rsidRPr="00FB7880">
        <w:t>Nuclear</w:t>
      </w:r>
      <w:proofErr w:type="spellEnd"/>
      <w:r w:rsidRPr="00FB7880">
        <w:t xml:space="preserve"> </w:t>
      </w:r>
      <w:proofErr w:type="spellStart"/>
      <w:r w:rsidRPr="00FB7880">
        <w:t>Fuel</w:t>
      </w:r>
      <w:proofErr w:type="spellEnd"/>
      <w:r w:rsidRPr="00FB7880">
        <w:t xml:space="preserve"> </w:t>
      </w:r>
      <w:proofErr w:type="spellStart"/>
      <w:r w:rsidRPr="00FB7880">
        <w:t>Cycle</w:t>
      </w:r>
      <w:proofErr w:type="spellEnd"/>
      <w:r w:rsidRPr="00FB7880">
        <w:t xml:space="preserve">, en dat het Agentschap op de First International Conference on </w:t>
      </w:r>
      <w:proofErr w:type="spellStart"/>
      <w:r w:rsidRPr="00FB7880">
        <w:t>Nuclear</w:t>
      </w:r>
      <w:proofErr w:type="spellEnd"/>
      <w:r w:rsidRPr="00FB7880">
        <w:t xml:space="preserve"> </w:t>
      </w:r>
      <w:proofErr w:type="spellStart"/>
      <w:r w:rsidRPr="00FB7880">
        <w:t>Law</w:t>
      </w:r>
      <w:proofErr w:type="spellEnd"/>
      <w:r w:rsidRPr="00FB7880">
        <w:t xml:space="preserve"> (eerste internationale conferentie over nucleair recht) en op de European Research Reactor Conference (conferentie over de Europese onderzoeksreactor) vertegenwoordigd was; merkt bovendien op dat het Agentschap heeft bijgedragen aan de evenementen van de European </w:t>
      </w:r>
      <w:proofErr w:type="spellStart"/>
      <w:r w:rsidRPr="00FB7880">
        <w:t>Nuclear</w:t>
      </w:r>
      <w:proofErr w:type="spellEnd"/>
      <w:r w:rsidRPr="00FB7880">
        <w:t xml:space="preserve"> Society;</w:t>
      </w:r>
    </w:p>
    <w:p w14:paraId="7A86F96A" w14:textId="77777777" w:rsidR="009F4FA1" w:rsidRPr="00FB7880" w:rsidRDefault="009F4FA1" w:rsidP="009F4FA1">
      <w:pPr>
        <w:spacing w:after="240"/>
        <w:ind w:left="567" w:hanging="567"/>
        <w:rPr>
          <w:szCs w:val="24"/>
        </w:rPr>
      </w:pPr>
      <w:r w:rsidRPr="00FB7880">
        <w:t>21.</w:t>
      </w:r>
      <w:r w:rsidRPr="00FB7880">
        <w:tab/>
        <w:t xml:space="preserve">merkt op dat het Agentschap geen milieuverklaring afgeeft en evenmin een milieubeheer- en milieuauditsysteem (EMAS) heeft ingevoerd; moedigt het Agentschap aan verslag uit te brengen over zijn klimaat-, energie- en milieuprestaties en daarnaast </w:t>
      </w:r>
      <w:r w:rsidRPr="00FB7880">
        <w:lastRenderedPageBreak/>
        <w:t>EMAS in te voeren;</w:t>
      </w:r>
    </w:p>
    <w:p w14:paraId="271B54DD" w14:textId="77777777" w:rsidR="009F4FA1" w:rsidRPr="00FB7880" w:rsidRDefault="009F4FA1" w:rsidP="009F4FA1">
      <w:pPr>
        <w:pStyle w:val="NormalCenter12a"/>
      </w:pPr>
      <w:r w:rsidRPr="00FB7880">
        <w:t>°</w:t>
      </w:r>
    </w:p>
    <w:p w14:paraId="5E9377C7" w14:textId="77777777" w:rsidR="009F4FA1" w:rsidRPr="00FB7880" w:rsidRDefault="009F4FA1" w:rsidP="009F4FA1">
      <w:pPr>
        <w:pStyle w:val="NormalCenter12a"/>
      </w:pPr>
      <w:r w:rsidRPr="00FB7880">
        <w:t>°</w:t>
      </w:r>
      <w:r w:rsidRPr="00FB7880">
        <w:tab/>
        <w:t>°</w:t>
      </w:r>
    </w:p>
    <w:p w14:paraId="5A66F0CC" w14:textId="77777777" w:rsidR="009F4FA1" w:rsidRPr="00FB7880" w:rsidRDefault="009F4FA1" w:rsidP="009F4FA1">
      <w:pPr>
        <w:pStyle w:val="NormalHanging12a"/>
        <w:widowControl/>
      </w:pPr>
      <w:r w:rsidRPr="00FB7880">
        <w:t>22.</w:t>
      </w:r>
      <w:r w:rsidRPr="00FB7880">
        <w:tab/>
        <w:t xml:space="preserve">verwijst voor andere opmerkingen van horizontale aard bij het kwijtingsbesluit naar zijn resolutie van </w:t>
      </w:r>
      <w:r w:rsidR="0009681A" w:rsidRPr="00FB7880">
        <w:t>11 april 2024</w:t>
      </w:r>
      <w:r w:rsidRPr="00FB7880">
        <w:rPr>
          <w:vertAlign w:val="superscript"/>
        </w:rPr>
        <w:footnoteReference w:id="9"/>
      </w:r>
      <w:r w:rsidRPr="00FB7880">
        <w:t xml:space="preserve"> over het functioneren en het financiële beheer van en de controle op de agentschappen.</w:t>
      </w:r>
    </w:p>
    <w:p w14:paraId="3A30A457" w14:textId="77777777" w:rsidR="009F4FA1" w:rsidRPr="00FB7880" w:rsidRDefault="009F4FA1" w:rsidP="009F4FA1">
      <w:bookmarkStart w:id="10" w:name="_GoBack"/>
      <w:bookmarkEnd w:id="10"/>
    </w:p>
    <w:sectPr w:rsidR="009F4FA1" w:rsidRPr="00FB7880" w:rsidSect="009D4A7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5131C" w14:textId="77777777" w:rsidR="00501AD2" w:rsidRPr="009D4A76" w:rsidRDefault="00501AD2">
      <w:r w:rsidRPr="009D4A76">
        <w:separator/>
      </w:r>
    </w:p>
  </w:endnote>
  <w:endnote w:type="continuationSeparator" w:id="0">
    <w:p w14:paraId="471F7703" w14:textId="77777777" w:rsidR="00501AD2" w:rsidRPr="009D4A76" w:rsidRDefault="00501AD2">
      <w:r w:rsidRPr="009D4A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81105" w14:textId="77777777" w:rsidR="009F4FA1" w:rsidRPr="009D4A76" w:rsidRDefault="009F4FA1" w:rsidP="00293CBB">
    <w:pPr>
      <w:pStyle w:val="EPFooter"/>
    </w:pPr>
    <w:r w:rsidRPr="009D4A76">
      <w:t>PE</w:t>
    </w:r>
    <w:r w:rsidRPr="009D4A76">
      <w:rPr>
        <w:rStyle w:val="HideTWBExt"/>
      </w:rPr>
      <w:t>&lt;</w:t>
    </w:r>
    <w:proofErr w:type="spellStart"/>
    <w:r w:rsidRPr="009D4A76">
      <w:rPr>
        <w:rStyle w:val="HideTWBExt"/>
      </w:rPr>
      <w:t>NoPE</w:t>
    </w:r>
    <w:proofErr w:type="spellEnd"/>
    <w:r w:rsidRPr="009D4A76">
      <w:rPr>
        <w:rStyle w:val="HideTWBExt"/>
      </w:rPr>
      <w:t>&gt;</w:t>
    </w:r>
    <w:r w:rsidRPr="009D4A76">
      <w:t>753.529</w:t>
    </w:r>
    <w:r w:rsidRPr="009D4A76">
      <w:rPr>
        <w:rStyle w:val="HideTWBExt"/>
      </w:rPr>
      <w:t>&lt;/</w:t>
    </w:r>
    <w:proofErr w:type="spellStart"/>
    <w:r w:rsidRPr="009D4A76">
      <w:rPr>
        <w:rStyle w:val="HideTWBExt"/>
      </w:rPr>
      <w:t>NoPE</w:t>
    </w:r>
    <w:proofErr w:type="spellEnd"/>
    <w:r w:rsidRPr="009D4A76">
      <w:rPr>
        <w:rStyle w:val="HideTWBExt"/>
      </w:rPr>
      <w:t>&gt;&lt;Version&gt;</w:t>
    </w:r>
    <w:r w:rsidRPr="009D4A76">
      <w:t>v02-00</w:t>
    </w:r>
    <w:r w:rsidRPr="009D4A76">
      <w:rPr>
        <w:rStyle w:val="HideTWBExt"/>
      </w:rPr>
      <w:t>&lt;/Version&gt;</w:t>
    </w:r>
    <w:r w:rsidRPr="009D4A76">
      <w:tab/>
    </w:r>
    <w:r w:rsidRPr="009D4A76">
      <w:fldChar w:fldCharType="begin"/>
    </w:r>
    <w:r w:rsidRPr="009D4A76">
      <w:instrText xml:space="preserve"> PAGE  \* MERGEFORMAT </w:instrText>
    </w:r>
    <w:r w:rsidRPr="009D4A76">
      <w:fldChar w:fldCharType="separate"/>
    </w:r>
    <w:r w:rsidR="009D4A76" w:rsidRPr="009D4A76">
      <w:rPr>
        <w:noProof/>
      </w:rPr>
      <w:t>2</w:t>
    </w:r>
    <w:r w:rsidRPr="009D4A76">
      <w:fldChar w:fldCharType="end"/>
    </w:r>
    <w:r w:rsidRPr="009D4A76">
      <w:t>/</w:t>
    </w:r>
    <w:fldSimple w:instr=" NUMPAGES  \* MERGEFORMAT ">
      <w:r w:rsidR="009D4A76" w:rsidRPr="009D4A76">
        <w:rPr>
          <w:noProof/>
        </w:rPr>
        <w:t>4</w:t>
      </w:r>
    </w:fldSimple>
    <w:r w:rsidRPr="009D4A76">
      <w:tab/>
    </w:r>
    <w:r w:rsidRPr="009D4A76">
      <w:rPr>
        <w:rStyle w:val="HideTWBExt"/>
      </w:rPr>
      <w:t>&lt;PathFdR&gt;</w:t>
    </w:r>
    <w:r w:rsidRPr="009D4A76">
      <w:t>RR\1298833NL.docx</w:t>
    </w:r>
    <w:r w:rsidRPr="009D4A76">
      <w:rPr>
        <w:rStyle w:val="HideTWBExt"/>
      </w:rPr>
      <w:t>&lt;/</w:t>
    </w:r>
    <w:proofErr w:type="spellStart"/>
    <w:r w:rsidRPr="009D4A76">
      <w:rPr>
        <w:rStyle w:val="HideTWBExt"/>
      </w:rPr>
      <w:t>PathFdR</w:t>
    </w:r>
    <w:proofErr w:type="spellEnd"/>
    <w:r w:rsidRPr="009D4A76">
      <w:rPr>
        <w:rStyle w:val="HideTWBExt"/>
      </w:rPr>
      <w:t>&gt;</w:t>
    </w:r>
  </w:p>
  <w:p w14:paraId="2741B80C" w14:textId="77777777" w:rsidR="009F4FA1" w:rsidRPr="009D4A76" w:rsidRDefault="009F4FA1" w:rsidP="00293CBB">
    <w:pPr>
      <w:pStyle w:val="EPFooter2"/>
    </w:pPr>
    <w:r w:rsidRPr="009D4A7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8E61A" w14:textId="77777777" w:rsidR="009F4FA1" w:rsidRPr="009D4A76" w:rsidRDefault="009F4FA1" w:rsidP="00293CBB">
    <w:pPr>
      <w:pStyle w:val="EPFooter"/>
    </w:pPr>
    <w:r w:rsidRPr="009D4A76">
      <w:rPr>
        <w:rStyle w:val="HideTWBExt"/>
      </w:rPr>
      <w:t>&lt;PathFdR&gt;</w:t>
    </w:r>
    <w:r w:rsidRPr="009D4A76">
      <w:t>RR\1298833NL.docx</w:t>
    </w:r>
    <w:r w:rsidRPr="009D4A76">
      <w:rPr>
        <w:rStyle w:val="HideTWBExt"/>
      </w:rPr>
      <w:t>&lt;/</w:t>
    </w:r>
    <w:proofErr w:type="spellStart"/>
    <w:r w:rsidRPr="009D4A76">
      <w:rPr>
        <w:rStyle w:val="HideTWBExt"/>
      </w:rPr>
      <w:t>PathFdR</w:t>
    </w:r>
    <w:proofErr w:type="spellEnd"/>
    <w:r w:rsidRPr="009D4A76">
      <w:rPr>
        <w:rStyle w:val="HideTWBExt"/>
      </w:rPr>
      <w:t>&gt;</w:t>
    </w:r>
    <w:r w:rsidRPr="009D4A76">
      <w:tab/>
    </w:r>
    <w:r w:rsidRPr="009D4A76">
      <w:tab/>
      <w:t>PE</w:t>
    </w:r>
    <w:r w:rsidRPr="009D4A76">
      <w:rPr>
        <w:rStyle w:val="HideTWBExt"/>
      </w:rPr>
      <w:t>&lt;</w:t>
    </w:r>
    <w:proofErr w:type="spellStart"/>
    <w:r w:rsidRPr="009D4A76">
      <w:rPr>
        <w:rStyle w:val="HideTWBExt"/>
      </w:rPr>
      <w:t>NoPE</w:t>
    </w:r>
    <w:proofErr w:type="spellEnd"/>
    <w:r w:rsidRPr="009D4A76">
      <w:rPr>
        <w:rStyle w:val="HideTWBExt"/>
      </w:rPr>
      <w:t>&gt;</w:t>
    </w:r>
    <w:r w:rsidRPr="009D4A76">
      <w:t>753.529</w:t>
    </w:r>
    <w:r w:rsidRPr="009D4A76">
      <w:rPr>
        <w:rStyle w:val="HideTWBExt"/>
      </w:rPr>
      <w:t>&lt;/</w:t>
    </w:r>
    <w:proofErr w:type="spellStart"/>
    <w:r w:rsidRPr="009D4A76">
      <w:rPr>
        <w:rStyle w:val="HideTWBExt"/>
      </w:rPr>
      <w:t>NoPE</w:t>
    </w:r>
    <w:proofErr w:type="spellEnd"/>
    <w:r w:rsidRPr="009D4A76">
      <w:rPr>
        <w:rStyle w:val="HideTWBExt"/>
      </w:rPr>
      <w:t>&gt;&lt;Version&gt;</w:t>
    </w:r>
    <w:r w:rsidRPr="009D4A76">
      <w:t>v02-00</w:t>
    </w:r>
    <w:r w:rsidRPr="009D4A76">
      <w:rPr>
        <w:rStyle w:val="HideTWBExt"/>
      </w:rPr>
      <w:t>&lt;/Version&gt;</w:t>
    </w:r>
  </w:p>
  <w:p w14:paraId="17004558" w14:textId="77777777" w:rsidR="009F4FA1" w:rsidRPr="009D4A76" w:rsidRDefault="009F4FA1" w:rsidP="00293CBB">
    <w:pPr>
      <w:pStyle w:val="EPFooter2"/>
    </w:pPr>
    <w:r w:rsidRPr="009D4A76">
      <w:t>NL</w:t>
    </w:r>
    <w:r w:rsidRPr="009D4A76">
      <w:tab/>
    </w:r>
    <w:r w:rsidRPr="009D4A76">
      <w:rPr>
        <w:b w:val="0"/>
        <w:i/>
        <w:color w:val="C0C0C0"/>
        <w:sz w:val="22"/>
      </w:rPr>
      <w:t>In verscheidenheid verenigd</w:t>
    </w:r>
    <w:r w:rsidRPr="009D4A7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54228" w14:textId="77777777" w:rsidR="00064002" w:rsidRPr="009D4A7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4FBE2" w14:textId="77777777" w:rsidR="00064002" w:rsidRPr="009D4A7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94F7" w14:textId="77777777" w:rsidR="00064002" w:rsidRPr="009D4A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D82B3" w14:textId="77777777" w:rsidR="00501AD2" w:rsidRPr="009D4A76" w:rsidRDefault="00501AD2">
      <w:r w:rsidRPr="009D4A76">
        <w:separator/>
      </w:r>
    </w:p>
  </w:footnote>
  <w:footnote w:type="continuationSeparator" w:id="0">
    <w:p w14:paraId="604855C3" w14:textId="77777777" w:rsidR="00501AD2" w:rsidRPr="009D4A76" w:rsidRDefault="00501AD2">
      <w:r w:rsidRPr="009D4A76">
        <w:continuationSeparator/>
      </w:r>
    </w:p>
  </w:footnote>
  <w:footnote w:id="1">
    <w:p w14:paraId="2C9CC537" w14:textId="43457F8D" w:rsidR="009F4FA1" w:rsidRPr="009D4A76" w:rsidRDefault="009F4FA1" w:rsidP="009D4A76">
      <w:pPr>
        <w:pStyle w:val="FootnoteText"/>
        <w:ind w:left="567" w:hanging="567"/>
        <w:rPr>
          <w:sz w:val="24"/>
          <w:lang w:val="nl-NL"/>
        </w:rPr>
      </w:pPr>
      <w:r w:rsidRPr="009D4A76">
        <w:rPr>
          <w:rStyle w:val="FootnoteReference"/>
          <w:sz w:val="24"/>
          <w:lang w:val="nl-NL"/>
        </w:rPr>
        <w:footnoteRef/>
      </w:r>
      <w:r w:rsidR="009D4A76" w:rsidRPr="009D4A76">
        <w:rPr>
          <w:sz w:val="24"/>
          <w:lang w:val="nl-NL"/>
        </w:rPr>
        <w:tab/>
      </w:r>
      <w:r w:rsidRPr="009D4A76">
        <w:rPr>
          <w:sz w:val="24"/>
          <w:lang w:val="nl-NL"/>
        </w:rPr>
        <w:t>PB C, C/2023/594 van 27.10.2023.</w:t>
      </w:r>
    </w:p>
  </w:footnote>
  <w:footnote w:id="2">
    <w:p w14:paraId="15468BAD" w14:textId="61C3CB94" w:rsidR="009F4FA1" w:rsidRPr="009D4A76" w:rsidRDefault="009F4FA1" w:rsidP="009D4A76">
      <w:pPr>
        <w:pStyle w:val="FootnoteText"/>
        <w:ind w:left="567" w:hanging="567"/>
        <w:rPr>
          <w:sz w:val="24"/>
          <w:lang w:val="nl-NL"/>
        </w:rPr>
      </w:pPr>
      <w:r w:rsidRPr="009D4A76">
        <w:rPr>
          <w:rStyle w:val="FootnoteReference"/>
          <w:sz w:val="24"/>
          <w:lang w:val="nl-NL"/>
        </w:rPr>
        <w:footnoteRef/>
      </w:r>
      <w:r w:rsidR="009D4A76" w:rsidRPr="009D4A76">
        <w:rPr>
          <w:sz w:val="24"/>
          <w:lang w:val="nl-NL"/>
        </w:rPr>
        <w:tab/>
      </w:r>
      <w:r w:rsidRPr="009D4A76">
        <w:rPr>
          <w:sz w:val="24"/>
          <w:lang w:val="nl-NL"/>
        </w:rPr>
        <w:t>PB C, C/2023/112 van 12.10.2023.</w:t>
      </w:r>
    </w:p>
  </w:footnote>
  <w:footnote w:id="3">
    <w:p w14:paraId="4E692445" w14:textId="72832BCF" w:rsidR="009F4FA1" w:rsidRPr="009D4A76" w:rsidRDefault="009F4FA1" w:rsidP="009D4A76">
      <w:pPr>
        <w:pStyle w:val="FootnoteText"/>
        <w:ind w:left="567" w:hanging="567"/>
        <w:rPr>
          <w:sz w:val="24"/>
          <w:lang w:val="nl-NL"/>
        </w:rPr>
      </w:pPr>
      <w:r w:rsidRPr="009D4A76">
        <w:rPr>
          <w:rStyle w:val="FootnoteReference"/>
          <w:sz w:val="24"/>
          <w:lang w:val="nl-NL"/>
        </w:rPr>
        <w:footnoteRef/>
      </w:r>
      <w:r w:rsidR="009D4A76" w:rsidRPr="009D4A76">
        <w:rPr>
          <w:sz w:val="24"/>
          <w:lang w:val="nl-NL"/>
        </w:rPr>
        <w:tab/>
      </w:r>
      <w:r w:rsidRPr="009D4A76">
        <w:rPr>
          <w:sz w:val="24"/>
          <w:lang w:val="nl-NL"/>
        </w:rPr>
        <w:t>PB L 193 van 30.7.2018, blz. 1.</w:t>
      </w:r>
    </w:p>
  </w:footnote>
  <w:footnote w:id="4">
    <w:p w14:paraId="32A13C4A" w14:textId="55800D2A" w:rsidR="009F4FA1" w:rsidRPr="009D4A76" w:rsidRDefault="009F4FA1" w:rsidP="009D4A76">
      <w:pPr>
        <w:pStyle w:val="FootnoteText"/>
        <w:ind w:left="567" w:hanging="567"/>
        <w:rPr>
          <w:sz w:val="24"/>
          <w:szCs w:val="24"/>
          <w:lang w:val="nl-NL"/>
        </w:rPr>
      </w:pPr>
      <w:r w:rsidRPr="009D4A76">
        <w:rPr>
          <w:rStyle w:val="FootnoteReference"/>
          <w:sz w:val="24"/>
          <w:lang w:val="nl-NL"/>
        </w:rPr>
        <w:footnoteRef/>
      </w:r>
      <w:r w:rsidR="009D4A76" w:rsidRPr="009D4A76">
        <w:rPr>
          <w:sz w:val="24"/>
          <w:lang w:val="nl-NL"/>
        </w:rPr>
        <w:tab/>
      </w:r>
      <w:r w:rsidRPr="009D4A76">
        <w:rPr>
          <w:sz w:val="24"/>
          <w:lang w:val="nl-NL"/>
        </w:rPr>
        <w:t>PB L 41 van 15.2.2008, blz. 15.</w:t>
      </w:r>
    </w:p>
  </w:footnote>
  <w:footnote w:id="5">
    <w:p w14:paraId="6E92B8D3" w14:textId="27F0C7E2" w:rsidR="009F4FA1" w:rsidRPr="009D4A76" w:rsidRDefault="009F4FA1" w:rsidP="009D4A76">
      <w:pPr>
        <w:pStyle w:val="FootnoteText"/>
        <w:ind w:left="567" w:hanging="567"/>
        <w:rPr>
          <w:sz w:val="24"/>
          <w:lang w:val="nl-NL"/>
        </w:rPr>
      </w:pPr>
      <w:r w:rsidRPr="009D4A76">
        <w:rPr>
          <w:rStyle w:val="FootnoteReference"/>
          <w:sz w:val="24"/>
          <w:lang w:val="nl-NL"/>
        </w:rPr>
        <w:footnoteRef/>
      </w:r>
      <w:r w:rsidR="009D4A76" w:rsidRPr="009D4A76">
        <w:rPr>
          <w:sz w:val="24"/>
          <w:lang w:val="nl-NL"/>
        </w:rPr>
        <w:tab/>
      </w:r>
      <w:r w:rsidRPr="009D4A76">
        <w:rPr>
          <w:sz w:val="24"/>
          <w:lang w:val="nl-NL"/>
        </w:rPr>
        <w:t>PB C, C/2023/594 van 27.10.2023.</w:t>
      </w:r>
    </w:p>
  </w:footnote>
  <w:footnote w:id="6">
    <w:p w14:paraId="0DC95D9B" w14:textId="00312169" w:rsidR="009F4FA1" w:rsidRPr="009D4A76" w:rsidRDefault="009F4FA1" w:rsidP="009D4A76">
      <w:pPr>
        <w:pStyle w:val="FootnoteText"/>
        <w:ind w:left="567" w:hanging="567"/>
        <w:rPr>
          <w:sz w:val="24"/>
          <w:lang w:val="nl-NL"/>
        </w:rPr>
      </w:pPr>
      <w:r w:rsidRPr="009D4A76">
        <w:rPr>
          <w:rStyle w:val="FootnoteReference"/>
          <w:sz w:val="24"/>
          <w:lang w:val="nl-NL"/>
        </w:rPr>
        <w:footnoteRef/>
      </w:r>
      <w:r w:rsidR="009D4A76" w:rsidRPr="009D4A76">
        <w:rPr>
          <w:sz w:val="24"/>
          <w:lang w:val="nl-NL"/>
        </w:rPr>
        <w:tab/>
      </w:r>
      <w:r w:rsidRPr="009D4A76">
        <w:rPr>
          <w:sz w:val="24"/>
          <w:lang w:val="nl-NL"/>
        </w:rPr>
        <w:t>PB C, C/2023/112 van 12.10.2023.</w:t>
      </w:r>
    </w:p>
  </w:footnote>
  <w:footnote w:id="7">
    <w:p w14:paraId="0118CCF8" w14:textId="3852FC64" w:rsidR="009F4FA1" w:rsidRPr="009D4A76" w:rsidRDefault="009F4FA1" w:rsidP="009D4A76">
      <w:pPr>
        <w:pStyle w:val="FootnoteText"/>
        <w:ind w:left="567" w:hanging="567"/>
        <w:rPr>
          <w:sz w:val="24"/>
          <w:lang w:val="nl-NL"/>
        </w:rPr>
      </w:pPr>
      <w:r w:rsidRPr="009D4A76">
        <w:rPr>
          <w:rStyle w:val="FootnoteReference"/>
          <w:sz w:val="24"/>
          <w:lang w:val="nl-NL"/>
        </w:rPr>
        <w:footnoteRef/>
      </w:r>
      <w:r w:rsidR="009D4A76" w:rsidRPr="009D4A76">
        <w:rPr>
          <w:sz w:val="24"/>
          <w:lang w:val="nl-NL"/>
        </w:rPr>
        <w:tab/>
      </w:r>
      <w:r w:rsidRPr="009D4A76">
        <w:rPr>
          <w:sz w:val="24"/>
          <w:lang w:val="nl-NL"/>
        </w:rPr>
        <w:t>PB L 193 van 30.7.2018, blz. 1.</w:t>
      </w:r>
    </w:p>
  </w:footnote>
  <w:footnote w:id="8">
    <w:p w14:paraId="2F7BE86A" w14:textId="182A91A8" w:rsidR="009F4FA1" w:rsidRPr="009D4A76" w:rsidRDefault="009F4FA1" w:rsidP="009D4A76">
      <w:pPr>
        <w:pStyle w:val="FootnoteText"/>
        <w:ind w:left="567" w:hanging="567"/>
        <w:rPr>
          <w:sz w:val="24"/>
          <w:szCs w:val="24"/>
          <w:lang w:val="nl-NL"/>
        </w:rPr>
      </w:pPr>
      <w:r w:rsidRPr="009D4A76">
        <w:rPr>
          <w:rStyle w:val="FootnoteReference"/>
          <w:sz w:val="24"/>
          <w:lang w:val="nl-NL"/>
        </w:rPr>
        <w:footnoteRef/>
      </w:r>
      <w:r w:rsidR="009D4A76" w:rsidRPr="009D4A76">
        <w:rPr>
          <w:sz w:val="24"/>
          <w:lang w:val="nl-NL"/>
        </w:rPr>
        <w:tab/>
      </w:r>
      <w:r w:rsidRPr="009D4A76">
        <w:rPr>
          <w:sz w:val="24"/>
          <w:lang w:val="nl-NL"/>
        </w:rPr>
        <w:t>PB L 41 van 15.2.2008, blz. 15.</w:t>
      </w:r>
    </w:p>
  </w:footnote>
  <w:footnote w:id="9">
    <w:p w14:paraId="3F8FE554" w14:textId="2E72F0B1" w:rsidR="009F4FA1" w:rsidRPr="009D4A76" w:rsidRDefault="009F4FA1" w:rsidP="009D4A76">
      <w:pPr>
        <w:pStyle w:val="FootnoteText"/>
        <w:ind w:left="567" w:hanging="567"/>
        <w:rPr>
          <w:sz w:val="24"/>
          <w:lang w:val="nl-NL"/>
        </w:rPr>
      </w:pPr>
      <w:r w:rsidRPr="009D4A76">
        <w:rPr>
          <w:rStyle w:val="FootnoteReference"/>
          <w:sz w:val="24"/>
          <w:lang w:val="nl-NL"/>
        </w:rPr>
        <w:footnoteRef/>
      </w:r>
      <w:r w:rsidR="009D4A76" w:rsidRPr="009D4A76">
        <w:rPr>
          <w:sz w:val="24"/>
          <w:lang w:val="nl-NL"/>
        </w:rPr>
        <w:tab/>
      </w:r>
      <w:r w:rsidRPr="009D4A76">
        <w:rPr>
          <w:sz w:val="24"/>
          <w:lang w:val="nl-NL"/>
        </w:rPr>
        <w:t>Aangenomen teksten, P9_</w:t>
      </w:r>
      <w:proofErr w:type="gramStart"/>
      <w:r w:rsidRPr="009D4A76">
        <w:rPr>
          <w:sz w:val="24"/>
          <w:lang w:val="nl-NL"/>
        </w:rPr>
        <w:t>TA(</w:t>
      </w:r>
      <w:proofErr w:type="gramEnd"/>
      <w:r w:rsidRPr="009D4A76">
        <w:rPr>
          <w:sz w:val="24"/>
          <w:lang w:val="nl-NL"/>
        </w:rPr>
        <w:t>2024)0</w:t>
      </w:r>
      <w:r w:rsidR="00FB7880">
        <w:rPr>
          <w:sz w:val="24"/>
          <w:lang w:val="nl-NL"/>
        </w:rPr>
        <w:t>280</w:t>
      </w:r>
      <w:r w:rsidRPr="009D4A7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F47C9" w14:textId="77777777" w:rsidR="00064002" w:rsidRPr="009D4A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2A4AE" w14:textId="77777777" w:rsidR="00064002" w:rsidRPr="009D4A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5177E" w14:textId="77777777" w:rsidR="00064002" w:rsidRPr="009D4A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NL"/>
    <w:docVar w:name="dvnumam" w:val="0"/>
    <w:docVar w:name="dvpe" w:val="753.529"/>
    <w:docVar w:name="dvrapporteur" w:val="Rapporteur: "/>
    <w:docVar w:name="dvtitre" w:val="1. Besluit van het Europees Parlement van 11 april 2024 over het verlenen van kwijting voor de uitvoering van de begroting van het Voorzieningsagentschap van Euratom voor het begrotingsjaar 2022(2023/2161(DEC))"/>
  </w:docVars>
  <w:rsids>
    <w:rsidRoot w:val="00501AD2"/>
    <w:rsid w:val="00002272"/>
    <w:rsid w:val="00064002"/>
    <w:rsid w:val="000677B9"/>
    <w:rsid w:val="000831BA"/>
    <w:rsid w:val="0009681A"/>
    <w:rsid w:val="000A42CC"/>
    <w:rsid w:val="000E7DD9"/>
    <w:rsid w:val="0010095E"/>
    <w:rsid w:val="00125B37"/>
    <w:rsid w:val="00187494"/>
    <w:rsid w:val="001F32AE"/>
    <w:rsid w:val="002767FF"/>
    <w:rsid w:val="002B18FE"/>
    <w:rsid w:val="002B5493"/>
    <w:rsid w:val="002C6CA5"/>
    <w:rsid w:val="00343214"/>
    <w:rsid w:val="00361C00"/>
    <w:rsid w:val="00395FA1"/>
    <w:rsid w:val="003E15D4"/>
    <w:rsid w:val="00411CCE"/>
    <w:rsid w:val="0041666E"/>
    <w:rsid w:val="00421060"/>
    <w:rsid w:val="00471C19"/>
    <w:rsid w:val="004867E3"/>
    <w:rsid w:val="00494A28"/>
    <w:rsid w:val="004C0004"/>
    <w:rsid w:val="004C5D52"/>
    <w:rsid w:val="00501AD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A72"/>
    <w:rsid w:val="00981893"/>
    <w:rsid w:val="009D4A76"/>
    <w:rsid w:val="009F4FA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35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788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89516"/>
  <w15:chartTrackingRefBased/>
  <w15:docId w15:val="{8BBA47E3-78D2-4BF8-8380-915B20469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F4F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F4FA1"/>
    <w:pPr>
      <w:spacing w:before="480" w:after="240"/>
    </w:pPr>
  </w:style>
  <w:style w:type="paragraph" w:customStyle="1" w:styleId="PageHeading">
    <w:name w:val="PageHeading"/>
    <w:basedOn w:val="Normal"/>
    <w:rsid w:val="009F4FA1"/>
    <w:pPr>
      <w:keepNext/>
      <w:spacing w:after="480"/>
      <w:jc w:val="center"/>
    </w:pPr>
    <w:rPr>
      <w:rFonts w:ascii="Arial" w:hAnsi="Arial" w:cs="Arial"/>
      <w:b/>
    </w:rPr>
  </w:style>
  <w:style w:type="paragraph" w:customStyle="1" w:styleId="NormalBold">
    <w:name w:val="NormalBold"/>
    <w:basedOn w:val="Normal"/>
    <w:rsid w:val="009F4FA1"/>
    <w:rPr>
      <w:b/>
    </w:rPr>
  </w:style>
  <w:style w:type="paragraph" w:customStyle="1" w:styleId="NormalHanging12a">
    <w:name w:val="NormalHanging12a"/>
    <w:basedOn w:val="Normal"/>
    <w:link w:val="NormalHanging12aChar"/>
    <w:rsid w:val="009F4FA1"/>
    <w:pPr>
      <w:spacing w:after="240"/>
      <w:ind w:left="567" w:hanging="567"/>
    </w:pPr>
  </w:style>
  <w:style w:type="paragraph" w:customStyle="1" w:styleId="NormalCenter12a">
    <w:name w:val="NormalCenter12a"/>
    <w:basedOn w:val="Normal"/>
    <w:rsid w:val="009F4FA1"/>
    <w:pPr>
      <w:spacing w:after="240"/>
      <w:jc w:val="center"/>
    </w:pPr>
  </w:style>
  <w:style w:type="paragraph" w:styleId="Header">
    <w:name w:val="header"/>
    <w:basedOn w:val="Normal"/>
    <w:link w:val="HeaderChar"/>
    <w:rsid w:val="009F4FA1"/>
    <w:pPr>
      <w:tabs>
        <w:tab w:val="center" w:pos="4513"/>
        <w:tab w:val="right" w:pos="9026"/>
      </w:tabs>
    </w:pPr>
  </w:style>
  <w:style w:type="character" w:customStyle="1" w:styleId="HeaderChar">
    <w:name w:val="Header Char"/>
    <w:basedOn w:val="DefaultParagraphFont"/>
    <w:link w:val="Header"/>
    <w:rsid w:val="009F4FA1"/>
    <w:rPr>
      <w:sz w:val="24"/>
      <w:lang w:val="nl-NL"/>
    </w:rPr>
  </w:style>
  <w:style w:type="paragraph" w:customStyle="1" w:styleId="EPFooter">
    <w:name w:val="EPFooter"/>
    <w:basedOn w:val="Normal"/>
    <w:rsid w:val="009F4FA1"/>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F4FA1"/>
    <w:rPr>
      <w:sz w:val="24"/>
      <w:lang w:val="nl-NL"/>
    </w:rPr>
  </w:style>
  <w:style w:type="character" w:styleId="CommentReference">
    <w:name w:val="annotation reference"/>
    <w:basedOn w:val="DefaultParagraphFont"/>
    <w:rsid w:val="0009681A"/>
    <w:rPr>
      <w:sz w:val="16"/>
      <w:szCs w:val="16"/>
    </w:rPr>
  </w:style>
  <w:style w:type="paragraph" w:styleId="CommentText">
    <w:name w:val="annotation text"/>
    <w:basedOn w:val="Normal"/>
    <w:link w:val="CommentTextChar"/>
    <w:rsid w:val="0009681A"/>
    <w:rPr>
      <w:sz w:val="20"/>
    </w:rPr>
  </w:style>
  <w:style w:type="character" w:customStyle="1" w:styleId="CommentTextChar">
    <w:name w:val="Comment Text Char"/>
    <w:basedOn w:val="DefaultParagraphFont"/>
    <w:link w:val="CommentText"/>
    <w:rsid w:val="0009681A"/>
    <w:rPr>
      <w:lang w:val="nl-NL"/>
    </w:rPr>
  </w:style>
  <w:style w:type="paragraph" w:styleId="CommentSubject">
    <w:name w:val="annotation subject"/>
    <w:basedOn w:val="CommentText"/>
    <w:next w:val="CommentText"/>
    <w:link w:val="CommentSubjectChar"/>
    <w:rsid w:val="0009681A"/>
    <w:rPr>
      <w:b/>
      <w:bCs/>
    </w:rPr>
  </w:style>
  <w:style w:type="character" w:customStyle="1" w:styleId="CommentSubjectChar">
    <w:name w:val="Comment Subject Char"/>
    <w:basedOn w:val="CommentTextChar"/>
    <w:link w:val="CommentSubject"/>
    <w:rsid w:val="0009681A"/>
    <w:rPr>
      <w:b/>
      <w:bCs/>
      <w:lang w:val="nl-NL"/>
    </w:rPr>
  </w:style>
  <w:style w:type="paragraph" w:styleId="BalloonText">
    <w:name w:val="Balloon Text"/>
    <w:basedOn w:val="Normal"/>
    <w:link w:val="BalloonTextChar"/>
    <w:rsid w:val="0009681A"/>
    <w:rPr>
      <w:rFonts w:ascii="Segoe UI" w:hAnsi="Segoe UI" w:cs="Segoe UI"/>
      <w:sz w:val="18"/>
      <w:szCs w:val="18"/>
    </w:rPr>
  </w:style>
  <w:style w:type="character" w:customStyle="1" w:styleId="BalloonTextChar">
    <w:name w:val="Balloon Text Char"/>
    <w:basedOn w:val="DefaultParagraphFont"/>
    <w:link w:val="BalloonText"/>
    <w:rsid w:val="0009681A"/>
    <w:rPr>
      <w:rFonts w:ascii="Segoe UI" w:hAnsi="Segoe UI" w:cs="Segoe UI"/>
      <w:sz w:val="18"/>
      <w:szCs w:val="18"/>
      <w:lang w:val="nl-NL"/>
    </w:rPr>
  </w:style>
  <w:style w:type="paragraph" w:styleId="Footer">
    <w:name w:val="footer"/>
    <w:basedOn w:val="Normal"/>
    <w:link w:val="FooterChar"/>
    <w:rsid w:val="0009681A"/>
    <w:pPr>
      <w:tabs>
        <w:tab w:val="center" w:pos="4513"/>
        <w:tab w:val="right" w:pos="9026"/>
      </w:tabs>
    </w:pPr>
  </w:style>
  <w:style w:type="character" w:customStyle="1" w:styleId="FooterChar">
    <w:name w:val="Footer Char"/>
    <w:basedOn w:val="DefaultParagraphFont"/>
    <w:link w:val="Footer"/>
    <w:rsid w:val="0009681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EC8C8-967B-494C-B01F-0D24E7E43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2590</Words>
  <Characters>15465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2024-05-15T11:30:00Z</dcterms:created>
  <dcterms:modified xsi:type="dcterms:W3CDTF">2024-05-15T11:30:00Z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P9_TA(2024)0259_</vt:lpwstr>
  </property>
  <property fmtid="{D5CDD505-2E9C-101B-9397-08002B2CF9AE}" pid="4" name="&lt;Type&gt;">
    <vt:lpwstr>RR</vt:lpwstr>
  </property>
</Properties>
</file>