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0B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0B62" w:rsidRDefault="00B01CC7" w:rsidP="0010095E">
            <w:pPr>
              <w:pStyle w:val="EPName"/>
            </w:pPr>
            <w:r w:rsidRPr="004B0B62">
              <w:t>Parlament Europejski</w:t>
            </w:r>
          </w:p>
          <w:p w:rsidR="00751A4A" w:rsidRPr="004B0B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0B6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B0B62" w:rsidRDefault="00187494" w:rsidP="0010095E">
            <w:pPr>
              <w:pStyle w:val="EPLogo"/>
            </w:pPr>
            <w:r w:rsidRPr="004B0B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0B62" w:rsidRDefault="00D058B8" w:rsidP="004C5D52">
      <w:pPr>
        <w:pStyle w:val="LineTop"/>
      </w:pPr>
    </w:p>
    <w:p w:rsidR="00680577" w:rsidRPr="004B0B62" w:rsidRDefault="00B01CC7" w:rsidP="00680577">
      <w:pPr>
        <w:pStyle w:val="EPBodyTA1"/>
      </w:pPr>
      <w:r w:rsidRPr="004B0B62">
        <w:t>TEKSTY PRZYJĘTE</w:t>
      </w:r>
    </w:p>
    <w:p w:rsidR="00D058B8" w:rsidRPr="004B0B62" w:rsidRDefault="00D058B8" w:rsidP="00D058B8">
      <w:pPr>
        <w:pStyle w:val="LineBottom"/>
      </w:pPr>
    </w:p>
    <w:p w:rsidR="00B01CC7" w:rsidRPr="004B0B62" w:rsidRDefault="00B01CC7" w:rsidP="00B01CC7">
      <w:pPr>
        <w:pStyle w:val="ATHeading1"/>
      </w:pPr>
      <w:bookmarkStart w:id="0" w:name="TANumber"/>
      <w:r w:rsidRPr="004B0B62">
        <w:t>P9_TA(2024)0</w:t>
      </w:r>
      <w:bookmarkEnd w:id="0"/>
      <w:r w:rsidR="00491619">
        <w:t>259</w:t>
      </w:r>
    </w:p>
    <w:p w:rsidR="00B01CC7" w:rsidRPr="004B0B62" w:rsidRDefault="00B01CC7" w:rsidP="00B01CC7">
      <w:pPr>
        <w:pStyle w:val="ATHeading2"/>
      </w:pPr>
      <w:bookmarkStart w:id="1" w:name="title"/>
      <w:r w:rsidRPr="004B0B62">
        <w:t>Absolutorium za rok 2022: Agencja Dostaw Euratomu</w:t>
      </w:r>
      <w:bookmarkEnd w:id="1"/>
    </w:p>
    <w:p w:rsidR="00B01CC7" w:rsidRPr="004B0B62" w:rsidRDefault="00B01CC7" w:rsidP="00B01CC7">
      <w:pPr>
        <w:rPr>
          <w:i/>
          <w:vanish/>
        </w:rPr>
      </w:pPr>
      <w:r w:rsidRPr="004B0B62">
        <w:rPr>
          <w:i/>
        </w:rPr>
        <w:fldChar w:fldCharType="begin"/>
      </w:r>
      <w:r w:rsidRPr="004B0B62">
        <w:rPr>
          <w:i/>
        </w:rPr>
        <w:instrText xml:space="preserve"> TC"(</w:instrText>
      </w:r>
      <w:bookmarkStart w:id="2" w:name="DocNumber"/>
      <w:r w:rsidRPr="004B0B62">
        <w:rPr>
          <w:i/>
        </w:rPr>
        <w:instrText>A9-0108/2024</w:instrText>
      </w:r>
      <w:bookmarkEnd w:id="2"/>
      <w:r w:rsidRPr="004B0B62">
        <w:rPr>
          <w:i/>
        </w:rPr>
        <w:instrText xml:space="preserve"> - Sprawozdawca: </w:instrText>
      </w:r>
      <w:proofErr w:type="spellStart"/>
      <w:r w:rsidRPr="004B0B62">
        <w:rPr>
          <w:i/>
        </w:rPr>
        <w:instrText>Petri</w:instrText>
      </w:r>
      <w:proofErr w:type="spellEnd"/>
      <w:r w:rsidRPr="004B0B62">
        <w:rPr>
          <w:i/>
        </w:rPr>
        <w:instrText xml:space="preserve"> </w:instrText>
      </w:r>
      <w:proofErr w:type="spellStart"/>
      <w:r w:rsidRPr="004B0B62">
        <w:rPr>
          <w:i/>
        </w:rPr>
        <w:instrText>Sarvamaa</w:instrText>
      </w:r>
      <w:proofErr w:type="spellEnd"/>
      <w:proofErr w:type="gramStart"/>
      <w:r w:rsidRPr="004B0B62">
        <w:rPr>
          <w:i/>
        </w:rPr>
        <w:instrText>)"\l</w:instrText>
      </w:r>
      <w:proofErr w:type="gramEnd"/>
      <w:r w:rsidRPr="004B0B62">
        <w:rPr>
          <w:i/>
        </w:rPr>
        <w:instrText xml:space="preserve">3 \n&gt; \* MERGEFORMAT </w:instrText>
      </w:r>
      <w:r w:rsidRPr="004B0B62">
        <w:rPr>
          <w:i/>
        </w:rPr>
        <w:fldChar w:fldCharType="end"/>
      </w:r>
    </w:p>
    <w:p w:rsidR="00B01CC7" w:rsidRPr="004B0B62" w:rsidRDefault="00B01CC7" w:rsidP="00B01CC7">
      <w:pPr>
        <w:rPr>
          <w:vanish/>
        </w:rPr>
      </w:pPr>
      <w:bookmarkStart w:id="3" w:name="Commission"/>
      <w:r w:rsidRPr="004B0B62">
        <w:rPr>
          <w:vanish/>
        </w:rPr>
        <w:t>Komisja Kontroli Budżetowej</w:t>
      </w:r>
      <w:bookmarkEnd w:id="3"/>
    </w:p>
    <w:p w:rsidR="00B01CC7" w:rsidRPr="004B0B62" w:rsidRDefault="00B01CC7" w:rsidP="00B01CC7">
      <w:pPr>
        <w:rPr>
          <w:vanish/>
        </w:rPr>
      </w:pPr>
      <w:bookmarkStart w:id="4" w:name="PE"/>
      <w:r w:rsidRPr="004B0B62">
        <w:rPr>
          <w:vanish/>
        </w:rPr>
        <w:t>PE753.529</w:t>
      </w:r>
      <w:bookmarkEnd w:id="4"/>
    </w:p>
    <w:p w:rsidR="00B01CC7" w:rsidRPr="004B0B62" w:rsidRDefault="00CC12EF" w:rsidP="00B01CC7">
      <w:pPr>
        <w:pStyle w:val="ATHeading3"/>
      </w:pPr>
      <w:bookmarkStart w:id="5" w:name="Sujet"/>
      <w:r>
        <w:t xml:space="preserve">1. </w:t>
      </w:r>
      <w:r w:rsidR="00B01CC7" w:rsidRPr="004B0B62">
        <w:t xml:space="preserve">Decyzja Parlamentu Europejskiego z dnia </w:t>
      </w:r>
      <w:r>
        <w:t>11 kwietnia</w:t>
      </w:r>
      <w:r w:rsidR="00B01CC7" w:rsidRPr="004B0B62">
        <w:t xml:space="preserve"> 2024 r. w sprawie absolutorium z wykonania budżetu Agencji Dostaw Euratomu za rok budżetowy 2022</w:t>
      </w:r>
      <w:bookmarkEnd w:id="5"/>
      <w:r w:rsidR="00B01CC7" w:rsidRPr="004B0B62">
        <w:t xml:space="preserve"> </w:t>
      </w:r>
      <w:bookmarkStart w:id="6" w:name="References"/>
      <w:r w:rsidR="00B01CC7" w:rsidRPr="004B0B62">
        <w:t>(2023/2161(DEC))</w:t>
      </w:r>
      <w:bookmarkEnd w:id="6"/>
    </w:p>
    <w:p w:rsidR="00184E8F" w:rsidRPr="004B0B62" w:rsidRDefault="00184E8F" w:rsidP="00184E8F">
      <w:pPr>
        <w:pStyle w:val="EPComma"/>
      </w:pPr>
      <w:bookmarkStart w:id="7" w:name="TextBodyBegin"/>
      <w:bookmarkEnd w:id="7"/>
      <w:r w:rsidRPr="004B0B62">
        <w:rPr>
          <w:i/>
        </w:rPr>
        <w:t>Parlament Europejski</w:t>
      </w:r>
      <w:r w:rsidRPr="004B0B62">
        <w:t>,</w:t>
      </w:r>
      <w:bookmarkStart w:id="8" w:name="_GoBack"/>
      <w:bookmarkEnd w:id="8"/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końcowe roczne sprawozdanie finansowe Agencji Dostaw Euratomu za rok budżetowy 2022,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sprawozdanie roczne Trybunału Obrachunkowego dotyczące agencji UE za rok budżetowy 2022 wraz z odpowiedziami agencji</w:t>
      </w:r>
      <w:r w:rsidRPr="004B0B62">
        <w:rPr>
          <w:rStyle w:val="FootnoteReference"/>
        </w:rPr>
        <w:footnoteReference w:id="1"/>
      </w:r>
      <w:r w:rsidRPr="004B0B62">
        <w:t>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poświadczenie wiarygodności</w:t>
      </w:r>
      <w:r w:rsidRPr="004B0B62">
        <w:rPr>
          <w:rStyle w:val="FootnoteReference"/>
        </w:rPr>
        <w:footnoteReference w:id="2"/>
      </w:r>
      <w:r w:rsidRPr="004B0B62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zalecenie Rady z dnia 22 lutego 2024 r. w sprawie udzielenia Agencji </w:t>
      </w:r>
      <w:r w:rsidRPr="00327596">
        <w:t>absolutorium z wykonania budżetu za rok budżetowy 2022 (</w:t>
      </w:r>
      <w:r w:rsidR="00327596" w:rsidRPr="00327596">
        <w:t>06180/2024 – C9</w:t>
      </w:r>
      <w:r w:rsidR="00327596" w:rsidRPr="00327596">
        <w:noBreakHyphen/>
        <w:t>0099/2024</w:t>
      </w:r>
      <w:r w:rsidRPr="00327596">
        <w:t>),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319 Traktatu o funkcjonowaniu Unii Europejskiej,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106a Traktatu ustanawiającego Europejską Wspólnotę Energii Atomowej,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rozporządzenie Parlamentu Europejskiego i Rady (UE, </w:t>
      </w:r>
      <w:proofErr w:type="spellStart"/>
      <w:r w:rsidRPr="004B0B62">
        <w:t>Euratom</w:t>
      </w:r>
      <w:proofErr w:type="spellEnd"/>
      <w:r w:rsidRPr="004B0B62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4B0B62">
        <w:lastRenderedPageBreak/>
        <w:t xml:space="preserve">uchylające rozporządzenie (UE, </w:t>
      </w:r>
      <w:proofErr w:type="spellStart"/>
      <w:r w:rsidRPr="004B0B62">
        <w:t>Euratom</w:t>
      </w:r>
      <w:proofErr w:type="spellEnd"/>
      <w:r w:rsidRPr="004B0B62">
        <w:t>) nr 966/2012</w:t>
      </w:r>
      <w:r w:rsidRPr="004B0B62">
        <w:rPr>
          <w:rStyle w:val="FootnoteReference"/>
        </w:rPr>
        <w:footnoteReference w:id="3"/>
      </w:r>
      <w:r w:rsidRPr="004B0B62">
        <w:t>, w szczególności jego art. 68,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decyzję Rady 2008/114/WE, </w:t>
      </w:r>
      <w:proofErr w:type="spellStart"/>
      <w:r w:rsidRPr="004B0B62">
        <w:t>Euratom</w:t>
      </w:r>
      <w:proofErr w:type="spellEnd"/>
      <w:r w:rsidRPr="004B0B62">
        <w:t xml:space="preserve"> z dnia 12 lutego 2008 r. ustanawiającą statut Agencji Dostaw Euratomu</w:t>
      </w:r>
      <w:r w:rsidRPr="004B0B62">
        <w:rPr>
          <w:rStyle w:val="FootnoteReference"/>
        </w:rPr>
        <w:footnoteReference w:id="4"/>
      </w:r>
      <w:r w:rsidRPr="004B0B62">
        <w:t>, w szczególności art. 8 załącznika do niej,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100 Regulaminu i załącznik V do Regulaminu,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sprawozdanie Komisji Kontroli Budżetowej (A9-0108/2024),</w:t>
      </w:r>
    </w:p>
    <w:p w:rsidR="00184E8F" w:rsidRPr="004B0B62" w:rsidRDefault="00184E8F" w:rsidP="00184E8F">
      <w:pPr>
        <w:pStyle w:val="NormalHanging12a"/>
      </w:pPr>
      <w:r w:rsidRPr="004B0B62">
        <w:t>1.</w:t>
      </w:r>
      <w:r w:rsidRPr="004B0B62">
        <w:tab/>
      </w:r>
      <w:proofErr w:type="gramStart"/>
      <w:r w:rsidRPr="004B0B62">
        <w:t>udziela</w:t>
      </w:r>
      <w:proofErr w:type="gramEnd"/>
      <w:r w:rsidRPr="004B0B62">
        <w:t xml:space="preserve"> p.o. </w:t>
      </w:r>
      <w:proofErr w:type="gramStart"/>
      <w:r w:rsidRPr="004B0B62">
        <w:t>dyrektor</w:t>
      </w:r>
      <w:proofErr w:type="gramEnd"/>
      <w:r w:rsidRPr="004B0B62">
        <w:t xml:space="preserve"> generalnej Agencji Dostaw Euratomu absolutorium z wykonania budżetu Agencji za rok budżetowy 2022;</w:t>
      </w:r>
    </w:p>
    <w:p w:rsidR="00184E8F" w:rsidRPr="004B0B62" w:rsidRDefault="00184E8F" w:rsidP="00184E8F">
      <w:pPr>
        <w:pStyle w:val="NormalHanging12a"/>
      </w:pPr>
      <w:r w:rsidRPr="004B0B62">
        <w:t>2.</w:t>
      </w:r>
      <w:r w:rsidRPr="004B0B62">
        <w:tab/>
      </w:r>
      <w:proofErr w:type="gramStart"/>
      <w:r w:rsidRPr="004B0B62">
        <w:t>przedstawia</w:t>
      </w:r>
      <w:proofErr w:type="gramEnd"/>
      <w:r w:rsidRPr="004B0B62">
        <w:t xml:space="preserve"> swoje uwagi w poniższej rezolucji;</w:t>
      </w:r>
    </w:p>
    <w:p w:rsidR="00184E8F" w:rsidRPr="004B0B62" w:rsidRDefault="00184E8F" w:rsidP="00184E8F">
      <w:pPr>
        <w:pStyle w:val="NormalHanging12a"/>
      </w:pPr>
      <w:r w:rsidRPr="004B0B62">
        <w:t>3.</w:t>
      </w:r>
      <w:r w:rsidRPr="004B0B62">
        <w:tab/>
      </w:r>
      <w:proofErr w:type="gramStart"/>
      <w:r w:rsidRPr="004B0B62">
        <w:t>zobowiązuje</w:t>
      </w:r>
      <w:proofErr w:type="gramEnd"/>
      <w:r w:rsidRPr="004B0B62">
        <w:t xml:space="preserve"> swoją przewodniczącą do przekazania niniejszej decyzji wraz z rezolucją, która stanowi jej integralną część, p.o. </w:t>
      </w:r>
      <w:proofErr w:type="gramStart"/>
      <w:r w:rsidRPr="004B0B62">
        <w:t>dyrektor</w:t>
      </w:r>
      <w:proofErr w:type="gramEnd"/>
      <w:r w:rsidRPr="004B0B62">
        <w:t xml:space="preserve"> generalnej Agencji Dostaw Euratomu, Radzie, Komisji i Trybunałowi Obrachunkowemu oraz do zarządzenia jej publikacji w </w:t>
      </w:r>
      <w:r w:rsidRPr="004B0B62">
        <w:rPr>
          <w:i/>
          <w:iCs/>
        </w:rPr>
        <w:t>Dzienniku Urzędowym Unii Europejskiej</w:t>
      </w:r>
      <w:r w:rsidRPr="004B0B62">
        <w:t xml:space="preserve"> (seria L).</w:t>
      </w:r>
    </w:p>
    <w:p w:rsidR="00184E8F" w:rsidRPr="004B0B62" w:rsidRDefault="00184E8F" w:rsidP="00184E8F"/>
    <w:p w:rsidR="00184E8F" w:rsidRPr="004B0B62" w:rsidRDefault="00184E8F" w:rsidP="00184E8F">
      <w:pPr>
        <w:widowControl/>
        <w:rPr>
          <w:rFonts w:ascii="Arial" w:hAnsi="Arial" w:cs="Arial"/>
          <w:b/>
        </w:rPr>
        <w:sectPr w:rsidR="00184E8F" w:rsidRPr="004B0B62" w:rsidSect="004B0B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84E8F" w:rsidRPr="004B0B62" w:rsidRDefault="00CC12EF" w:rsidP="00CC12EF">
      <w:pPr>
        <w:pStyle w:val="ATHeading3"/>
      </w:pPr>
      <w:bookmarkStart w:id="9" w:name="_Toc161827671"/>
      <w:r>
        <w:lastRenderedPageBreak/>
        <w:t>2. Decyzja</w:t>
      </w:r>
      <w:r w:rsidR="00184E8F" w:rsidRPr="004B0B62">
        <w:t xml:space="preserve"> P</w:t>
      </w:r>
      <w:r>
        <w:t>arlamentu</w:t>
      </w:r>
      <w:r w:rsidR="00184E8F" w:rsidRPr="004B0B62">
        <w:t xml:space="preserve"> E</w:t>
      </w:r>
      <w:bookmarkEnd w:id="9"/>
      <w:r>
        <w:t xml:space="preserve">uropejskiego z dnia 11 kwietnia 2024 r. </w:t>
      </w:r>
      <w:r w:rsidR="00184E8F" w:rsidRPr="004B0B62">
        <w:t>w sprawie zamknięcia ksiąg dochodów i wydatków Agencji Dostaw Euratomu za rok budżetowy 2022</w:t>
      </w:r>
      <w:r>
        <w:t xml:space="preserve"> </w:t>
      </w:r>
      <w:r w:rsidR="00184E8F" w:rsidRPr="004B0B62">
        <w:t>(2023/2161(DEC))</w:t>
      </w:r>
    </w:p>
    <w:p w:rsidR="00184E8F" w:rsidRPr="004B0B62" w:rsidRDefault="00184E8F" w:rsidP="00184E8F">
      <w:pPr>
        <w:pStyle w:val="EPComma"/>
      </w:pPr>
      <w:r w:rsidRPr="004B0B62">
        <w:rPr>
          <w:i/>
        </w:rPr>
        <w:t>Parlament Europejski</w:t>
      </w:r>
      <w:r w:rsidRPr="004B0B62">
        <w:t>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końcowe roczne sprawozdanie finansowe Agencji Dostaw Euratomu za rok budżetowy 2022,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sprawozdanie roczne Trybunału Obrachunkowego dotyczące agencji UE za rok budżetowy 2022 wraz z odpowiedziami agencji</w:t>
      </w:r>
      <w:r w:rsidRPr="004B0B62">
        <w:rPr>
          <w:rStyle w:val="FootnoteReference"/>
        </w:rPr>
        <w:footnoteReference w:id="5"/>
      </w:r>
      <w:r w:rsidRPr="004B0B62">
        <w:t>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poświadczenie wiarygodności</w:t>
      </w:r>
      <w:r w:rsidRPr="004B0B62">
        <w:rPr>
          <w:rStyle w:val="FootnoteReference"/>
        </w:rPr>
        <w:footnoteReference w:id="6"/>
      </w:r>
      <w:r w:rsidRPr="004B0B62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zalecenie Rady z dnia 22 lutego 2024 r. w sprawie udzielenia Agencji </w:t>
      </w:r>
      <w:r w:rsidRPr="00327596">
        <w:t>absolutorium z wykonania budżetu za rok budżetowy 2022 (</w:t>
      </w:r>
      <w:r w:rsidR="00327596" w:rsidRPr="00327596">
        <w:t>06180/2024 – C9</w:t>
      </w:r>
      <w:r w:rsidR="00327596" w:rsidRPr="00327596">
        <w:noBreakHyphen/>
        <w:t>0099/2024</w:t>
      </w:r>
      <w:r w:rsidRPr="00327596">
        <w:t>),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319 Traktatu o funkcjonowaniu Unii Europejskiej,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106a Traktatu ustanawiającego Europejską Wspólnotę Energii Atomowej,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rozporządzenie Parlamentu Europejskiego i Rady (UE, </w:t>
      </w:r>
      <w:proofErr w:type="spellStart"/>
      <w:r w:rsidRPr="004B0B62">
        <w:t>Euratom</w:t>
      </w:r>
      <w:proofErr w:type="spellEnd"/>
      <w:r w:rsidRPr="004B0B62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4B0B62">
        <w:t>Euratom</w:t>
      </w:r>
      <w:proofErr w:type="spellEnd"/>
      <w:r w:rsidRPr="004B0B62">
        <w:t>) nr 966/2012</w:t>
      </w:r>
      <w:r w:rsidRPr="004B0B62">
        <w:rPr>
          <w:rStyle w:val="FootnoteReference"/>
        </w:rPr>
        <w:footnoteReference w:id="7"/>
      </w:r>
      <w:r w:rsidRPr="004B0B62">
        <w:t>, w szczególności jego art. 68,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 xml:space="preserve">uwzględniając decyzję Rady 2008/114/WE, </w:t>
      </w:r>
      <w:proofErr w:type="spellStart"/>
      <w:r w:rsidRPr="004B0B62">
        <w:t>Euratom</w:t>
      </w:r>
      <w:proofErr w:type="spellEnd"/>
      <w:r w:rsidRPr="004B0B62">
        <w:t xml:space="preserve"> z dnia 12 lutego 2008 r. ustanawiającą statut Agencji Dostaw Euratomu</w:t>
      </w:r>
      <w:r w:rsidRPr="004B0B62">
        <w:rPr>
          <w:rStyle w:val="FootnoteReference"/>
        </w:rPr>
        <w:footnoteReference w:id="8"/>
      </w:r>
      <w:r w:rsidRPr="004B0B62">
        <w:t>, w szczególności art. 8 załącznika do niej,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100 Regulaminu i załącznik V do Regulaminu,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sprawozdanie Komisji Kontroli Budżetowej (A9-0108/2024),</w:t>
      </w:r>
    </w:p>
    <w:p w:rsidR="00184E8F" w:rsidRPr="004B0B62" w:rsidRDefault="00184E8F" w:rsidP="00184E8F">
      <w:pPr>
        <w:pStyle w:val="NormalHanging12a"/>
      </w:pPr>
      <w:r w:rsidRPr="004B0B62">
        <w:t>1.</w:t>
      </w:r>
      <w:r w:rsidRPr="004B0B62">
        <w:tab/>
      </w:r>
      <w:proofErr w:type="gramStart"/>
      <w:r w:rsidRPr="004B0B62">
        <w:t>zatwierdza</w:t>
      </w:r>
      <w:proofErr w:type="gramEnd"/>
      <w:r w:rsidRPr="004B0B62">
        <w:t xml:space="preserve"> zamknięcie ksiąg dochodów i wydatków Agencji Dostaw Euratomu za rok budżetowy 2022;</w:t>
      </w:r>
    </w:p>
    <w:p w:rsidR="00184E8F" w:rsidRPr="004B0B62" w:rsidRDefault="00184E8F" w:rsidP="00184E8F">
      <w:pPr>
        <w:pStyle w:val="NormalHanging12a"/>
      </w:pPr>
      <w:r w:rsidRPr="004B0B62">
        <w:t>2.</w:t>
      </w:r>
      <w:r w:rsidRPr="004B0B62">
        <w:tab/>
      </w:r>
      <w:proofErr w:type="gramStart"/>
      <w:r w:rsidRPr="004B0B62">
        <w:t>zobowiązuje</w:t>
      </w:r>
      <w:proofErr w:type="gramEnd"/>
      <w:r w:rsidRPr="004B0B62">
        <w:t xml:space="preserve"> swoją przewodniczącą do przekazania niniejszej decyzji p. o. </w:t>
      </w:r>
      <w:proofErr w:type="gramStart"/>
      <w:r w:rsidRPr="004B0B62">
        <w:t>dyrektor</w:t>
      </w:r>
      <w:proofErr w:type="gramEnd"/>
      <w:r w:rsidRPr="004B0B62">
        <w:t xml:space="preserve"> generalnej Agencji Dostaw Euratomu, Radzie, Komisji i Trybunałowi Obrachunkowemu oraz do zarządzenia jej publikacji w </w:t>
      </w:r>
      <w:r w:rsidRPr="004B0B62">
        <w:rPr>
          <w:i/>
          <w:iCs/>
        </w:rPr>
        <w:t xml:space="preserve">Dzienniku Urzędowym Unii </w:t>
      </w:r>
      <w:r w:rsidRPr="004B0B62">
        <w:rPr>
          <w:i/>
          <w:iCs/>
        </w:rPr>
        <w:lastRenderedPageBreak/>
        <w:t>Europejskiej</w:t>
      </w:r>
      <w:r w:rsidRPr="004B0B62">
        <w:t xml:space="preserve"> (seria L).</w:t>
      </w:r>
    </w:p>
    <w:p w:rsidR="00184E8F" w:rsidRPr="004B0B62" w:rsidRDefault="00184E8F" w:rsidP="00184E8F"/>
    <w:p w:rsidR="00184E8F" w:rsidRPr="004B0B62" w:rsidRDefault="00184E8F" w:rsidP="00184E8F">
      <w:pPr>
        <w:widowControl/>
        <w:rPr>
          <w:rFonts w:ascii="Arial" w:hAnsi="Arial" w:cs="Arial"/>
          <w:b/>
        </w:rPr>
        <w:sectPr w:rsidR="00184E8F" w:rsidRPr="004B0B62" w:rsidSect="004B0B62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84E8F" w:rsidRPr="004B0B62" w:rsidRDefault="00CC12EF" w:rsidP="00CC12EF">
      <w:pPr>
        <w:pStyle w:val="ATHeading3"/>
      </w:pPr>
      <w:bookmarkStart w:id="10" w:name="_Toc161827672"/>
      <w:r>
        <w:lastRenderedPageBreak/>
        <w:t>3. Rezolucja Parlamentu</w:t>
      </w:r>
      <w:r w:rsidR="00184E8F" w:rsidRPr="004B0B62">
        <w:t xml:space="preserve"> E</w:t>
      </w:r>
      <w:bookmarkEnd w:id="10"/>
      <w:r>
        <w:t>uropejskiego z dnia 11 kwietnia 2024 r. zawierająca</w:t>
      </w:r>
      <w:r w:rsidR="00184E8F" w:rsidRPr="004B0B62">
        <w:t xml:space="preserve"> uwagi stanowiące integralną część decyzji w sprawie absolutorium z wykonania budżetu Agencji Dostaw Euratomu za rok budżetowy 2022</w:t>
      </w:r>
      <w:r>
        <w:t xml:space="preserve"> </w:t>
      </w:r>
      <w:r w:rsidR="00184E8F" w:rsidRPr="004B0B62">
        <w:t>(2023/2161(DEC))</w:t>
      </w:r>
    </w:p>
    <w:p w:rsidR="00184E8F" w:rsidRPr="004B0B62" w:rsidRDefault="00184E8F" w:rsidP="00184E8F">
      <w:pPr>
        <w:pStyle w:val="EPComma"/>
      </w:pPr>
      <w:r w:rsidRPr="004B0B62">
        <w:rPr>
          <w:i/>
        </w:rPr>
        <w:t>Parlament Europejski</w:t>
      </w:r>
      <w:r w:rsidRPr="004B0B62">
        <w:t>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swoją decyzję w sprawie absolutorium z wykonania budżetu Agencji Dostaw Euratomu („Agencji”) za rok budżetowy 2022,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art. 100 Regulaminu i załącznik V do Regulaminu,</w:t>
      </w:r>
    </w:p>
    <w:p w:rsidR="00184E8F" w:rsidRPr="004B0B62" w:rsidRDefault="00184E8F" w:rsidP="00184E8F">
      <w:pPr>
        <w:pStyle w:val="NormalHanging12a"/>
      </w:pPr>
      <w:r w:rsidRPr="004B0B62">
        <w:t>–</w:t>
      </w:r>
      <w:r w:rsidRPr="004B0B62">
        <w:tab/>
        <w:t>uwzględniając sprawozdanie Komisji Kontroli Budżetowej (A9-0108/2024),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A.</w:t>
      </w:r>
      <w:r w:rsidRPr="004B0B62">
        <w:tab/>
      </w:r>
      <w:proofErr w:type="gramStart"/>
      <w:r w:rsidRPr="004B0B62">
        <w:t>mając</w:t>
      </w:r>
      <w:proofErr w:type="gramEnd"/>
      <w:r w:rsidRPr="004B0B62">
        <w:t xml:space="preserve"> na uwadze, że zgodnie z zestawieniem dochodów i wydatków Agencji jej ostateczny budżet na rok budżetowy 2022 wyniósł 167 000 EUR, co stanowi spadek o 20,48 % w porównaniu z 2021 r. (210 000 EUR); mając na uwadze, że cały budżet Agencji pochodzi z budżetu Unii;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B.</w:t>
      </w:r>
      <w:r w:rsidRPr="004B0B62">
        <w:tab/>
        <w:t>mając na uwadze, że Trybunał Obrachunkowy („Trybunał”) w sprawozdaniu dotyczącym rocznego sprawozdania finansowego Agencji za rok budżetowy 2022 („sprawozdanie Trybunału”) stwierdził, iż uzyskał wystarczającą pewność, że sprawozdanie finansowe Agencji jest wiarygodne oraz że transakcje leżące u jego podstaw są legalne i prawidłowe;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C.</w:t>
      </w:r>
      <w:r w:rsidRPr="004B0B62">
        <w:tab/>
      </w:r>
      <w:proofErr w:type="gramStart"/>
      <w:r w:rsidRPr="004B0B62">
        <w:t>mając</w:t>
      </w:r>
      <w:proofErr w:type="gramEnd"/>
      <w:r w:rsidRPr="004B0B62">
        <w:t xml:space="preserve"> na uwadze, że nie zgłoszono żadnych problemów wymagających działań naprawczych w odniesieniu do systemów kontroli wewnętrznej Agencji w 2022 r., oraz nie są realizowane ani nie oczekują na realizację żadne działania naprawcze, które wynikałyby z przeglądów i ocen dotyczących lat poprzednich;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Zarządzanie budżetem i finansami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wysiłki związane z monitorowaniem budżetu w ciągu roku budżetowego 2022 doprowadziły do osiągnięcia wskaźnika wykonania w odniesieniu do środków na zobowiązania na bieżący rok w wysokości 96,88 %, co oznacza lekki spadek o 2,88 % w porównaniu z rokiem 2021, oraz odnotowuje, że wskaźnik wykonania w odniesieniu do środków na płatności na bieżący rok wyniósł 34,81 %, co oznacza spadek o 16,4 % w porównaniu z rokiem 2021;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2.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znaczną część wydatków Agencji pokrywa Komisja, w tym wynagrodzenia wyliczone na 1 937 817 EUR, wydatki na pomieszczenia i IT – 467 708 EUR oraz na system informatyczny Obserwatorium Jądrowego i ESA w zakresie zarządzania informacjami (NOEMI) – na 84 644 EUR; zauważa ponadto, że wydatki te ujęto w rocznym sprawozdaniu finansowym Komisji, co pozytywnie przyczynia się do zwiększenia zdolności administracyjnych Agencji;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Wyniki</w:t>
      </w:r>
    </w:p>
    <w:p w:rsidR="00184E8F" w:rsidRPr="004B0B62" w:rsidRDefault="00184E8F" w:rsidP="00184E8F">
      <w:pPr>
        <w:pStyle w:val="NormalHanging12a"/>
      </w:pPr>
      <w:r w:rsidRPr="004B0B62">
        <w:t>3.</w:t>
      </w:r>
      <w:r w:rsidRPr="004B0B62">
        <w:tab/>
      </w:r>
      <w:proofErr w:type="gramStart"/>
      <w:r w:rsidRPr="004B0B62">
        <w:t>podkreśla</w:t>
      </w:r>
      <w:proofErr w:type="gramEnd"/>
      <w:r w:rsidRPr="004B0B62">
        <w:t xml:space="preserve">, że rok 2022 stał pod znakiem rosyjskiej inwazji na Ukrainę, co zwiększa obawy UE w odniesieniu do ogólnego bezpieczeństwa energetycznego, a w szczególności osłabia bezpieczeństwo dostaw materiałów jądrowych i paliwa jądrowego do Unii oraz pogłębia problemy związane z zależnością; zauważa, że wiele </w:t>
      </w:r>
      <w:r w:rsidRPr="004B0B62">
        <w:lastRenderedPageBreak/>
        <w:t xml:space="preserve">unijnych elektrowni jądrowych jest uzależnionych od rosyjskich dostawców paliwa, a unijne przedsiębiorstwa użyteczności publicznej jako całość są uzależnione w 20–30 % od rosyjskich dostaw materiałów jądrowych i usług cyklu paliwowego; zauważa, że uznając rolę wysokich płatności z tytułu importu energii we wspieraniu działań Rosji, Unia postanowiła zmniejszyć zależność od tego kraju w różnych sektorach, a ponadto że rynek jądrowy również </w:t>
      </w:r>
      <w:proofErr w:type="gramStart"/>
      <w:r w:rsidRPr="004B0B62">
        <w:t>może</w:t>
      </w:r>
      <w:proofErr w:type="gramEnd"/>
      <w:r w:rsidRPr="004B0B62">
        <w:t xml:space="preserve"> się przekształcić w przyszłości w ramach tej szerszej zmiany, biorąc pod uwagę jego wyjątkowe cechy; zwraca się do Agencji o poinformowanie organu udzielającego absolutorium, jak od 2022 r. zmniejszyła zależność Unii od rosyjskiego paliwa jądrowego, szczególnie że od początku wojny przemysł jądrowy był zwolniony z sankcji, oraz jak zmniejszenie zależności i dywersyfikacja wpłynęły na koszty;</w:t>
      </w:r>
    </w:p>
    <w:p w:rsidR="00184E8F" w:rsidRPr="004B0B62" w:rsidRDefault="00184E8F" w:rsidP="00184E8F">
      <w:pPr>
        <w:spacing w:after="240"/>
        <w:ind w:left="567" w:hanging="567"/>
      </w:pPr>
      <w:r w:rsidRPr="004B0B62">
        <w:t>4.</w:t>
      </w:r>
      <w:r w:rsidRPr="004B0B62">
        <w:tab/>
      </w:r>
      <w:proofErr w:type="gramStart"/>
      <w:r w:rsidRPr="004B0B62">
        <w:t>zauważa</w:t>
      </w:r>
      <w:proofErr w:type="gramEnd"/>
      <w:r w:rsidRPr="004B0B62">
        <w:t xml:space="preserve"> z zadowoleniem, że Agencja zwróciła szczególną uwagę na przegląd umów wiążących się z ryzykiem uzależnienia od Rosji, obejmujący dogłębną analizę klauzul, informacji technologicznych, łańcuchów dostaw, dostępności paliw alternatywnych oraz autonomii operacyjnej przedsiębiorstw użyteczności publicznej w odniesieniu do istniejących zapasów paliw; pochwala, że Agencja podjęła kroki, aby uprościć proces przedkładania umów, a jednocześnie utrzymała wysoki poziom bezpieczeństwa oraz że specjalne bezpieczne narzędzia informatyczne ułatwiły zdalne wypełnianie i przedkładanie; zauważa, że w 2022 r. w wyniku tych działań wzrosła liczba podpisanych elektronicznie aktów zgodnych z przepisami dotyczącymi identyfikacji transakcji elektronicznych na jednolitym rynku;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5.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zgodnie ze swoimi celami strategicznymi i polityką Komisji Agencja dążyła do dystrybucji źródeł dostaw w jądrowym cyklu paliwowym do zastosowań energetycznych i innych niż energetyczne, co przyczynia się do zabezpieczenia dostaw w perspektywie średnio- i długoterminowej;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6.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Agencja odpowiada za monitorowanie rynku w celu określenia tendencji, które mogą mieć wpływ na bezpieczeństwo dostaw materiałów jądrowych i usług jądrowych w Unii; odnotowuje ponadto, że w swoim sprawozdaniu rocznym Agencja opublikowała analizę rynku, dostarczyła informacje dotyczące unijnych i światowych rynków energii jądrowej oraz dzieliła się informacjami i wiedzą z innymi międzynarodowymi organizacjami analiz rynku;</w:t>
      </w:r>
    </w:p>
    <w:p w:rsidR="00184E8F" w:rsidRPr="004B0B62" w:rsidRDefault="00184E8F" w:rsidP="00184E8F">
      <w:pPr>
        <w:pStyle w:val="NormalHanging12a"/>
      </w:pPr>
      <w:r w:rsidRPr="004B0B62">
        <w:t>7.</w:t>
      </w:r>
      <w:r w:rsidRPr="004B0B62">
        <w:tab/>
      </w:r>
      <w:proofErr w:type="gramStart"/>
      <w:r w:rsidRPr="004B0B62">
        <w:t>wyraża</w:t>
      </w:r>
      <w:proofErr w:type="gramEnd"/>
      <w:r w:rsidRPr="004B0B62">
        <w:t xml:space="preserve"> zadowolenie, że w 2022 r. Agencja kierowała działaniami służącymi zabezpieczeniu dostaw materiałów źródłowych izotopów promieniotwórczych do celów medycznych i przyczyniła się do wdrożenia strategicznego programu dotyczącego medycznych, przemysłowych i badawczych zastosowań technologii jądrowych i radiologicznych (SAMIRA) oraz przewodzi europejskiemu obserwatorium dostaw izotopów promieniotwórczych do celów medycznych;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8.</w:t>
      </w:r>
      <w:r w:rsidRPr="004B0B62">
        <w:tab/>
      </w:r>
      <w:proofErr w:type="gramStart"/>
      <w:r w:rsidRPr="004B0B62">
        <w:t>z</w:t>
      </w:r>
      <w:proofErr w:type="gramEnd"/>
      <w:r w:rsidRPr="004B0B62">
        <w:t xml:space="preserve"> zadowoleniem przyjmuje zaangażowanie Agencji we współpracę z partnerami i zainteresowanymi stronami, aby zwiększyć bezpieczeństwo dostaw materiałów jądrowych w związku z nielegalną i niesprowokowaną inwazją Rosji na Ukrainę;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Wydajność i poprawa wyników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9.</w:t>
      </w:r>
      <w:r w:rsidRPr="004B0B62">
        <w:tab/>
      </w:r>
      <w:proofErr w:type="gramStart"/>
      <w:r w:rsidRPr="004B0B62">
        <w:t>zauważa</w:t>
      </w:r>
      <w:proofErr w:type="gramEnd"/>
      <w:r w:rsidRPr="004B0B62">
        <w:t xml:space="preserve">, że Agencja ściśle współpracowała z Komisją, aby propagować dywersyfikację dostaw; zauważa ponadto, że Agencja od dawna utrzymuje stosunki w dziedzinie energii jądrowej z Międzynarodową Agencją Energii Atomowej i Agencją Energii </w:t>
      </w:r>
      <w:r w:rsidRPr="004B0B62">
        <w:lastRenderedPageBreak/>
        <w:t>Jądrowej na forum Organizacji Współpracy Gospodarczej i Rozwoju; zwraca uwagę na korzyści horyzontalne płynące ze współpracy i dostosowania najlepszych praktyk oraz na to, że wspólne inicjatywy łączą różne perspektywy, ograniczają powielanie wysiłków, usprawniają proces nauki i wzmacniają relacje między uczestnikami;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10.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Agencja opracowuje system informatyczny NOEMI, aby umożliwić pełne cyfrowe przetwarzanie umów na dostawy materiałów jądrowych i informacji rynkowych w pełnej zgodności z zasadami ochrony informacji, a jednocześnie pracuje nad rozszerzeniem swoich zdolności analitycznych dotyczących dostępnych danych;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11.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Agencja dołożyła starań, aby zwiększyć wydajność i realokację zasobów kadrowych stosownie do nowych przyszłych zadań i wyzwań; zauważa, że dalszy wzrost wydajności jest możliwy jedynie dzięki wykorzystaniu synergii i wsparcia Komisji za pośrednictwem specjalistycznych funkcji wsparcia, rozszerzeniu zakresu stosowania narzędzi korporacyjnych i zwiększeniu przydziału środków na rozwój systemu informatycznego NOEMI; zwraca się do Agencji, by zidentyfikowała więcej procedur wewnętrznych, które można usprawnić za pomocą nowych narzędzi informatycznych;</w:t>
      </w:r>
    </w:p>
    <w:p w:rsidR="00184E8F" w:rsidRPr="004B0B62" w:rsidRDefault="00184E8F" w:rsidP="00184E8F">
      <w:pPr>
        <w:pStyle w:val="NormalHanging12a"/>
      </w:pPr>
      <w:r w:rsidRPr="004B0B62">
        <w:t>12.</w:t>
      </w:r>
      <w:r w:rsidRPr="004B0B62">
        <w:tab/>
      </w:r>
      <w:proofErr w:type="gramStart"/>
      <w:r w:rsidRPr="004B0B62">
        <w:t>przypomina</w:t>
      </w:r>
      <w:proofErr w:type="gramEnd"/>
      <w:r w:rsidRPr="004B0B62">
        <w:t xml:space="preserve">, jak ważna jest większa cyfryzacja Agencji dla jej wewnętrznego funkcjonowania i zarządzania, ale także dla przyspieszenia cyfryzacji procedur; podkreśla, że Agencja musi nadal aktywnie działać w tym zakresie, aby uniknąć przepaści cyfrowej między agencjami; zwraca jednak uwagę na konieczność podjęcia wszelkich niezbędnych środków bezpieczeństwa, aby uniknąć wszelkiego ryzyka dla bezpieczeństwa przetwarzanych informacji w </w:t>
      </w:r>
      <w:proofErr w:type="spellStart"/>
      <w:r w:rsidRPr="004B0B62">
        <w:t>internecie</w:t>
      </w:r>
      <w:proofErr w:type="spellEnd"/>
      <w:r w:rsidRPr="004B0B62">
        <w:t>; domaga się zwiększenia zabezpieczeń przed atakami cybernetycznymi lub próbami infiltracji, w szczególności ze strony Rosji lub Chin;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Polityka kadrowa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13.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31 grudnia 2022 r. plan zatrudnienia zrealizowano w 100 % i obsadzonych było 17 stanowisk stałych, 8 stanowisk administratorów, 7 stanowisk asystentów oraz 2 stanowiska asystentów i pracowników sekretariatu; zauważa ponadto, że większa niż zatwierdzona liczba administratorów wynika z przekształcenia jednego stanowiska asystenckiego przyznanego przez Komisję;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14.</w:t>
      </w:r>
      <w:r w:rsidRPr="004B0B62">
        <w:tab/>
      </w:r>
      <w:proofErr w:type="gramStart"/>
      <w:r w:rsidRPr="004B0B62">
        <w:t>przypomina</w:t>
      </w:r>
      <w:proofErr w:type="gramEnd"/>
      <w:r w:rsidRPr="004B0B62">
        <w:t>, że Agencja ma trudności ze znalezieniem asystentów w niższych grupach zaszeregowania, biorąc pod uwagę wymagany specjalistyczny profil i związane z nim poziomy wynagrodzeń w porównaniu z kosztami utrzymania w Luksemburgu; zauważa jednak, że pomimo podjętych wysiłków Agencja zatrudniła w 2022 r. 2 pracowników na czas określony na stanowiskach stałych (1 asystent oraz 1 asystent i pracownik sekretariatu);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15.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w 2022 r. Agencja zgłosiła stosunek liczby kobiet i mężczyzn wśród wszystkich pracowników wynoszący 59 % kobiet i 41 % mężczyzn, co potwierdza stosowanie polityki równych szans;</w:t>
      </w:r>
    </w:p>
    <w:p w:rsidR="00184E8F" w:rsidRPr="004B0B62" w:rsidRDefault="00184E8F" w:rsidP="00184E8F">
      <w:pPr>
        <w:pStyle w:val="NormalHanging12a"/>
      </w:pPr>
      <w:r w:rsidRPr="004B0B62">
        <w:t>16.</w:t>
      </w:r>
      <w:r w:rsidRPr="004B0B62">
        <w:tab/>
      </w:r>
      <w:proofErr w:type="gramStart"/>
      <w:r w:rsidRPr="004B0B62">
        <w:t>przypomina</w:t>
      </w:r>
      <w:proofErr w:type="gramEnd"/>
      <w:r w:rsidRPr="004B0B62">
        <w:t xml:space="preserve">, jak ważne jest opracowanie długoterminowej polityki kadrowej uwzględniającej równowagę między życiem zawodowym a prywatnym, poradnictwo zawodowe przez całe życie i ofertę konkretnych możliwości szkoleniowych dotyczących rozwoju kariery zawodowej, równowagę płci na wszystkich szczeblach </w:t>
      </w:r>
      <w:r w:rsidRPr="004B0B62">
        <w:lastRenderedPageBreak/>
        <w:t>personelu, telepracę, prawo do bycia offline, zwiększenie równowagi geograficznej, aby zapewnić odpowiednią reprezentację ze wszystkich państw członkowskich, oraz rekrutację i integrację osób z niepełnosprawnościami, a także promowanie ich równego traktowania i szans;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Zamówienia</w:t>
      </w:r>
    </w:p>
    <w:p w:rsidR="00184E8F" w:rsidRPr="004B0B62" w:rsidRDefault="00184E8F" w:rsidP="00184E8F">
      <w:pPr>
        <w:spacing w:after="240"/>
        <w:ind w:left="567" w:hanging="567"/>
        <w:rPr>
          <w:rFonts w:eastAsia="Calibri"/>
          <w:szCs w:val="24"/>
        </w:rPr>
      </w:pPr>
      <w:r w:rsidRPr="004B0B62">
        <w:t>17.</w:t>
      </w:r>
      <w:r w:rsidRPr="004B0B62">
        <w:tab/>
      </w:r>
      <w:proofErr w:type="gramStart"/>
      <w:r w:rsidRPr="004B0B62">
        <w:t>na</w:t>
      </w:r>
      <w:proofErr w:type="gramEnd"/>
      <w:r w:rsidRPr="004B0B62">
        <w:t xml:space="preserve"> podstawie sprawozdania Trybunału zauważa, że Agencja systematycznie udzielała zamówień o niskiej wartości (poniżej 15 000 EUR), nie wydając odpowiednich sprawozdań z oceny ani decyzji o udzieleniu zamówienia, co jest sprzeczne z pkt 30.3 i 30.4 </w:t>
      </w:r>
      <w:proofErr w:type="gramStart"/>
      <w:r w:rsidRPr="004B0B62">
        <w:t>załącznika</w:t>
      </w:r>
      <w:proofErr w:type="gramEnd"/>
      <w:r w:rsidRPr="004B0B62">
        <w:t xml:space="preserve"> I do rozporządzenia finansowego; odnotowuje ponadto na podstawie odpowiedzi Agencji, która uwzględnia to zalecenie, że zapewni ona odpowiednie wytyczne wszystkim pracownikom zaangażowanym w udzielanie zamówień i zarządzanie finansami; wzywa Agencję do poprawy procedur udzielania zamówień, aby zapewnić pełną zgodność z obowiązującymi przepisami i zagwarantować wybór ofert o najlepszym stosunku wartości do ceny;</w:t>
      </w:r>
    </w:p>
    <w:p w:rsidR="00184E8F" w:rsidRPr="004B0B62" w:rsidRDefault="00184E8F" w:rsidP="00184E8F">
      <w:pPr>
        <w:spacing w:after="240"/>
        <w:ind w:left="567" w:hanging="567"/>
        <w:rPr>
          <w:b/>
          <w:i/>
          <w:szCs w:val="24"/>
        </w:rPr>
      </w:pPr>
      <w:r w:rsidRPr="004B0B62">
        <w:rPr>
          <w:b/>
          <w:i/>
        </w:rPr>
        <w:t>Inne uwagi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18.</w:t>
      </w:r>
      <w:r w:rsidRPr="004B0B62">
        <w:tab/>
      </w:r>
      <w:proofErr w:type="gramStart"/>
      <w:r w:rsidRPr="004B0B62">
        <w:t>zauważa</w:t>
      </w:r>
      <w:proofErr w:type="gramEnd"/>
      <w:r w:rsidRPr="004B0B62">
        <w:t>, że Agencja zwiększyła bezpieczeństwo dostępu do swoich pomieszczeń, a wszyscy pracownicy i wykonawcy zewnętrzni mają poświadczenie bezpieczeństwa osobowego;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19.</w:t>
      </w:r>
      <w:r w:rsidRPr="004B0B62">
        <w:tab/>
      </w:r>
      <w:proofErr w:type="gramStart"/>
      <w:r w:rsidRPr="004B0B62">
        <w:t>odnotowuje</w:t>
      </w:r>
      <w:proofErr w:type="gramEnd"/>
      <w:r w:rsidRPr="004B0B62">
        <w:t>, że system informatyczny NOEMI poddano ocenie narażenia, która ma być powtarzana po każdej fazie rozwojowej lub po wdrożeniu wszystkich zaleceń;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20.</w:t>
      </w:r>
      <w:r w:rsidRPr="004B0B62">
        <w:tab/>
      </w:r>
      <w:proofErr w:type="gramStart"/>
      <w:r w:rsidRPr="004B0B62">
        <w:t>zauważa</w:t>
      </w:r>
      <w:proofErr w:type="gramEnd"/>
      <w:r w:rsidRPr="004B0B62">
        <w:t xml:space="preserve"> z uznaniem, że Agencja uczestniczyła w Światowym Sympozjum Jądrowym, które odbyło się w Londynie we wrześniu 2022 r., gdzie dała uczestniczącym czołowym liderom, ekspertom i kadrze kierowniczej przemysłu jądrowego jasno do zrozumienia, że należy przeciwdziałać zagrożeniom związanym z nową strukturą rynku; zauważa ponadto, że podczas Warszawskiego Forum Bezpieczeństwa i konferencji poświęconej jądrowemu cyklowi paliwowemu przedstawiono analizę rynku i perspektywy Agencji oraz że była ona reprezentowana na pierwszej Międzynarodowej Konferencji Prawa Jądrowego oraz na Europejskiej Konferencji Reaktorów Badawczych; zauważa ponadto, że Agencja wniosła wkład w wydarzenia organizowane przez Europejskie Towarzystwo Jądrowe;</w:t>
      </w:r>
    </w:p>
    <w:p w:rsidR="00184E8F" w:rsidRPr="004B0B62" w:rsidRDefault="00184E8F" w:rsidP="00184E8F">
      <w:pPr>
        <w:spacing w:after="240"/>
        <w:ind w:left="567" w:hanging="567"/>
        <w:rPr>
          <w:szCs w:val="24"/>
        </w:rPr>
      </w:pPr>
      <w:r w:rsidRPr="004B0B62">
        <w:t>21.</w:t>
      </w:r>
      <w:r w:rsidRPr="004B0B62">
        <w:tab/>
      </w:r>
      <w:proofErr w:type="gramStart"/>
      <w:r w:rsidRPr="004B0B62">
        <w:t>odnotowuje</w:t>
      </w:r>
      <w:proofErr w:type="gramEnd"/>
      <w:r w:rsidRPr="004B0B62">
        <w:t xml:space="preserve">, że Agencja nie wydaje deklaracji środowiskowej ani nie wdrożyła systemu </w:t>
      </w:r>
      <w:proofErr w:type="spellStart"/>
      <w:r w:rsidRPr="004B0B62">
        <w:t>ekozarządzania</w:t>
      </w:r>
      <w:proofErr w:type="spellEnd"/>
      <w:r w:rsidRPr="004B0B62">
        <w:t xml:space="preserve"> i audytu (EMAS); zachęca ją do składania sprawozdań na temat jej efektywności klimatycznej, energetycznej i środowiskowej, a ponadto do wprowadzenia EMAS;</w:t>
      </w:r>
    </w:p>
    <w:p w:rsidR="00184E8F" w:rsidRPr="004B0B62" w:rsidRDefault="00184E8F" w:rsidP="00184E8F">
      <w:pPr>
        <w:pStyle w:val="NormalCenter12a"/>
      </w:pPr>
      <w:r w:rsidRPr="004B0B62">
        <w:t>°</w:t>
      </w:r>
    </w:p>
    <w:p w:rsidR="00184E8F" w:rsidRPr="004B0B62" w:rsidRDefault="00184E8F" w:rsidP="00184E8F">
      <w:pPr>
        <w:pStyle w:val="NormalCenter12a"/>
      </w:pPr>
      <w:r w:rsidRPr="004B0B62">
        <w:t>°</w:t>
      </w:r>
      <w:r w:rsidRPr="004B0B62">
        <w:tab/>
        <w:t>°</w:t>
      </w:r>
    </w:p>
    <w:p w:rsidR="00E365E1" w:rsidRPr="004B0B62" w:rsidRDefault="00184E8F" w:rsidP="00CC12EF">
      <w:pPr>
        <w:pStyle w:val="NormalHanging12a"/>
        <w:widowControl/>
      </w:pPr>
      <w:r w:rsidRPr="004B0B62">
        <w:t>22.</w:t>
      </w:r>
      <w:r w:rsidRPr="004B0B62">
        <w:tab/>
      </w:r>
      <w:proofErr w:type="gramStart"/>
      <w:r w:rsidRPr="004B0B62">
        <w:t>w</w:t>
      </w:r>
      <w:proofErr w:type="gramEnd"/>
      <w:r w:rsidRPr="004B0B62">
        <w:t xml:space="preserve"> odniesieniu do innych uwag towarzyszących decyzji w sprawie absolutorium, które mają charakter przekrojowy, odsyła do swojej rezolucji z </w:t>
      </w:r>
      <w:r w:rsidR="00327596">
        <w:t>11 kwietnia 2024 r.</w:t>
      </w:r>
      <w:r w:rsidRPr="004B0B62">
        <w:rPr>
          <w:vertAlign w:val="superscript"/>
        </w:rPr>
        <w:footnoteReference w:id="9"/>
      </w:r>
      <w:r w:rsidRPr="004B0B62">
        <w:t xml:space="preserve"> w sprawie wyników, zarządzania finansami i kontroli agencji.</w:t>
      </w:r>
    </w:p>
    <w:sectPr w:rsidR="00E365E1" w:rsidRPr="004B0B62" w:rsidSect="004B0B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CC7" w:rsidRPr="004B0B62" w:rsidRDefault="00B01CC7">
      <w:r w:rsidRPr="004B0B62">
        <w:separator/>
      </w:r>
    </w:p>
  </w:endnote>
  <w:endnote w:type="continuationSeparator" w:id="0">
    <w:p w:rsidR="00B01CC7" w:rsidRPr="004B0B62" w:rsidRDefault="00B01CC7">
      <w:r w:rsidRPr="004B0B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 w:rsidP="007B240C">
    <w:pPr>
      <w:pStyle w:val="EPFooter"/>
    </w:pPr>
    <w:r w:rsidRPr="004B0B62">
      <w:t>PE</w:t>
    </w:r>
    <w:r w:rsidRPr="004B0B62">
      <w:rPr>
        <w:rStyle w:val="HideTWBExt"/>
      </w:rPr>
      <w:t>&lt;</w:t>
    </w:r>
    <w:proofErr w:type="spellStart"/>
    <w:r w:rsidRPr="004B0B62">
      <w:rPr>
        <w:rStyle w:val="HideTWBExt"/>
      </w:rPr>
      <w:t>NoPE</w:t>
    </w:r>
    <w:proofErr w:type="spellEnd"/>
    <w:r w:rsidRPr="004B0B62">
      <w:rPr>
        <w:rStyle w:val="HideTWBExt"/>
      </w:rPr>
      <w:t>&gt;</w:t>
    </w:r>
    <w:r w:rsidRPr="004B0B62">
      <w:t>753.529</w:t>
    </w:r>
    <w:r w:rsidRPr="004B0B62">
      <w:rPr>
        <w:rStyle w:val="HideTWBExt"/>
      </w:rPr>
      <w:t>&lt;/</w:t>
    </w:r>
    <w:proofErr w:type="spellStart"/>
    <w:r w:rsidRPr="004B0B62">
      <w:rPr>
        <w:rStyle w:val="HideTWBExt"/>
      </w:rPr>
      <w:t>NoPE</w:t>
    </w:r>
    <w:proofErr w:type="spellEnd"/>
    <w:r w:rsidRPr="004B0B62">
      <w:rPr>
        <w:rStyle w:val="HideTWBExt"/>
      </w:rPr>
      <w:t>&gt;&lt;Version&gt;</w:t>
    </w:r>
    <w:r w:rsidRPr="004B0B62">
      <w:t>v02-00</w:t>
    </w:r>
    <w:r w:rsidRPr="004B0B62">
      <w:rPr>
        <w:rStyle w:val="HideTWBExt"/>
      </w:rPr>
      <w:t>&lt;/Version&gt;</w:t>
    </w:r>
    <w:r w:rsidRPr="004B0B62">
      <w:tab/>
    </w:r>
    <w:r w:rsidRPr="004B0B62">
      <w:fldChar w:fldCharType="begin"/>
    </w:r>
    <w:r w:rsidRPr="004B0B62">
      <w:instrText xml:space="preserve"> PAGE  \* MERGEFORMAT </w:instrText>
    </w:r>
    <w:r w:rsidRPr="004B0B62">
      <w:fldChar w:fldCharType="separate"/>
    </w:r>
    <w:r w:rsidR="004B0B62" w:rsidRPr="004B0B62">
      <w:rPr>
        <w:noProof/>
      </w:rPr>
      <w:t>2</w:t>
    </w:r>
    <w:r w:rsidRPr="004B0B62">
      <w:fldChar w:fldCharType="end"/>
    </w:r>
    <w:r w:rsidRPr="004B0B62">
      <w:t>/</w:t>
    </w:r>
    <w:r w:rsidR="00491619">
      <w:fldChar w:fldCharType="begin"/>
    </w:r>
    <w:r w:rsidR="00491619">
      <w:instrText xml:space="preserve"> NUMPAGES  \* MERGEFORMAT </w:instrText>
    </w:r>
    <w:r w:rsidR="00491619">
      <w:fldChar w:fldCharType="separate"/>
    </w:r>
    <w:r w:rsidR="004B0B62" w:rsidRPr="004B0B62">
      <w:rPr>
        <w:noProof/>
      </w:rPr>
      <w:t>3</w:t>
    </w:r>
    <w:r w:rsidR="00491619">
      <w:rPr>
        <w:noProof/>
      </w:rPr>
      <w:fldChar w:fldCharType="end"/>
    </w:r>
    <w:r w:rsidRPr="004B0B62">
      <w:tab/>
    </w:r>
    <w:r w:rsidRPr="004B0B62">
      <w:rPr>
        <w:rStyle w:val="HideTWBExt"/>
      </w:rPr>
      <w:t>&lt;PathFdR&gt;</w:t>
    </w:r>
    <w:r w:rsidRPr="004B0B62">
      <w:t>RR\1298833PL.docx</w:t>
    </w:r>
    <w:r w:rsidRPr="004B0B62">
      <w:rPr>
        <w:rStyle w:val="HideTWBExt"/>
      </w:rPr>
      <w:t>&lt;/</w:t>
    </w:r>
    <w:proofErr w:type="spellStart"/>
    <w:r w:rsidRPr="004B0B62">
      <w:rPr>
        <w:rStyle w:val="HideTWBExt"/>
      </w:rPr>
      <w:t>PathFdR</w:t>
    </w:r>
    <w:proofErr w:type="spellEnd"/>
    <w:r w:rsidRPr="004B0B62">
      <w:rPr>
        <w:rStyle w:val="HideTWBExt"/>
      </w:rPr>
      <w:t>&gt;</w:t>
    </w:r>
  </w:p>
  <w:p w:rsidR="00184E8F" w:rsidRPr="004B0B62" w:rsidRDefault="00184E8F" w:rsidP="007B240C">
    <w:pPr>
      <w:pStyle w:val="EPFooter2"/>
    </w:pPr>
    <w:r w:rsidRPr="004B0B62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 w:rsidP="007B240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 w:rsidP="007B240C">
    <w:pPr>
      <w:pStyle w:val="EPFooter"/>
    </w:pPr>
    <w:r w:rsidRPr="004B0B62">
      <w:rPr>
        <w:rStyle w:val="HideTWBExt"/>
      </w:rPr>
      <w:t>&lt;PathFdR&gt;</w:t>
    </w:r>
    <w:r w:rsidRPr="004B0B62">
      <w:t>RR\1298833PL.docx</w:t>
    </w:r>
    <w:r w:rsidRPr="004B0B62">
      <w:rPr>
        <w:rStyle w:val="HideTWBExt"/>
      </w:rPr>
      <w:t>&lt;/</w:t>
    </w:r>
    <w:proofErr w:type="spellStart"/>
    <w:r w:rsidRPr="004B0B62">
      <w:rPr>
        <w:rStyle w:val="HideTWBExt"/>
      </w:rPr>
      <w:t>PathFdR</w:t>
    </w:r>
    <w:proofErr w:type="spellEnd"/>
    <w:r w:rsidRPr="004B0B62">
      <w:rPr>
        <w:rStyle w:val="HideTWBExt"/>
      </w:rPr>
      <w:t>&gt;</w:t>
    </w:r>
    <w:r w:rsidRPr="004B0B62">
      <w:tab/>
    </w:r>
    <w:r w:rsidRPr="004B0B62">
      <w:tab/>
      <w:t>PE</w:t>
    </w:r>
    <w:r w:rsidRPr="004B0B62">
      <w:rPr>
        <w:rStyle w:val="HideTWBExt"/>
      </w:rPr>
      <w:t>&lt;</w:t>
    </w:r>
    <w:proofErr w:type="spellStart"/>
    <w:r w:rsidRPr="004B0B62">
      <w:rPr>
        <w:rStyle w:val="HideTWBExt"/>
      </w:rPr>
      <w:t>NoPE</w:t>
    </w:r>
    <w:proofErr w:type="spellEnd"/>
    <w:r w:rsidRPr="004B0B62">
      <w:rPr>
        <w:rStyle w:val="HideTWBExt"/>
      </w:rPr>
      <w:t>&gt;</w:t>
    </w:r>
    <w:r w:rsidRPr="004B0B62">
      <w:t>753.529</w:t>
    </w:r>
    <w:r w:rsidRPr="004B0B62">
      <w:rPr>
        <w:rStyle w:val="HideTWBExt"/>
      </w:rPr>
      <w:t>&lt;/</w:t>
    </w:r>
    <w:proofErr w:type="spellStart"/>
    <w:r w:rsidRPr="004B0B62">
      <w:rPr>
        <w:rStyle w:val="HideTWBExt"/>
      </w:rPr>
      <w:t>NoPE</w:t>
    </w:r>
    <w:proofErr w:type="spellEnd"/>
    <w:r w:rsidRPr="004B0B62">
      <w:rPr>
        <w:rStyle w:val="HideTWBExt"/>
      </w:rPr>
      <w:t>&gt;&lt;Version&gt;</w:t>
    </w:r>
    <w:r w:rsidRPr="004B0B62">
      <w:t>v02-00</w:t>
    </w:r>
    <w:r w:rsidRPr="004B0B62">
      <w:rPr>
        <w:rStyle w:val="HideTWBExt"/>
      </w:rPr>
      <w:t>&lt;/Version&gt;</w:t>
    </w:r>
  </w:p>
  <w:p w:rsidR="00184E8F" w:rsidRPr="004B0B62" w:rsidRDefault="00184E8F" w:rsidP="007B240C">
    <w:pPr>
      <w:pStyle w:val="EPFooter2"/>
    </w:pPr>
    <w:r w:rsidRPr="004B0B62">
      <w:t>PL</w:t>
    </w:r>
    <w:r w:rsidRPr="004B0B62">
      <w:tab/>
    </w:r>
    <w:r w:rsidRPr="004B0B62">
      <w:rPr>
        <w:b w:val="0"/>
        <w:i/>
        <w:color w:val="C0C0C0"/>
        <w:sz w:val="22"/>
      </w:rPr>
      <w:t>Zjednoczona w różnorodności</w:t>
    </w:r>
    <w:r w:rsidRPr="004B0B62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CC7" w:rsidRPr="004B0B62" w:rsidRDefault="00B01CC7">
      <w:r w:rsidRPr="004B0B62">
        <w:separator/>
      </w:r>
    </w:p>
  </w:footnote>
  <w:footnote w:type="continuationSeparator" w:id="0">
    <w:p w:rsidR="00B01CC7" w:rsidRPr="004B0B62" w:rsidRDefault="00B01CC7">
      <w:r w:rsidRPr="004B0B62">
        <w:continuationSeparator/>
      </w:r>
    </w:p>
  </w:footnote>
  <w:footnote w:id="1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>Dz.U. C, C/2023/594 z 27.10.2023.</w:t>
      </w:r>
    </w:p>
  </w:footnote>
  <w:footnote w:id="2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>Dz.U. C, C/2023/112 z 12.10.2023.</w:t>
      </w:r>
    </w:p>
  </w:footnote>
  <w:footnote w:id="3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 xml:space="preserve">Dz.U. L 193 z 30.7.2018, </w:t>
      </w:r>
      <w:proofErr w:type="gramStart"/>
      <w:r w:rsidRPr="004B0B62">
        <w:rPr>
          <w:sz w:val="24"/>
          <w:lang w:val="pl-PL"/>
        </w:rPr>
        <w:t>s</w:t>
      </w:r>
      <w:proofErr w:type="gramEnd"/>
      <w:r w:rsidRPr="004B0B62">
        <w:rPr>
          <w:sz w:val="24"/>
          <w:lang w:val="pl-PL"/>
        </w:rPr>
        <w:t>. 1.</w:t>
      </w:r>
    </w:p>
  </w:footnote>
  <w:footnote w:id="4">
    <w:p w:rsidR="00184E8F" w:rsidRPr="004B0B62" w:rsidRDefault="00184E8F" w:rsidP="004B0B62">
      <w:pPr>
        <w:pStyle w:val="FootnoteText"/>
        <w:ind w:left="567" w:hanging="567"/>
        <w:rPr>
          <w:sz w:val="24"/>
          <w:szCs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 xml:space="preserve">Dz.U. L 41 z 15.2.2008, </w:t>
      </w:r>
      <w:proofErr w:type="gramStart"/>
      <w:r w:rsidRPr="004B0B62">
        <w:rPr>
          <w:sz w:val="24"/>
          <w:lang w:val="pl-PL"/>
        </w:rPr>
        <w:t>s</w:t>
      </w:r>
      <w:proofErr w:type="gramEnd"/>
      <w:r w:rsidRPr="004B0B62">
        <w:rPr>
          <w:sz w:val="24"/>
          <w:lang w:val="pl-PL"/>
        </w:rPr>
        <w:t>. 15.</w:t>
      </w:r>
    </w:p>
  </w:footnote>
  <w:footnote w:id="5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>Dz.U. C, C/2023/594, 27.10.2023.</w:t>
      </w:r>
    </w:p>
  </w:footnote>
  <w:footnote w:id="6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>Dz.U. C, C/2023/112, 12.10.2023.</w:t>
      </w:r>
    </w:p>
  </w:footnote>
  <w:footnote w:id="7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 xml:space="preserve">Dz.U. L 193 z 30.7.2018, </w:t>
      </w:r>
      <w:proofErr w:type="gramStart"/>
      <w:r w:rsidRPr="004B0B62">
        <w:rPr>
          <w:sz w:val="24"/>
          <w:lang w:val="pl-PL"/>
        </w:rPr>
        <w:t>s</w:t>
      </w:r>
      <w:proofErr w:type="gramEnd"/>
      <w:r w:rsidRPr="004B0B62">
        <w:rPr>
          <w:sz w:val="24"/>
          <w:lang w:val="pl-PL"/>
        </w:rPr>
        <w:t>. 1.</w:t>
      </w:r>
    </w:p>
  </w:footnote>
  <w:footnote w:id="8">
    <w:p w:rsidR="00184E8F" w:rsidRPr="004B0B62" w:rsidRDefault="00184E8F" w:rsidP="004B0B62">
      <w:pPr>
        <w:pStyle w:val="FootnoteText"/>
        <w:ind w:left="567" w:hanging="567"/>
        <w:rPr>
          <w:sz w:val="24"/>
          <w:szCs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 xml:space="preserve">Dz.U. L 41 z 15.2.2008, </w:t>
      </w:r>
      <w:proofErr w:type="gramStart"/>
      <w:r w:rsidRPr="004B0B62">
        <w:rPr>
          <w:sz w:val="24"/>
          <w:lang w:val="pl-PL"/>
        </w:rPr>
        <w:t>s</w:t>
      </w:r>
      <w:proofErr w:type="gramEnd"/>
      <w:r w:rsidRPr="004B0B62">
        <w:rPr>
          <w:sz w:val="24"/>
          <w:lang w:val="pl-PL"/>
        </w:rPr>
        <w:t>. 15.</w:t>
      </w:r>
    </w:p>
  </w:footnote>
  <w:footnote w:id="9">
    <w:p w:rsidR="00184E8F" w:rsidRPr="004B0B62" w:rsidRDefault="00184E8F" w:rsidP="004B0B62">
      <w:pPr>
        <w:pStyle w:val="FootnoteText"/>
        <w:ind w:left="567" w:hanging="567"/>
        <w:rPr>
          <w:sz w:val="24"/>
          <w:lang w:val="pl-PL"/>
        </w:rPr>
      </w:pPr>
      <w:r w:rsidRPr="004B0B62">
        <w:rPr>
          <w:rStyle w:val="FootnoteReference"/>
          <w:sz w:val="24"/>
          <w:lang w:val="pl-PL"/>
        </w:rPr>
        <w:footnoteRef/>
      </w:r>
      <w:r w:rsidR="004B0B62" w:rsidRPr="004B0B62">
        <w:rPr>
          <w:sz w:val="24"/>
          <w:lang w:val="pl-PL"/>
        </w:rPr>
        <w:t xml:space="preserve"> </w:t>
      </w:r>
      <w:r w:rsidR="004B0B62" w:rsidRPr="004B0B62">
        <w:rPr>
          <w:sz w:val="24"/>
          <w:lang w:val="pl-PL"/>
        </w:rPr>
        <w:tab/>
      </w:r>
      <w:r w:rsidRPr="004B0B62">
        <w:rPr>
          <w:sz w:val="24"/>
          <w:lang w:val="pl-PL"/>
        </w:rPr>
        <w:t>Teksty przyjęte, P9_TA(2024)0</w:t>
      </w:r>
      <w:r w:rsidR="00327596">
        <w:rPr>
          <w:sz w:val="24"/>
          <w:lang w:val="pl-PL"/>
        </w:rPr>
        <w:t>280</w:t>
      </w:r>
      <w:r w:rsidRPr="004B0B62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8F" w:rsidRPr="004B0B62" w:rsidRDefault="00184E8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0B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8/2024"/>
    <w:docVar w:name="dvlangue" w:val="PL"/>
    <w:docVar w:name="dvnumam" w:val="0"/>
    <w:docVar w:name="dvpe" w:val="753.529"/>
    <w:docVar w:name="dvrapporteur" w:val="Sprawozdawca: "/>
    <w:docVar w:name="dvtitre" w:val="Decyzja Parlamentu Europejskiego z dnia  2024 r. w sprawie absolutorium z wykonania budżetu Agencji Dostaw Euratomu za rok budżetowy 2022(2023/2161(DEC))"/>
  </w:docVars>
  <w:rsids>
    <w:rsidRoot w:val="00B01CC7"/>
    <w:rsid w:val="00002272"/>
    <w:rsid w:val="00064002"/>
    <w:rsid w:val="000677B9"/>
    <w:rsid w:val="000831BA"/>
    <w:rsid w:val="000A42CC"/>
    <w:rsid w:val="000E7DD9"/>
    <w:rsid w:val="0010095E"/>
    <w:rsid w:val="00125B37"/>
    <w:rsid w:val="00184E8F"/>
    <w:rsid w:val="00187494"/>
    <w:rsid w:val="001F32AE"/>
    <w:rsid w:val="002767FF"/>
    <w:rsid w:val="002B18FE"/>
    <w:rsid w:val="002B5493"/>
    <w:rsid w:val="003275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619"/>
    <w:rsid w:val="00494A28"/>
    <w:rsid w:val="004B0B6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CC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2E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74D4E"/>
  <w15:chartTrackingRefBased/>
  <w15:docId w15:val="{5A20F98E-1922-416F-9419-5CA8A11F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84E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84E8F"/>
    <w:pPr>
      <w:spacing w:before="480" w:after="240"/>
    </w:pPr>
  </w:style>
  <w:style w:type="paragraph" w:customStyle="1" w:styleId="PageHeading">
    <w:name w:val="PageHeading"/>
    <w:basedOn w:val="Normal"/>
    <w:rsid w:val="00184E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84E8F"/>
    <w:rPr>
      <w:b/>
    </w:rPr>
  </w:style>
  <w:style w:type="paragraph" w:customStyle="1" w:styleId="NormalHanging12a">
    <w:name w:val="NormalHanging12a"/>
    <w:basedOn w:val="Normal"/>
    <w:link w:val="NormalHanging12aChar"/>
    <w:rsid w:val="00184E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84E8F"/>
    <w:pPr>
      <w:spacing w:after="240"/>
      <w:jc w:val="center"/>
    </w:pPr>
  </w:style>
  <w:style w:type="paragraph" w:styleId="Header">
    <w:name w:val="header"/>
    <w:basedOn w:val="Normal"/>
    <w:link w:val="HeaderChar"/>
    <w:rsid w:val="00184E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4E8F"/>
    <w:rPr>
      <w:sz w:val="24"/>
      <w:lang w:val="pl-PL"/>
    </w:rPr>
  </w:style>
  <w:style w:type="paragraph" w:customStyle="1" w:styleId="EPFooter">
    <w:name w:val="EPFooter"/>
    <w:basedOn w:val="Normal"/>
    <w:rsid w:val="00184E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184E8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27E48-DA54-4A66-A691-F24BFD54E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2119</Words>
  <Characters>14102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2024-04-11T13:38:00Z</dcterms:created>
  <dcterms:modified xsi:type="dcterms:W3CDTF">2024-04-11T13:38:00Z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A9-0108/2024</vt:lpwstr>
  </property>
  <property fmtid="{D5CDD505-2E9C-101B-9397-08002B2CF9AE}" pid="4" name="&lt;Type&gt;">
    <vt:lpwstr>RR</vt:lpwstr>
  </property>
</Properties>
</file>