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583" w:rsidTr="0010095E">
        <w:trPr>
          <w:trHeight w:hRule="exact" w:val="1418"/>
        </w:trPr>
        <w:tc>
          <w:tcPr>
            <w:tcW w:w="6804" w:type="dxa"/>
            <w:shd w:val="clear" w:color="auto" w:fill="auto"/>
            <w:vAlign w:val="center"/>
          </w:tcPr>
          <w:p w:rsidR="00751A4A" w:rsidRPr="00607583" w:rsidRDefault="00FC6A3D" w:rsidP="0010095E">
            <w:pPr>
              <w:pStyle w:val="EPName"/>
            </w:pPr>
            <w:r w:rsidRPr="00607583">
              <w:t>Parlamentul European</w:t>
            </w:r>
          </w:p>
          <w:p w:rsidR="00751A4A" w:rsidRPr="00607583" w:rsidRDefault="00817416" w:rsidP="00756632">
            <w:pPr>
              <w:pStyle w:val="EPTerm"/>
              <w:rPr>
                <w:rStyle w:val="HideTWBExt"/>
                <w:noProof w:val="0"/>
                <w:vanish w:val="0"/>
                <w:color w:val="auto"/>
              </w:rPr>
            </w:pPr>
            <w:r w:rsidRPr="00607583">
              <w:t>2019-2024</w:t>
            </w:r>
          </w:p>
        </w:tc>
        <w:tc>
          <w:tcPr>
            <w:tcW w:w="2268" w:type="dxa"/>
            <w:shd w:val="clear" w:color="auto" w:fill="auto"/>
          </w:tcPr>
          <w:p w:rsidR="00751A4A" w:rsidRPr="00607583" w:rsidRDefault="00187494" w:rsidP="0010095E">
            <w:pPr>
              <w:pStyle w:val="EPLogo"/>
            </w:pPr>
            <w:r w:rsidRPr="006075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583" w:rsidRDefault="00D058B8" w:rsidP="004C5D52">
      <w:pPr>
        <w:pStyle w:val="LineTop"/>
      </w:pPr>
    </w:p>
    <w:p w:rsidR="00680577" w:rsidRPr="00607583" w:rsidRDefault="00FC6A3D" w:rsidP="00680577">
      <w:pPr>
        <w:pStyle w:val="EPBodyTA1"/>
      </w:pPr>
      <w:r w:rsidRPr="00607583">
        <w:t>TEXTE ADOPTATE</w:t>
      </w:r>
    </w:p>
    <w:p w:rsidR="00D058B8" w:rsidRPr="00607583" w:rsidRDefault="00D058B8" w:rsidP="00D058B8">
      <w:pPr>
        <w:pStyle w:val="LineBottom"/>
      </w:pPr>
    </w:p>
    <w:p w:rsidR="00FC6A3D" w:rsidRPr="00607583" w:rsidRDefault="00FC6A3D" w:rsidP="00FC6A3D">
      <w:pPr>
        <w:pStyle w:val="ATHeading1"/>
      </w:pPr>
      <w:bookmarkStart w:id="0" w:name="TANumber"/>
      <w:r w:rsidRPr="00607583">
        <w:t>P9_TA(2024)</w:t>
      </w:r>
      <w:bookmarkEnd w:id="0"/>
      <w:r w:rsidR="006F1593" w:rsidRPr="00607583">
        <w:t>0</w:t>
      </w:r>
      <w:r w:rsidR="006F1593" w:rsidRPr="00607583">
        <w:t>259</w:t>
      </w:r>
    </w:p>
    <w:p w:rsidR="00FC6A3D" w:rsidRPr="00607583" w:rsidRDefault="00FC6A3D" w:rsidP="00FC6A3D">
      <w:pPr>
        <w:pStyle w:val="ATHeading2"/>
      </w:pPr>
      <w:bookmarkStart w:id="1" w:name="title"/>
      <w:r w:rsidRPr="00607583">
        <w:t>Descărcarea de gestiune 2022: Agenția de Aprovizionare a Euratom</w:t>
      </w:r>
      <w:bookmarkEnd w:id="1"/>
    </w:p>
    <w:p w:rsidR="00FC6A3D" w:rsidRPr="00607583" w:rsidRDefault="00FC6A3D" w:rsidP="00FC6A3D">
      <w:pPr>
        <w:rPr>
          <w:i/>
          <w:vanish/>
        </w:rPr>
      </w:pPr>
      <w:r w:rsidRPr="00607583">
        <w:rPr>
          <w:i/>
        </w:rPr>
        <w:fldChar w:fldCharType="begin"/>
      </w:r>
      <w:r w:rsidRPr="00607583">
        <w:rPr>
          <w:i/>
        </w:rPr>
        <w:instrText xml:space="preserve"> TC"(</w:instrText>
      </w:r>
      <w:bookmarkStart w:id="2" w:name="DocNumber"/>
      <w:r w:rsidRPr="00607583">
        <w:rPr>
          <w:i/>
        </w:rPr>
        <w:instrText>A9-0108/2024</w:instrText>
      </w:r>
      <w:bookmarkEnd w:id="2"/>
      <w:r w:rsidRPr="00607583">
        <w:rPr>
          <w:i/>
        </w:rPr>
        <w:instrText xml:space="preserve"> - Raportor: Petri </w:instrText>
      </w:r>
      <w:proofErr w:type="spellStart"/>
      <w:r w:rsidRPr="00607583">
        <w:rPr>
          <w:i/>
        </w:rPr>
        <w:instrText>Sarvamaa</w:instrText>
      </w:r>
      <w:proofErr w:type="spellEnd"/>
      <w:r w:rsidRPr="00607583">
        <w:rPr>
          <w:i/>
        </w:rPr>
        <w:instrText xml:space="preserve">)"\l3 \n&gt; \* MERGEFORMAT </w:instrText>
      </w:r>
      <w:r w:rsidRPr="00607583">
        <w:rPr>
          <w:i/>
        </w:rPr>
        <w:fldChar w:fldCharType="end"/>
      </w:r>
    </w:p>
    <w:p w:rsidR="00FC6A3D" w:rsidRPr="00607583" w:rsidRDefault="00FC6A3D" w:rsidP="00FC6A3D">
      <w:pPr>
        <w:rPr>
          <w:vanish/>
        </w:rPr>
      </w:pPr>
      <w:bookmarkStart w:id="3" w:name="Commission"/>
      <w:r w:rsidRPr="00607583">
        <w:rPr>
          <w:vanish/>
        </w:rPr>
        <w:t>Comisia pentru control bugetar</w:t>
      </w:r>
      <w:bookmarkEnd w:id="3"/>
    </w:p>
    <w:p w:rsidR="00FC6A3D" w:rsidRPr="00607583" w:rsidRDefault="00FC6A3D" w:rsidP="00FC6A3D">
      <w:pPr>
        <w:rPr>
          <w:vanish/>
        </w:rPr>
      </w:pPr>
      <w:bookmarkStart w:id="4" w:name="PE"/>
      <w:r w:rsidRPr="00607583">
        <w:rPr>
          <w:vanish/>
        </w:rPr>
        <w:t>PE753.529</w:t>
      </w:r>
      <w:bookmarkEnd w:id="4"/>
    </w:p>
    <w:p w:rsidR="00FC6A3D" w:rsidRPr="00607583" w:rsidRDefault="00FC6A3D" w:rsidP="0051479B">
      <w:pPr>
        <w:pStyle w:val="ATHeading3"/>
      </w:pPr>
      <w:bookmarkStart w:id="5" w:name="Sujet"/>
      <w:r w:rsidRPr="00607583">
        <w:t>1. Decizia Parlamentului European din 11 aprilie 2024 privind descărcarea de gestiune pentru execuția bugetului Agenției d</w:t>
      </w:r>
      <w:bookmarkStart w:id="6" w:name="_GoBack"/>
      <w:bookmarkEnd w:id="6"/>
      <w:r w:rsidRPr="00607583">
        <w:t>e Aprovizionare a Euratom aferent exercițiului financiar 2022</w:t>
      </w:r>
      <w:bookmarkEnd w:id="5"/>
      <w:r w:rsidRPr="00607583">
        <w:t xml:space="preserve"> </w:t>
      </w:r>
      <w:bookmarkStart w:id="7" w:name="References"/>
      <w:r w:rsidRPr="00607583">
        <w:t>(2023/2161(DEC))</w:t>
      </w:r>
      <w:bookmarkEnd w:id="7"/>
    </w:p>
    <w:p w:rsidR="00CD46BC" w:rsidRPr="00607583" w:rsidRDefault="00CD46BC" w:rsidP="00CD46BC">
      <w:pPr>
        <w:pStyle w:val="EPComma"/>
      </w:pPr>
      <w:bookmarkStart w:id="8" w:name="TextBodyBegin"/>
      <w:bookmarkEnd w:id="8"/>
      <w:r w:rsidRPr="00607583">
        <w:rPr>
          <w:i/>
          <w:iCs/>
        </w:rPr>
        <w:t>Parlamentul European</w:t>
      </w:r>
      <w:r w:rsidRPr="00607583">
        <w:t>,</w:t>
      </w:r>
    </w:p>
    <w:p w:rsidR="00CD46BC" w:rsidRPr="00607583" w:rsidRDefault="00CD46BC" w:rsidP="00CD46BC">
      <w:pPr>
        <w:pStyle w:val="NormalHanging12a"/>
      </w:pPr>
      <w:r w:rsidRPr="00607583">
        <w:t>–</w:t>
      </w:r>
      <w:r w:rsidRPr="00607583">
        <w:tab/>
        <w:t>având în vedere conturile anuale finale ale Agenției de Aprovizionare a Euratom pentru exercițiul financiar 2022,</w:t>
      </w:r>
    </w:p>
    <w:p w:rsidR="00CD46BC" w:rsidRPr="00607583" w:rsidRDefault="00CD46BC" w:rsidP="00CD46BC">
      <w:pPr>
        <w:pStyle w:val="NormalHanging12a"/>
      </w:pPr>
      <w:r w:rsidRPr="00607583">
        <w:t>–</w:t>
      </w:r>
      <w:r w:rsidRPr="00607583">
        <w:tab/>
        <w:t>având în vedere Raportul anual al Curții de Conturi privind agențiile UE pentru exercițiul financiar 2022, însoțit de răspunsurile agențiilor</w:t>
      </w:r>
      <w:r w:rsidRPr="00607583">
        <w:rPr>
          <w:rStyle w:val="FootnoteReference"/>
        </w:rPr>
        <w:footnoteReference w:id="1"/>
      </w:r>
      <w:r w:rsidRPr="00607583">
        <w:t>,</w:t>
      </w:r>
    </w:p>
    <w:p w:rsidR="00CD46BC" w:rsidRPr="00607583" w:rsidRDefault="00CD46BC" w:rsidP="00CD46BC">
      <w:pPr>
        <w:pStyle w:val="NormalHanging12a"/>
      </w:pPr>
      <w:r w:rsidRPr="00607583">
        <w:t>–</w:t>
      </w:r>
      <w:r w:rsidRPr="00607583">
        <w:tab/>
        <w:t>având în vedere declarația de asigurare</w:t>
      </w:r>
      <w:r w:rsidRPr="00607583">
        <w:rPr>
          <w:rStyle w:val="FootnoteReference"/>
        </w:rPr>
        <w:footnoteReference w:id="2"/>
      </w:r>
      <w:r w:rsidRPr="00607583">
        <w:t xml:space="preserve"> privind fiabilitatea conturilor și legalitatea și regularitatea operațiunilor subiacente întocmită de Curtea de Conturi pentru exercițiul 2022 în temeiul articolului 287 din Tratatul privind funcționarea Uniunii Europene,</w:t>
      </w:r>
    </w:p>
    <w:p w:rsidR="00CD46BC" w:rsidRPr="00607583" w:rsidRDefault="00CD46BC" w:rsidP="00CD46BC">
      <w:pPr>
        <w:pStyle w:val="NormalHanging12a"/>
      </w:pPr>
      <w:r w:rsidRPr="00607583">
        <w:t>–</w:t>
      </w:r>
      <w:r w:rsidRPr="00607583">
        <w:tab/>
        <w:t>având în vedere Recomandarea Consiliului din 22 februarie 2024 privind descărcarea de gestiune a Agenției în ceea ce privește execuția bugetară pentru exercițiul financiar 2022 (</w:t>
      </w:r>
      <w:r w:rsidR="00777DAC" w:rsidRPr="00607583">
        <w:t>06180/2024 – C9</w:t>
      </w:r>
      <w:r w:rsidR="00777DAC" w:rsidRPr="00607583">
        <w:noBreakHyphen/>
        <w:t>0099/2024</w:t>
      </w:r>
      <w:r w:rsidRPr="00607583">
        <w:t>),</w:t>
      </w:r>
    </w:p>
    <w:p w:rsidR="00CD46BC" w:rsidRPr="00607583" w:rsidRDefault="00CD46BC" w:rsidP="00CD46BC">
      <w:pPr>
        <w:pStyle w:val="NormalHanging12a"/>
      </w:pPr>
      <w:r w:rsidRPr="00607583">
        <w:t>–</w:t>
      </w:r>
      <w:r w:rsidRPr="00607583">
        <w:tab/>
        <w:t>având în vedere articolul 319 din Tratatul privind funcționarea Uniunii Europene,</w:t>
      </w:r>
    </w:p>
    <w:p w:rsidR="00CD46BC" w:rsidRPr="00607583" w:rsidRDefault="00CD46BC" w:rsidP="00CD46BC">
      <w:pPr>
        <w:pStyle w:val="NormalHanging12a"/>
      </w:pPr>
      <w:r w:rsidRPr="00607583">
        <w:t>–</w:t>
      </w:r>
      <w:r w:rsidRPr="00607583">
        <w:tab/>
        <w:t>având în vedere articolul 106a din Tratatul de instituire a Comunității Europene a Energiei Atomice,</w:t>
      </w:r>
    </w:p>
    <w:p w:rsidR="00CD46BC" w:rsidRPr="00607583" w:rsidRDefault="00CD46BC" w:rsidP="00CD46BC">
      <w:pPr>
        <w:pStyle w:val="NormalHanging12a"/>
      </w:pPr>
      <w:r w:rsidRPr="00607583">
        <w:t>–</w:t>
      </w:r>
      <w:r w:rsidRPr="00607583">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07583">
        <w:rPr>
          <w:rStyle w:val="FootnoteReference"/>
        </w:rPr>
        <w:footnoteReference w:id="3"/>
      </w:r>
      <w:r w:rsidRPr="00607583">
        <w:t>, în special articolul 68,</w:t>
      </w:r>
    </w:p>
    <w:p w:rsidR="00CD46BC" w:rsidRPr="00607583" w:rsidRDefault="00CD46BC" w:rsidP="00CD46BC">
      <w:pPr>
        <w:pStyle w:val="NormalHanging12a"/>
      </w:pPr>
      <w:r w:rsidRPr="00607583">
        <w:lastRenderedPageBreak/>
        <w:t>–</w:t>
      </w:r>
      <w:r w:rsidRPr="00607583">
        <w:tab/>
        <w:t>având în vedere Decizia 2008/114/CE, Euratom a Consiliului din 12 februarie 2008 de stabilire a Statutului Agenției de aprovizionare a Euratom</w:t>
      </w:r>
      <w:r w:rsidRPr="00607583">
        <w:rPr>
          <w:rStyle w:val="FootnoteReference"/>
        </w:rPr>
        <w:footnoteReference w:id="4"/>
      </w:r>
      <w:r w:rsidRPr="00607583">
        <w:t>, în special articolul 8 din anexa la această decizie,</w:t>
      </w:r>
    </w:p>
    <w:p w:rsidR="00CD46BC" w:rsidRPr="00607583" w:rsidRDefault="00CD46BC" w:rsidP="00CD46BC">
      <w:pPr>
        <w:pStyle w:val="NormalHanging12a"/>
      </w:pPr>
      <w:r w:rsidRPr="00607583">
        <w:t>–</w:t>
      </w:r>
      <w:r w:rsidRPr="00607583">
        <w:tab/>
        <w:t>având în vedere articolul 100 și anexa V la Regulamentul său de procedură,</w:t>
      </w:r>
    </w:p>
    <w:p w:rsidR="00CD46BC" w:rsidRPr="00607583" w:rsidRDefault="00CD46BC" w:rsidP="00CD46BC">
      <w:pPr>
        <w:pStyle w:val="NormalHanging12a"/>
      </w:pPr>
      <w:r w:rsidRPr="00607583">
        <w:t>–</w:t>
      </w:r>
      <w:r w:rsidRPr="00607583">
        <w:tab/>
        <w:t>având în vedere raportul Comisiei pentru control bugetar (A9-0108/2024),</w:t>
      </w:r>
    </w:p>
    <w:p w:rsidR="00CD46BC" w:rsidRPr="00607583" w:rsidRDefault="00CD46BC" w:rsidP="00CD46BC">
      <w:pPr>
        <w:pStyle w:val="NormalHanging12a"/>
      </w:pPr>
      <w:r w:rsidRPr="00607583">
        <w:t>1.</w:t>
      </w:r>
      <w:r w:rsidRPr="00607583">
        <w:tab/>
        <w:t>acordă direct</w:t>
      </w:r>
      <w:r w:rsidR="0051479B" w:rsidRPr="00607583">
        <w:t>orului</w:t>
      </w:r>
      <w:r w:rsidRPr="00607583">
        <w:t xml:space="preserve"> general interimar a</w:t>
      </w:r>
      <w:r w:rsidR="0051479B" w:rsidRPr="00607583">
        <w:t>l</w:t>
      </w:r>
      <w:r w:rsidRPr="00607583">
        <w:t xml:space="preserve"> Agenției de Aprovizionare a Euratom descărcarea de gestiune pentru execuția bugetului Agenției aferent exercițiului financiar 2022;</w:t>
      </w:r>
    </w:p>
    <w:p w:rsidR="00CD46BC" w:rsidRPr="00607583" w:rsidRDefault="00CD46BC" w:rsidP="00CD46BC">
      <w:pPr>
        <w:pStyle w:val="NormalHanging12a"/>
      </w:pPr>
      <w:r w:rsidRPr="00607583">
        <w:t>2.</w:t>
      </w:r>
      <w:r w:rsidRPr="00607583">
        <w:tab/>
        <w:t>își prezintă observațiile în rezoluția de mai jos;</w:t>
      </w:r>
    </w:p>
    <w:p w:rsidR="00CD46BC" w:rsidRPr="00607583" w:rsidRDefault="00CD46BC" w:rsidP="00CD46BC">
      <w:pPr>
        <w:pStyle w:val="NormalHanging12a"/>
      </w:pPr>
      <w:r w:rsidRPr="00607583">
        <w:t>3.</w:t>
      </w:r>
      <w:r w:rsidRPr="00607583">
        <w:tab/>
        <w:t xml:space="preserve">încredințează Președintei sarcina de a transmite prezenta decizie împreună cu rezoluția Parlamentului, ca parte integrantă a acesteia, </w:t>
      </w:r>
      <w:r w:rsidR="0051479B" w:rsidRPr="00607583">
        <w:t xml:space="preserve">directorului general interimar al Agenției </w:t>
      </w:r>
      <w:r w:rsidRPr="00607583">
        <w:t xml:space="preserve">de Aprovizionare a Euratom, Consiliului, Comisiei și Curții de Conturi și de a asigura publicarea acestora în </w:t>
      </w:r>
      <w:r w:rsidRPr="00607583">
        <w:rPr>
          <w:i/>
        </w:rPr>
        <w:t>Jurnalul Oficial al Uniunii Europene</w:t>
      </w:r>
      <w:r w:rsidRPr="00607583">
        <w:t xml:space="preserve"> (seria L).</w:t>
      </w:r>
    </w:p>
    <w:p w:rsidR="00CD46BC" w:rsidRPr="00607583" w:rsidRDefault="00CD46BC" w:rsidP="00CD46BC"/>
    <w:p w:rsidR="00CD46BC" w:rsidRPr="00607583" w:rsidRDefault="00CD46BC" w:rsidP="00CD46BC">
      <w:pPr>
        <w:widowControl/>
        <w:rPr>
          <w:rFonts w:ascii="Arial" w:hAnsi="Arial" w:cs="Arial"/>
          <w:b/>
        </w:rPr>
        <w:sectPr w:rsidR="00CD46BC" w:rsidRPr="00607583" w:rsidSect="000C125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D46BC" w:rsidRPr="00607583" w:rsidRDefault="00E96E30" w:rsidP="0051479B">
      <w:pPr>
        <w:pStyle w:val="ATHeading3"/>
      </w:pPr>
      <w:r w:rsidRPr="00607583">
        <w:lastRenderedPageBreak/>
        <w:t xml:space="preserve">2. Decizia Parlamentului European din 11 aprilie 2024 </w:t>
      </w:r>
      <w:r w:rsidR="00CD46BC" w:rsidRPr="00607583">
        <w:t>privind închiderea conturilor Agenției de Aprovizionare a Euratom pentru exercițiul financiar</w:t>
      </w:r>
      <w:r w:rsidR="0051479B" w:rsidRPr="00607583">
        <w:t> </w:t>
      </w:r>
      <w:r w:rsidR="00CD46BC" w:rsidRPr="00607583">
        <w:t>2022</w:t>
      </w:r>
      <w:r w:rsidR="0051479B" w:rsidRPr="00607583">
        <w:t xml:space="preserve"> </w:t>
      </w:r>
      <w:r w:rsidR="00CD46BC" w:rsidRPr="00607583">
        <w:t>(2023/2161(DEC))</w:t>
      </w:r>
    </w:p>
    <w:p w:rsidR="00CD46BC" w:rsidRPr="00607583" w:rsidRDefault="00CD46BC" w:rsidP="00CD46BC">
      <w:pPr>
        <w:pStyle w:val="EPComma"/>
      </w:pPr>
      <w:r w:rsidRPr="00607583">
        <w:rPr>
          <w:i/>
          <w:iCs/>
        </w:rPr>
        <w:t>Parlamentul European</w:t>
      </w:r>
      <w:r w:rsidRPr="00607583">
        <w:t>,</w:t>
      </w:r>
    </w:p>
    <w:p w:rsidR="00CD46BC" w:rsidRPr="00607583" w:rsidRDefault="00CD46BC" w:rsidP="00CD46BC">
      <w:pPr>
        <w:pStyle w:val="NormalHanging12a"/>
      </w:pPr>
      <w:r w:rsidRPr="00607583">
        <w:t>–</w:t>
      </w:r>
      <w:r w:rsidRPr="00607583">
        <w:tab/>
        <w:t>având în vedere conturile anuale finale ale Agenției de Aprovizionare a Euratom pentru exercițiul financiar 2022,</w:t>
      </w:r>
    </w:p>
    <w:p w:rsidR="00CD46BC" w:rsidRPr="00607583" w:rsidRDefault="00CD46BC" w:rsidP="00CD46BC">
      <w:pPr>
        <w:pStyle w:val="NormalHanging12a"/>
      </w:pPr>
      <w:r w:rsidRPr="00607583">
        <w:t>–</w:t>
      </w:r>
      <w:r w:rsidRPr="00607583">
        <w:tab/>
        <w:t>având în vedere Raportul anual al Curții de Conturi privind agențiile UE pentru exercițiul financiar 2022, însoțit de răspunsurile agențiilor</w:t>
      </w:r>
      <w:r w:rsidRPr="00607583">
        <w:rPr>
          <w:rStyle w:val="FootnoteReference"/>
        </w:rPr>
        <w:footnoteReference w:id="5"/>
      </w:r>
      <w:r w:rsidRPr="00607583">
        <w:t>,</w:t>
      </w:r>
    </w:p>
    <w:p w:rsidR="00CD46BC" w:rsidRPr="00607583" w:rsidRDefault="00CD46BC" w:rsidP="00CD46BC">
      <w:pPr>
        <w:pStyle w:val="NormalHanging12a"/>
      </w:pPr>
      <w:r w:rsidRPr="00607583">
        <w:t>–</w:t>
      </w:r>
      <w:r w:rsidRPr="00607583">
        <w:tab/>
        <w:t>având în vedere declarația de asigurare</w:t>
      </w:r>
      <w:r w:rsidRPr="00607583">
        <w:rPr>
          <w:rStyle w:val="FootnoteReference"/>
        </w:rPr>
        <w:footnoteReference w:id="6"/>
      </w:r>
      <w:r w:rsidRPr="00607583">
        <w:t xml:space="preserve"> privind fiabilitatea conturilor și legalitatea și regularitatea operațiunilor subiacente întocmită de Curtea de Conturi pentru exercițiul 2022 în temeiul articolului 287 din Tratatul privind funcționarea Uniunii Europene,</w:t>
      </w:r>
    </w:p>
    <w:p w:rsidR="00CD46BC" w:rsidRPr="00607583" w:rsidRDefault="00CD46BC" w:rsidP="00CD46BC">
      <w:pPr>
        <w:pStyle w:val="NormalHanging12a"/>
      </w:pPr>
      <w:r w:rsidRPr="00607583">
        <w:t>–</w:t>
      </w:r>
      <w:r w:rsidRPr="00607583">
        <w:tab/>
        <w:t>având în vedere Recomandarea Consiliului din 22 februarie 2024 privind descărcarea de gestiune a Agenției în ceea ce privește execuția bugetară pentru exercițiul financiar 2022 (</w:t>
      </w:r>
      <w:r w:rsidR="00777DAC" w:rsidRPr="00607583">
        <w:t>06180/2024 – C9</w:t>
      </w:r>
      <w:r w:rsidR="00777DAC" w:rsidRPr="00607583">
        <w:noBreakHyphen/>
        <w:t>0099/2024</w:t>
      </w:r>
      <w:r w:rsidRPr="00607583">
        <w:t>),</w:t>
      </w:r>
    </w:p>
    <w:p w:rsidR="00CD46BC" w:rsidRPr="00607583" w:rsidRDefault="00CD46BC" w:rsidP="00CD46BC">
      <w:pPr>
        <w:pStyle w:val="NormalHanging12a"/>
      </w:pPr>
      <w:r w:rsidRPr="00607583">
        <w:t>–</w:t>
      </w:r>
      <w:r w:rsidRPr="00607583">
        <w:tab/>
        <w:t>având în vedere articolul 319 din Tratatul privind funcționarea Uniunii Europene,</w:t>
      </w:r>
    </w:p>
    <w:p w:rsidR="00CD46BC" w:rsidRPr="00607583" w:rsidRDefault="00CD46BC" w:rsidP="00CD46BC">
      <w:pPr>
        <w:pStyle w:val="NormalHanging12a"/>
      </w:pPr>
      <w:r w:rsidRPr="00607583">
        <w:t>–</w:t>
      </w:r>
      <w:r w:rsidRPr="00607583">
        <w:tab/>
        <w:t>având în vedere articolul 106a din Tratatul de instituire a Comunității Europene a Energiei Atomice,</w:t>
      </w:r>
    </w:p>
    <w:p w:rsidR="00CD46BC" w:rsidRPr="00607583" w:rsidRDefault="00CD46BC" w:rsidP="00CD46BC">
      <w:pPr>
        <w:pStyle w:val="NormalHanging12a"/>
      </w:pPr>
      <w:r w:rsidRPr="00607583">
        <w:t>–</w:t>
      </w:r>
      <w:r w:rsidRPr="00607583">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07583">
        <w:rPr>
          <w:rStyle w:val="FootnoteReference"/>
        </w:rPr>
        <w:footnoteReference w:id="7"/>
      </w:r>
      <w:r w:rsidRPr="00607583">
        <w:t>, în special articolul 68,</w:t>
      </w:r>
    </w:p>
    <w:p w:rsidR="00CD46BC" w:rsidRPr="00607583" w:rsidRDefault="00CD46BC" w:rsidP="00CD46BC">
      <w:pPr>
        <w:pStyle w:val="NormalHanging12a"/>
      </w:pPr>
      <w:r w:rsidRPr="00607583">
        <w:t>–</w:t>
      </w:r>
      <w:r w:rsidRPr="00607583">
        <w:tab/>
        <w:t>având în vedere Decizia 2008/114/CE, Euratom a Consiliului din 12 februarie 2008 de stabilire a Statutului Agenției de aprovizionare a Euratom</w:t>
      </w:r>
      <w:r w:rsidRPr="00607583">
        <w:rPr>
          <w:rStyle w:val="FootnoteReference"/>
        </w:rPr>
        <w:footnoteReference w:id="8"/>
      </w:r>
      <w:r w:rsidRPr="00607583">
        <w:t>, în special articolul 8 din anexa la această decizie,</w:t>
      </w:r>
    </w:p>
    <w:p w:rsidR="00CD46BC" w:rsidRPr="00607583" w:rsidRDefault="00CD46BC" w:rsidP="00CD46BC">
      <w:pPr>
        <w:pStyle w:val="NormalHanging12a"/>
      </w:pPr>
      <w:r w:rsidRPr="00607583">
        <w:t>–</w:t>
      </w:r>
      <w:r w:rsidRPr="00607583">
        <w:tab/>
        <w:t>având în vedere articolul 100 și anexa V la Regulamentul său de procedură,</w:t>
      </w:r>
    </w:p>
    <w:p w:rsidR="00CD46BC" w:rsidRPr="00607583" w:rsidRDefault="00CD46BC" w:rsidP="00CD46BC">
      <w:pPr>
        <w:pStyle w:val="NormalHanging12a"/>
      </w:pPr>
      <w:r w:rsidRPr="00607583">
        <w:t>–</w:t>
      </w:r>
      <w:r w:rsidRPr="00607583">
        <w:tab/>
        <w:t>având în vedere raportul Comisiei pentru control bugetar (A9-0108/2024),</w:t>
      </w:r>
    </w:p>
    <w:p w:rsidR="00CD46BC" w:rsidRPr="00607583" w:rsidRDefault="00CD46BC" w:rsidP="00CD46BC">
      <w:pPr>
        <w:pStyle w:val="NormalHanging12a"/>
      </w:pPr>
      <w:r w:rsidRPr="00607583">
        <w:t>1.</w:t>
      </w:r>
      <w:r w:rsidRPr="00607583">
        <w:tab/>
        <w:t>aprobă închiderea conturilor Agenției de Aprovizionare a Euratom pentru exercițiul financiar 2022;</w:t>
      </w:r>
    </w:p>
    <w:p w:rsidR="00CD46BC" w:rsidRPr="00607583" w:rsidRDefault="00CD46BC" w:rsidP="00CD46BC">
      <w:pPr>
        <w:pStyle w:val="NormalHanging12a"/>
      </w:pPr>
      <w:r w:rsidRPr="00607583">
        <w:t>2.</w:t>
      </w:r>
      <w:r w:rsidRPr="00607583">
        <w:tab/>
        <w:t xml:space="preserve">încredințează Președintei sarcina de a transmite prezenta decizie </w:t>
      </w:r>
      <w:r w:rsidR="0051479B" w:rsidRPr="00607583">
        <w:t xml:space="preserve">directorului general interimar al Agenției </w:t>
      </w:r>
      <w:r w:rsidRPr="00607583">
        <w:t xml:space="preserve">de Aprovizionare a Euratom, Consiliului, Comisiei și Curții de Conturi și de a asigura publicarea acesteia în </w:t>
      </w:r>
      <w:r w:rsidRPr="00607583">
        <w:rPr>
          <w:i/>
        </w:rPr>
        <w:t>Jurnalul Oficial al Uniunii Europene</w:t>
      </w:r>
      <w:r w:rsidRPr="00607583">
        <w:t xml:space="preserve"> </w:t>
      </w:r>
      <w:r w:rsidRPr="00607583">
        <w:lastRenderedPageBreak/>
        <w:t>(seria L).</w:t>
      </w:r>
    </w:p>
    <w:p w:rsidR="00CD46BC" w:rsidRPr="00607583" w:rsidRDefault="00CD46BC" w:rsidP="00CD46BC"/>
    <w:p w:rsidR="00CD46BC" w:rsidRPr="00607583" w:rsidRDefault="00CD46BC" w:rsidP="00CD46BC">
      <w:pPr>
        <w:widowControl/>
        <w:rPr>
          <w:rFonts w:ascii="Arial" w:hAnsi="Arial" w:cs="Arial"/>
          <w:b/>
        </w:rPr>
        <w:sectPr w:rsidR="00CD46BC" w:rsidRPr="00607583" w:rsidSect="000C1250">
          <w:footnotePr>
            <w:numRestart w:val="eachPage"/>
          </w:footnotePr>
          <w:endnotePr>
            <w:numFmt w:val="decimal"/>
          </w:endnotePr>
          <w:pgSz w:w="11906" w:h="16838"/>
          <w:pgMar w:top="1134" w:right="1418" w:bottom="1418" w:left="1418" w:header="567" w:footer="567" w:gutter="0"/>
          <w:cols w:space="720"/>
          <w:docGrid w:linePitch="326"/>
        </w:sectPr>
      </w:pPr>
    </w:p>
    <w:p w:rsidR="00CD46BC" w:rsidRPr="00607583" w:rsidRDefault="00E96E30" w:rsidP="0051479B">
      <w:pPr>
        <w:pStyle w:val="ATHeading3"/>
      </w:pPr>
      <w:r w:rsidRPr="00607583">
        <w:lastRenderedPageBreak/>
        <w:t xml:space="preserve">3. Rezoluția Parlamentului European din 11 aprilie 2024 </w:t>
      </w:r>
      <w:r w:rsidR="00CD46BC" w:rsidRPr="00607583">
        <w:t>conținând observațiile care fac parte integrantă din decizia privind descărcarea de gestiune pentru execuția bugetului Agenției de Aprovizionare a Euratom aferent exercițiului financiar 2022</w:t>
      </w:r>
      <w:r w:rsidR="0051479B" w:rsidRPr="00607583">
        <w:t xml:space="preserve"> </w:t>
      </w:r>
      <w:r w:rsidR="00CD46BC" w:rsidRPr="00607583">
        <w:t>(2023/2161(DEC))</w:t>
      </w:r>
    </w:p>
    <w:p w:rsidR="00CD46BC" w:rsidRPr="00607583" w:rsidRDefault="00CD46BC" w:rsidP="00CD46BC">
      <w:pPr>
        <w:pStyle w:val="EPComma"/>
      </w:pPr>
      <w:r w:rsidRPr="00607583">
        <w:rPr>
          <w:i/>
          <w:iCs/>
        </w:rPr>
        <w:t>Parlamentul European</w:t>
      </w:r>
      <w:r w:rsidRPr="00607583">
        <w:t>,</w:t>
      </w:r>
    </w:p>
    <w:p w:rsidR="00CD46BC" w:rsidRPr="00607583" w:rsidRDefault="00CD46BC" w:rsidP="00CD46BC">
      <w:pPr>
        <w:pStyle w:val="NormalHanging12a"/>
      </w:pPr>
      <w:r w:rsidRPr="00607583">
        <w:t>–</w:t>
      </w:r>
      <w:r w:rsidRPr="00607583">
        <w:tab/>
        <w:t>având în vedere decizia sa privind descărcarea de gestiune pentru execuția bugetului Agenției de Aprovizionare a Euratom („Agenția”) aferent exercițiului financiar 2022,</w:t>
      </w:r>
    </w:p>
    <w:p w:rsidR="00CD46BC" w:rsidRPr="00607583" w:rsidRDefault="00CD46BC" w:rsidP="00CD46BC">
      <w:pPr>
        <w:pStyle w:val="NormalHanging12a"/>
      </w:pPr>
      <w:r w:rsidRPr="00607583">
        <w:t>–</w:t>
      </w:r>
      <w:r w:rsidRPr="00607583">
        <w:tab/>
        <w:t>având în vedere articolul 100 și anexa V la Regulamentul său de procedură,</w:t>
      </w:r>
    </w:p>
    <w:p w:rsidR="00CD46BC" w:rsidRPr="00607583" w:rsidRDefault="00CD46BC" w:rsidP="00CD46BC">
      <w:pPr>
        <w:pStyle w:val="NormalHanging12a"/>
      </w:pPr>
      <w:r w:rsidRPr="00607583">
        <w:t>–</w:t>
      </w:r>
      <w:r w:rsidRPr="00607583">
        <w:tab/>
        <w:t>având în vedere raportul Comisiei pentru control bugetar (A9-0108/2024),</w:t>
      </w:r>
    </w:p>
    <w:p w:rsidR="00CD46BC" w:rsidRPr="00607583" w:rsidRDefault="00CD46BC" w:rsidP="00CD46BC">
      <w:pPr>
        <w:spacing w:after="240"/>
        <w:ind w:left="567" w:hanging="567"/>
        <w:rPr>
          <w:szCs w:val="24"/>
        </w:rPr>
      </w:pPr>
      <w:r w:rsidRPr="00607583">
        <w:t>A.</w:t>
      </w:r>
      <w:r w:rsidRPr="00607583">
        <w:tab/>
        <w:t>întrucât, potrivit situației veniturilor și cheltuielilor sale, bugetul final al Agenției aferent exercițiului financiar 2022 a fost de 167 000 EUR, ceea ce reprezintă o scădere cu 20,48 % față de 2021 (210 000 EUR); întrucât bugetul Agenției provine în întregime de la bugetul Uniunii;</w:t>
      </w:r>
    </w:p>
    <w:p w:rsidR="00CD46BC" w:rsidRPr="00607583" w:rsidRDefault="00CD46BC" w:rsidP="00CD46BC">
      <w:pPr>
        <w:spacing w:after="240"/>
        <w:ind w:left="567" w:hanging="567"/>
        <w:rPr>
          <w:szCs w:val="24"/>
        </w:rPr>
      </w:pPr>
      <w:r w:rsidRPr="00607583">
        <w:t>B.</w:t>
      </w:r>
      <w:r w:rsidRPr="00607583">
        <w:tab/>
        <w:t>întrucât, în raportul său privind conturile anuale ale Agenției pentru exercițiul financiar 2022 („raportul Curții”), Curtea de Conturi („Curtea”) a declarat că a obținut asigurări rezonabile cu privire la fiabilitatea conturilor anuale ale Agenției și la legalitatea și regularitatea operațiunilor subiacente;</w:t>
      </w:r>
    </w:p>
    <w:p w:rsidR="00CD46BC" w:rsidRPr="00607583" w:rsidRDefault="00CD46BC" w:rsidP="00CD46BC">
      <w:pPr>
        <w:spacing w:after="240"/>
        <w:ind w:left="567" w:hanging="567"/>
        <w:rPr>
          <w:szCs w:val="24"/>
        </w:rPr>
      </w:pPr>
      <w:r w:rsidRPr="00607583">
        <w:t>C.</w:t>
      </w:r>
      <w:r w:rsidRPr="00607583">
        <w:tab/>
        <w:t>întrucât, în ceea ce privește sistemele de control intern ale Agenției, nu au fost comunicate probleme care să necesite acțiuni corective pentru 2022 și nici nu există acțiuni corective în curs sau restante în urma auditurilor și evaluărilor din exercițiile anterioare,</w:t>
      </w:r>
    </w:p>
    <w:p w:rsidR="00CD46BC" w:rsidRPr="00607583" w:rsidRDefault="00CD46BC" w:rsidP="00CD46BC">
      <w:pPr>
        <w:spacing w:after="240"/>
        <w:ind w:left="567" w:hanging="567"/>
        <w:rPr>
          <w:b/>
          <w:i/>
          <w:szCs w:val="24"/>
        </w:rPr>
      </w:pPr>
      <w:r w:rsidRPr="00607583">
        <w:rPr>
          <w:b/>
          <w:i/>
        </w:rPr>
        <w:t>Gestiunea bugetară și financiară</w:t>
      </w:r>
    </w:p>
    <w:p w:rsidR="00CD46BC" w:rsidRPr="00607583" w:rsidRDefault="00CD46BC" w:rsidP="00CD46BC">
      <w:pPr>
        <w:spacing w:after="240"/>
        <w:ind w:left="567" w:hanging="567"/>
        <w:rPr>
          <w:szCs w:val="24"/>
        </w:rPr>
      </w:pPr>
      <w:r w:rsidRPr="00607583">
        <w:t>1.</w:t>
      </w:r>
      <w:r w:rsidRPr="00607583">
        <w:tab/>
        <w:t>constată că eforturile de monitorizare a bugetului din cursul exercițiului financiar 2022 au condus la o rată de execuție a creditelor de angajament pentru exercițiul respectiv de 96,88 %, ceea ce reprezintă o ușoară scădere de 2,88 % față de 2021, și mai constată că rata de execuție a creditelor de plată aferente exercițiului respectiv a fost de 34,81 %, adică o scădere de 16,4 % față de 2021;</w:t>
      </w:r>
    </w:p>
    <w:p w:rsidR="00CD46BC" w:rsidRPr="00607583" w:rsidRDefault="00CD46BC" w:rsidP="00CD46BC">
      <w:pPr>
        <w:spacing w:after="240"/>
        <w:ind w:left="567" w:hanging="567"/>
        <w:rPr>
          <w:szCs w:val="24"/>
        </w:rPr>
      </w:pPr>
      <w:r w:rsidRPr="00607583">
        <w:t>2.</w:t>
      </w:r>
      <w:r w:rsidRPr="00607583">
        <w:tab/>
        <w:t>ține să remarce că o mare parte din cheltuielile Agenției sunt acoperite de Comisie, inclusiv salariile calculate la 1 937 817 EUR, cheltuielile cu sediul și IT calculate la 467 708 EUR și sistemul informatic „Observatorul nuclear și gestionarea informațiilor ESA” (NOEMI), calculate la 84 644 EUR; mai constată că aceste cheltuieli sunt incluse în conturile anuale ale Comisiei, contribuind pozitiv la capacitatea administrativă a Agenției;</w:t>
      </w:r>
    </w:p>
    <w:p w:rsidR="00CD46BC" w:rsidRPr="00607583" w:rsidRDefault="00CD46BC" w:rsidP="00CD46BC">
      <w:pPr>
        <w:spacing w:after="240"/>
        <w:ind w:left="567" w:hanging="567"/>
        <w:rPr>
          <w:b/>
          <w:i/>
          <w:szCs w:val="24"/>
        </w:rPr>
      </w:pPr>
      <w:r w:rsidRPr="00607583">
        <w:rPr>
          <w:b/>
          <w:i/>
        </w:rPr>
        <w:t>Performanța</w:t>
      </w:r>
    </w:p>
    <w:p w:rsidR="00CD46BC" w:rsidRPr="00607583" w:rsidRDefault="00CD46BC" w:rsidP="00CD46BC">
      <w:pPr>
        <w:pStyle w:val="NormalHanging12a"/>
      </w:pPr>
      <w:r w:rsidRPr="00607583">
        <w:t>3.</w:t>
      </w:r>
      <w:r w:rsidRPr="00607583">
        <w:tab/>
        <w:t xml:space="preserve">subliniază că anul 2022 a fost marcat de invazia rusă în Ucraina, determinând UE să își facă griji în legătură cu securitatea energetică în general, și, în special, a subminat securitatea aprovizionării Uniunii cu materiale nucleare și combustibil nuclear și a agravat problemele de dependență; reține că multe centrale nucleare din Uniune se bazează pe furnizori ruși pentru combustibil, iar utilitățile din Uniune, în general, </w:t>
      </w:r>
      <w:r w:rsidRPr="00607583">
        <w:lastRenderedPageBreak/>
        <w:t>depind în proporție de 20-30 % de Rusia pentru aprovizionarea cu materiale nucleare și serviciile legate de ciclul combustibilului; observă că, dându-și seama că sumele mari încasate de Rusia din exporturile de energie o ajută să își finanțeze acțiunile, Uniunea a decis să își reducă dependența de Rusia în diferite sectoare, iar piața nucleară, date fiind caracteristicile sale unice, poate suferi și ea schimbări în viitor, ca urmare a acestor mutații mai ample; roagă Agenția să comunice autorității care acordă descărcarea de gestiune ce măsuri a luat ca să reducă dependența Uniunii de combustibilii nucleari ruși începând din 2022, mai ales de la începutul războiului, când industria nucleară a fost scutită de sancțiuni, și cum s-au repercutat asupra costurilor aceste măsuri de reducere și diversificare;</w:t>
      </w:r>
    </w:p>
    <w:p w:rsidR="00CD46BC" w:rsidRPr="00607583" w:rsidRDefault="00CD46BC" w:rsidP="00CD46BC">
      <w:pPr>
        <w:spacing w:after="240"/>
        <w:ind w:left="567" w:hanging="567"/>
      </w:pPr>
      <w:r w:rsidRPr="00607583">
        <w:t>4.</w:t>
      </w:r>
      <w:r w:rsidRPr="00607583">
        <w:tab/>
        <w:t>constată cu satisfacție că Agenția a acordat o atenție deosebită revizuirii contractelor care prezintă riscuri de dependență de Rusia, studiind temeinic clauzele, informațiile tehnologice, lanțurile de aprovizionare, disponibilitatea combustibililor alternativi și autonomia operațională a utilităților cu stocurile existente de combustibili; felicită Agenția pentru măsurile luate pentru a simplifica procesul de depunere a contractelor, fără a compromite nivelul ridicat de securitate, instrumentele informatice securizate dedicate facilitând încheierea și depunerea de la distanță; observă că, în 2022, ca urmare a acestor eforturi, a crescut numărul de acte semnate electronic în conformitate cu reglementările privind identificarea tranzacțiilor electronice pe piața unică;</w:t>
      </w:r>
    </w:p>
    <w:p w:rsidR="00CD46BC" w:rsidRPr="00607583" w:rsidRDefault="00CD46BC" w:rsidP="00CD46BC">
      <w:pPr>
        <w:spacing w:after="240"/>
        <w:ind w:left="567" w:hanging="567"/>
        <w:rPr>
          <w:szCs w:val="24"/>
        </w:rPr>
      </w:pPr>
      <w:r w:rsidRPr="00607583">
        <w:t>5.</w:t>
      </w:r>
      <w:r w:rsidRPr="00607583">
        <w:tab/>
        <w:t>observă că, în conformitate cu obiectivele sale strategice și cu politicile Comisiei, Agenția a urmărit să distribuie surse de aprovizionare în ciclul combustibilului nuclear pentru utilizări energetice și neenergetice, contribuind la securitatea aprovizionării pe termen mediu și lung;</w:t>
      </w:r>
    </w:p>
    <w:p w:rsidR="00CD46BC" w:rsidRPr="00607583" w:rsidRDefault="00CD46BC" w:rsidP="00CD46BC">
      <w:pPr>
        <w:spacing w:after="240"/>
        <w:ind w:left="567" w:hanging="567"/>
        <w:rPr>
          <w:szCs w:val="24"/>
        </w:rPr>
      </w:pPr>
      <w:r w:rsidRPr="00607583">
        <w:t>6.</w:t>
      </w:r>
      <w:r w:rsidRPr="00607583">
        <w:tab/>
        <w:t>observă că Agenția are sarcina de a monitoriza piața pentru a identifica tendințele care ar putea afecta securitatea aprovizionării Uniunii cu materiale și servicii nucleare; mai observă că Agenția a publicat o analiză de piață în raportul său anual, a furnizat informații privind piețele nucleare din Uniune și din lume și a făcut schimb de informații și cunoștințe cu alte organizații internaționale de analiză a pieței;</w:t>
      </w:r>
    </w:p>
    <w:p w:rsidR="00CD46BC" w:rsidRPr="00607583" w:rsidRDefault="00CD46BC" w:rsidP="00CD46BC">
      <w:pPr>
        <w:pStyle w:val="NormalHanging12a"/>
      </w:pPr>
      <w:r w:rsidRPr="00607583">
        <w:t>7.</w:t>
      </w:r>
      <w:r w:rsidRPr="00607583">
        <w:tab/>
        <w:t>salută faptul că, în 2022, Agenția a coordonat acțiunile de asigurare a aprovizionării cu materiale sursă pentru radioizotopii medicali, contribuind la implementarea „Agendei strategice pentru aplicațiile medicale cu radiații ionizante (SAMIRA)” și a coordonat Observatorul european pentru aprovizionarea cu radioizotopi medicali;</w:t>
      </w:r>
    </w:p>
    <w:p w:rsidR="00CD46BC" w:rsidRPr="00607583" w:rsidRDefault="00CD46BC" w:rsidP="00CD46BC">
      <w:pPr>
        <w:spacing w:after="240"/>
        <w:ind w:left="567" w:hanging="567"/>
        <w:rPr>
          <w:szCs w:val="24"/>
        </w:rPr>
      </w:pPr>
      <w:r w:rsidRPr="00607583">
        <w:t>8.</w:t>
      </w:r>
      <w:r w:rsidRPr="00607583">
        <w:tab/>
        <w:t>apreciază eforturile Agenției de a coopera cu parteneri și părți interesate pentru a întări securitatea aprovizionării cu materiale nucleare, dată fiind invazia ilegală și neprovocată a Rusiei în Ucraina;</w:t>
      </w:r>
    </w:p>
    <w:p w:rsidR="00CD46BC" w:rsidRPr="00607583" w:rsidRDefault="00CD46BC" w:rsidP="00CD46BC">
      <w:pPr>
        <w:spacing w:after="240"/>
        <w:ind w:left="567" w:hanging="567"/>
        <w:rPr>
          <w:b/>
          <w:i/>
          <w:szCs w:val="24"/>
        </w:rPr>
      </w:pPr>
      <w:r w:rsidRPr="00607583">
        <w:rPr>
          <w:b/>
          <w:i/>
        </w:rPr>
        <w:t>Eficiență și realizări</w:t>
      </w:r>
    </w:p>
    <w:p w:rsidR="00CD46BC" w:rsidRPr="00607583" w:rsidRDefault="00CD46BC" w:rsidP="00CD46BC">
      <w:pPr>
        <w:spacing w:after="240"/>
        <w:ind w:left="567" w:hanging="567"/>
        <w:rPr>
          <w:szCs w:val="24"/>
        </w:rPr>
      </w:pPr>
      <w:r w:rsidRPr="00607583">
        <w:t>9.</w:t>
      </w:r>
      <w:r w:rsidRPr="00607583">
        <w:tab/>
        <w:t>observă că Agenția a colaborat strâns cu Comisia pentru a promova diversificarea aprovizionării; constată, de asemenea, că Agenția întreține de mult timp relații strânse în domeniul energiei nucleare cu Agenția Internațională pentru Energie Atomică și cu Agenția pentru Energie Nucleară din cadrul Organizației pentru Cooperare și Dezvoltare Economică; evidențiază beneficiile orizontale ale colaborării și adaptării bunelor practici și faptul că inițiativele comune aduc laolaltă perspective diverse, reduc duplicarea eforturilor, îmbogățesc cunoștințele și întăresc relațiile dintre participanți;</w:t>
      </w:r>
    </w:p>
    <w:p w:rsidR="00CD46BC" w:rsidRPr="00607583" w:rsidRDefault="00CD46BC" w:rsidP="00CD46BC">
      <w:pPr>
        <w:spacing w:after="240"/>
        <w:ind w:left="567" w:hanging="567"/>
        <w:rPr>
          <w:szCs w:val="24"/>
        </w:rPr>
      </w:pPr>
      <w:r w:rsidRPr="00607583">
        <w:lastRenderedPageBreak/>
        <w:t>10.</w:t>
      </w:r>
      <w:r w:rsidRPr="00607583">
        <w:tab/>
        <w:t>observă că Agenția dezvoltă în prezent sistemul informatic NOEMI care permite prelucrarea digitală completă a contractelor de furnizare de energie nucleară și a informațiilor din piață, în deplină conformitate cu normele de protecție a informațiilor și, în paralel, încearcă să își extindă capacitatea analitică la datele disponibile;</w:t>
      </w:r>
    </w:p>
    <w:p w:rsidR="00CD46BC" w:rsidRPr="00607583" w:rsidRDefault="00CD46BC" w:rsidP="00CD46BC">
      <w:pPr>
        <w:spacing w:after="240"/>
        <w:ind w:left="567" w:hanging="567"/>
        <w:rPr>
          <w:szCs w:val="24"/>
        </w:rPr>
      </w:pPr>
      <w:r w:rsidRPr="00607583">
        <w:t>11.</w:t>
      </w:r>
      <w:r w:rsidRPr="00607583">
        <w:tab/>
        <w:t xml:space="preserve">atestă eforturile depuse de Agenție pentru a fi mai eficientă și a realoca resurse umane pentru noile sarcini și provocări care o așteaptă în viitor; constată că Agenția și-ar putea mări și mai mult eficiența numai dacă valorifică </w:t>
      </w:r>
      <w:proofErr w:type="spellStart"/>
      <w:r w:rsidRPr="00607583">
        <w:t>sinergiile</w:t>
      </w:r>
      <w:proofErr w:type="spellEnd"/>
      <w:r w:rsidRPr="00607583">
        <w:t xml:space="preserve"> și sprijinul din partea Comisiei, prevăzând funcții de sprijin specializate, apelând mai mult la instrumente organizaționale și alocând mai multe resurse pentru dezvoltarea NOEMI IT; invită Agenția să identifice mai multe proceduri interne care ar putea fi raționalizate prin noi instrumente informatice;</w:t>
      </w:r>
    </w:p>
    <w:p w:rsidR="00CD46BC" w:rsidRPr="00607583" w:rsidRDefault="00CD46BC" w:rsidP="00CD46BC">
      <w:pPr>
        <w:pStyle w:val="NormalHanging12a"/>
      </w:pPr>
      <w:r w:rsidRPr="00607583">
        <w:t>12.</w:t>
      </w:r>
      <w:r w:rsidRPr="00607583">
        <w:tab/>
        <w:t xml:space="preserve">reamintește că este important ca agenția să își digitalizeze mai mult operațiunile interne și gestiunea internă, aceasta și pentru a accelera digitalizarea procedurilor; subliniază că Agenția trebuie să își continue eforturile </w:t>
      </w:r>
      <w:proofErr w:type="spellStart"/>
      <w:r w:rsidRPr="00607583">
        <w:t>proactive</w:t>
      </w:r>
      <w:proofErr w:type="spellEnd"/>
      <w:r w:rsidRPr="00607583">
        <w:t xml:space="preserve"> în această privință, pentru a evita un decalaj digital între agenții; atrage totuși atenția că trebuie să se ia toate măsurile de securitate necesare pentru a evita orice risc în materie de securitate online a informațiilor prelucrate; insistă pe ideea de se acționa mai hotărât pentru a contracara atacurile cibernetice sau încercările de infiltrare provenite în special din Rusia sau China;</w:t>
      </w:r>
    </w:p>
    <w:p w:rsidR="00CD46BC" w:rsidRPr="00607583" w:rsidRDefault="00CD46BC" w:rsidP="00CD46BC">
      <w:pPr>
        <w:spacing w:after="240"/>
        <w:ind w:left="567" w:hanging="567"/>
        <w:rPr>
          <w:b/>
          <w:i/>
          <w:szCs w:val="24"/>
        </w:rPr>
      </w:pPr>
      <w:r w:rsidRPr="00607583">
        <w:rPr>
          <w:b/>
          <w:i/>
        </w:rPr>
        <w:t>Politica de personal</w:t>
      </w:r>
    </w:p>
    <w:p w:rsidR="00CD46BC" w:rsidRPr="00607583" w:rsidRDefault="00CD46BC" w:rsidP="00CD46BC">
      <w:pPr>
        <w:spacing w:after="240"/>
        <w:ind w:left="567" w:hanging="567"/>
        <w:rPr>
          <w:szCs w:val="24"/>
        </w:rPr>
      </w:pPr>
      <w:r w:rsidRPr="00607583">
        <w:t>13.</w:t>
      </w:r>
      <w:r w:rsidRPr="00607583">
        <w:tab/>
        <w:t>constată că, la 31 decembrie 2022, schema de personal era completată în proporție de 100 % cu 17 posturi permanente, din care 8 de administratori, 7 de asistenți și 2 de asistenți și secretariat; constată, în plus, că numărul mai mare de administratori decât cel autorizat se datorează promovării, agreate de Comisie, a unui angajat dintr-un post de asistent;</w:t>
      </w:r>
    </w:p>
    <w:p w:rsidR="00CD46BC" w:rsidRPr="00607583" w:rsidRDefault="00CD46BC" w:rsidP="00CD46BC">
      <w:pPr>
        <w:spacing w:after="240"/>
        <w:ind w:left="567" w:hanging="567"/>
        <w:rPr>
          <w:szCs w:val="24"/>
        </w:rPr>
      </w:pPr>
      <w:r w:rsidRPr="00607583">
        <w:t>14.</w:t>
      </w:r>
      <w:r w:rsidRPr="00607583">
        <w:tab/>
        <w:t>reamintește că Agenției îi este greu să găsească asistenți pentru grade inferioare, având în vedere profilul specializat necesar și nivelurile de remunerare aferente, în raport cu costul vieții în Luxemburg; constată totuși că, în ciuda eforturilor sale, în 2022, Agenția a fost nevoită să recruteze 2 agenți temporari pe posturi permanente (1 de asistent și 1 de asistent și secretariat);</w:t>
      </w:r>
    </w:p>
    <w:p w:rsidR="00CD46BC" w:rsidRPr="00607583" w:rsidRDefault="00CD46BC" w:rsidP="00CD46BC">
      <w:pPr>
        <w:spacing w:after="240"/>
        <w:ind w:left="567" w:hanging="567"/>
        <w:rPr>
          <w:szCs w:val="24"/>
        </w:rPr>
      </w:pPr>
      <w:r w:rsidRPr="00607583">
        <w:t>15.</w:t>
      </w:r>
      <w:r w:rsidRPr="00607583">
        <w:tab/>
        <w:t>observă că Agenția a raportat o pondere pentru întregul personal de 59 % femei și 41 % bărbați în 2022, dovadă că egalitatea de șanse funcționează;</w:t>
      </w:r>
    </w:p>
    <w:p w:rsidR="00CD46BC" w:rsidRPr="00607583" w:rsidRDefault="00CD46BC" w:rsidP="00CD46BC">
      <w:pPr>
        <w:pStyle w:val="NormalHanging12a"/>
      </w:pPr>
      <w:r w:rsidRPr="00607583">
        <w:t>16.</w:t>
      </w:r>
      <w:r w:rsidRPr="00607583">
        <w:tab/>
        <w:t xml:space="preserve">reamintește că este important să se elaboreze o politică de resurse umane pe termen lung care să trateze aspecte precum echilibrul dintre muncă și viața privată, consilierea pe tot parcursul vieții și oferta de posibilități de pregătire pentru dezvoltarea carierei, echilibrul între numărul de femei și bărbați la toate nivelurile de personal, </w:t>
      </w:r>
      <w:proofErr w:type="spellStart"/>
      <w:r w:rsidRPr="00607583">
        <w:t>telemunca</w:t>
      </w:r>
      <w:proofErr w:type="spellEnd"/>
      <w:r w:rsidRPr="00607583">
        <w:t>, dreptul de a se deconecta, o reprezentare geografică mai echilibrată astfel încât să fie reprezentate corespunzător toate statele membre și recrutarea și integrarea persoanelor cu dizabilități, precum și promovarea unui tratament egal și a egalității de șanse pentru această categorie de persoane;</w:t>
      </w:r>
    </w:p>
    <w:p w:rsidR="00CD46BC" w:rsidRPr="00607583" w:rsidRDefault="00CD46BC" w:rsidP="00CD46BC">
      <w:pPr>
        <w:spacing w:after="240"/>
        <w:ind w:left="567" w:hanging="567"/>
        <w:rPr>
          <w:b/>
          <w:i/>
          <w:szCs w:val="24"/>
        </w:rPr>
      </w:pPr>
      <w:r w:rsidRPr="00607583">
        <w:rPr>
          <w:b/>
          <w:i/>
        </w:rPr>
        <w:t>Achiziții publice</w:t>
      </w:r>
    </w:p>
    <w:p w:rsidR="00CD46BC" w:rsidRPr="00607583" w:rsidRDefault="00CD46BC" w:rsidP="00CD46BC">
      <w:pPr>
        <w:spacing w:after="240"/>
        <w:ind w:left="567" w:hanging="567"/>
        <w:rPr>
          <w:rFonts w:eastAsia="Calibri"/>
          <w:szCs w:val="24"/>
        </w:rPr>
      </w:pPr>
      <w:r w:rsidRPr="00607583">
        <w:t>17.</w:t>
      </w:r>
      <w:r w:rsidRPr="00607583">
        <w:tab/>
        <w:t xml:space="preserve">remarcă în raportul Curții observația că Agenția a atribuit sistematic contracte cu </w:t>
      </w:r>
      <w:r w:rsidRPr="00607583">
        <w:lastRenderedPageBreak/>
        <w:t>valoare mică (sub 15 000 EUR) fără a emite rapoarte de evaluare și decizii de atribuire corespunzătoare, ceea ce contravine punctelor 30.3 și 30.4 din anexa I la Regulamentul financiar; mai remarcă din răspunsul său că Agenția ia în serios recomandarea și va oferi orientări adecvate întregului personal implicat în achiziții publice și în gestiunea financiară; invită Agenția să își îmbunătățească procedurile de achiziții publice, asigurând respectarea deplină a normelor aplicabile, pentru a obține cel mai bun raport calitate/preț;</w:t>
      </w:r>
    </w:p>
    <w:p w:rsidR="00CD46BC" w:rsidRPr="00607583" w:rsidRDefault="00CD46BC" w:rsidP="00CD46BC">
      <w:pPr>
        <w:spacing w:after="240"/>
        <w:ind w:left="567" w:hanging="567"/>
        <w:rPr>
          <w:b/>
          <w:i/>
          <w:szCs w:val="24"/>
        </w:rPr>
      </w:pPr>
      <w:r w:rsidRPr="00607583">
        <w:rPr>
          <w:b/>
          <w:i/>
        </w:rPr>
        <w:t>Alte observații</w:t>
      </w:r>
    </w:p>
    <w:p w:rsidR="00CD46BC" w:rsidRPr="00607583" w:rsidRDefault="00CD46BC" w:rsidP="00CD46BC">
      <w:pPr>
        <w:spacing w:after="240"/>
        <w:ind w:left="567" w:hanging="567"/>
        <w:rPr>
          <w:szCs w:val="24"/>
        </w:rPr>
      </w:pPr>
      <w:r w:rsidRPr="00607583">
        <w:t>18.</w:t>
      </w:r>
      <w:r w:rsidRPr="00607583">
        <w:tab/>
        <w:t>constată că Agenția a întărit securitatea căilor de accesul la sediile sale, toți membrii personalului și toți contractanții externi dețin un certificat de securitate;</w:t>
      </w:r>
    </w:p>
    <w:p w:rsidR="00CD46BC" w:rsidRPr="00607583" w:rsidRDefault="00CD46BC" w:rsidP="00CD46BC">
      <w:pPr>
        <w:spacing w:after="240"/>
        <w:ind w:left="567" w:hanging="567"/>
        <w:rPr>
          <w:szCs w:val="24"/>
        </w:rPr>
      </w:pPr>
      <w:r w:rsidRPr="00607583">
        <w:t>19.</w:t>
      </w:r>
      <w:r w:rsidRPr="00607583">
        <w:tab/>
        <w:t>reține că sistemul informatic NOEMI a fost supus unei evaluări a vulnerabilității, care trebuie repetată după fiecare etapă de dezvoltare sau după ce se dă curs tuturor recomandărilor;</w:t>
      </w:r>
    </w:p>
    <w:p w:rsidR="00CD46BC" w:rsidRPr="00607583" w:rsidRDefault="00CD46BC" w:rsidP="00CD46BC">
      <w:pPr>
        <w:spacing w:after="240"/>
        <w:ind w:left="567" w:hanging="567"/>
        <w:rPr>
          <w:szCs w:val="24"/>
        </w:rPr>
      </w:pPr>
      <w:r w:rsidRPr="00607583">
        <w:t>20.</w:t>
      </w:r>
      <w:r w:rsidRPr="00607583">
        <w:tab/>
        <w:t>constată cu satisfacție că Agenția a participat la Simpozionul nuclear mondial de la Londra în septembrie 2022, transmițând un mesaj clar liderilor, experților și cadrelor de conducere ale industriei nucleare participante că trebuie să gestioneze riscurile legate de noua structură a pieței; constată, de asemenea, că Agenția a prezentat analiza de piață și perspectivele pieței la Forumul pentru securitate de la Varșovia și la reuniunea internațională Ciclul combustibilului nuclear, fiind reprezentată la prima conferință internațională privind dreptul nuclear și la Conferința privind reactorul european de cercetare; constată și că Agenția a contribuit la evenimentele Societății nucleare europene;</w:t>
      </w:r>
    </w:p>
    <w:p w:rsidR="00CD46BC" w:rsidRPr="00607583" w:rsidRDefault="00CD46BC" w:rsidP="00CD46BC">
      <w:pPr>
        <w:spacing w:after="240"/>
        <w:ind w:left="567" w:hanging="567"/>
        <w:rPr>
          <w:szCs w:val="24"/>
        </w:rPr>
      </w:pPr>
      <w:r w:rsidRPr="00607583">
        <w:t>21.</w:t>
      </w:r>
      <w:r w:rsidRPr="00607583">
        <w:tab/>
        <w:t>observă că Agenția nu publică o declarație de mediu și nici nu a pus în aplicare sistemul de management de mediu și audit (EMAS); încurajează Agenția să raporteze cu privire la performanțele sale în materie de climă, energie și mediu și, în plus, să pună în aplicare EMAS;</w:t>
      </w:r>
    </w:p>
    <w:p w:rsidR="00CD46BC" w:rsidRPr="00607583" w:rsidRDefault="00CD46BC" w:rsidP="00CD46BC">
      <w:pPr>
        <w:pStyle w:val="NormalCenter12a"/>
      </w:pPr>
      <w:r w:rsidRPr="00607583">
        <w:t>°</w:t>
      </w:r>
    </w:p>
    <w:p w:rsidR="00CD46BC" w:rsidRPr="00607583" w:rsidRDefault="00CD46BC" w:rsidP="00CD46BC">
      <w:pPr>
        <w:pStyle w:val="NormalCenter12a"/>
      </w:pPr>
      <w:r w:rsidRPr="00607583">
        <w:t>°</w:t>
      </w:r>
      <w:r w:rsidRPr="00607583">
        <w:tab/>
        <w:t>°</w:t>
      </w:r>
    </w:p>
    <w:p w:rsidR="00E365E1" w:rsidRPr="00607583" w:rsidRDefault="00CD46BC" w:rsidP="00777DAC">
      <w:pPr>
        <w:pStyle w:val="NormalHanging12a"/>
        <w:widowControl/>
      </w:pPr>
      <w:r w:rsidRPr="00607583">
        <w:t>22.</w:t>
      </w:r>
      <w:r w:rsidRPr="00607583">
        <w:tab/>
        <w:t xml:space="preserve">face trimitere, pentru alte observații cu caracter orizontal care însoțesc decizia privind descărcarea de gestiune, la rezoluția sa din </w:t>
      </w:r>
      <w:r w:rsidR="00777DAC" w:rsidRPr="00607583">
        <w:t>11 aprilie 2024</w:t>
      </w:r>
      <w:r w:rsidRPr="00607583">
        <w:rPr>
          <w:vertAlign w:val="superscript"/>
        </w:rPr>
        <w:footnoteReference w:id="9"/>
      </w:r>
      <w:r w:rsidRPr="00607583">
        <w:t>. referitoare la performanțele, gestiunea financiară și controlul agențiilor UE.</w:t>
      </w:r>
      <w:bookmarkStart w:id="9" w:name="TextBodyEnd"/>
      <w:bookmarkEnd w:id="9"/>
    </w:p>
    <w:sectPr w:rsidR="00E365E1" w:rsidRPr="00607583" w:rsidSect="000C12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A3D" w:rsidRPr="000C1250" w:rsidRDefault="00FC6A3D">
      <w:r w:rsidRPr="000C1250">
        <w:separator/>
      </w:r>
    </w:p>
  </w:endnote>
  <w:endnote w:type="continuationSeparator" w:id="0">
    <w:p w:rsidR="00FC6A3D" w:rsidRPr="000C1250" w:rsidRDefault="00FC6A3D">
      <w:r w:rsidRPr="000C12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6BC" w:rsidRPr="000C1250" w:rsidRDefault="00CD46BC" w:rsidP="0048318C">
    <w:pPr>
      <w:pStyle w:val="EPFooter"/>
    </w:pPr>
    <w:r w:rsidRPr="000C1250">
      <w:t>PE</w:t>
    </w:r>
    <w:r w:rsidRPr="000C1250">
      <w:rPr>
        <w:rStyle w:val="HideTWBExt"/>
      </w:rPr>
      <w:t>&lt;</w:t>
    </w:r>
    <w:proofErr w:type="spellStart"/>
    <w:r w:rsidRPr="000C1250">
      <w:rPr>
        <w:rStyle w:val="HideTWBExt"/>
      </w:rPr>
      <w:t>NoPE</w:t>
    </w:r>
    <w:proofErr w:type="spellEnd"/>
    <w:r w:rsidRPr="000C1250">
      <w:rPr>
        <w:rStyle w:val="HideTWBExt"/>
      </w:rPr>
      <w:t>&gt;</w:t>
    </w:r>
    <w:r w:rsidRPr="000C1250">
      <w:t>753.529</w:t>
    </w:r>
    <w:r w:rsidRPr="000C1250">
      <w:rPr>
        <w:rStyle w:val="HideTWBExt"/>
      </w:rPr>
      <w:t>&lt;/</w:t>
    </w:r>
    <w:proofErr w:type="spellStart"/>
    <w:r w:rsidRPr="000C1250">
      <w:rPr>
        <w:rStyle w:val="HideTWBExt"/>
      </w:rPr>
      <w:t>NoPE</w:t>
    </w:r>
    <w:proofErr w:type="spellEnd"/>
    <w:r w:rsidRPr="000C1250">
      <w:rPr>
        <w:rStyle w:val="HideTWBExt"/>
      </w:rPr>
      <w:t>&gt;&lt;Version&gt;</w:t>
    </w:r>
    <w:r w:rsidRPr="000C1250">
      <w:t>v02-00</w:t>
    </w:r>
    <w:r w:rsidRPr="000C1250">
      <w:rPr>
        <w:rStyle w:val="HideTWBExt"/>
      </w:rPr>
      <w:t>&lt;/</w:t>
    </w:r>
    <w:proofErr w:type="spellStart"/>
    <w:r w:rsidRPr="000C1250">
      <w:rPr>
        <w:rStyle w:val="HideTWBExt"/>
      </w:rPr>
      <w:t>Version</w:t>
    </w:r>
    <w:proofErr w:type="spellEnd"/>
    <w:r w:rsidRPr="000C1250">
      <w:rPr>
        <w:rStyle w:val="HideTWBExt"/>
      </w:rPr>
      <w:t>&gt;</w:t>
    </w:r>
    <w:r w:rsidRPr="000C1250">
      <w:tab/>
    </w:r>
    <w:r w:rsidRPr="000C1250">
      <w:fldChar w:fldCharType="begin"/>
    </w:r>
    <w:r w:rsidRPr="000C1250">
      <w:instrText xml:space="preserve"> PAGE  \* MERGEFORMAT </w:instrText>
    </w:r>
    <w:r w:rsidRPr="000C1250">
      <w:fldChar w:fldCharType="separate"/>
    </w:r>
    <w:r w:rsidR="000C1250" w:rsidRPr="000C1250">
      <w:rPr>
        <w:noProof/>
      </w:rPr>
      <w:t>2</w:t>
    </w:r>
    <w:r w:rsidRPr="000C1250">
      <w:fldChar w:fldCharType="end"/>
    </w:r>
    <w:r w:rsidRPr="000C1250">
      <w:t>/</w:t>
    </w:r>
    <w:r w:rsidR="00607583">
      <w:fldChar w:fldCharType="begin"/>
    </w:r>
    <w:r w:rsidR="00607583">
      <w:instrText xml:space="preserve"> NUMPAGES  \* MERGEFORMAT </w:instrText>
    </w:r>
    <w:r w:rsidR="00607583">
      <w:fldChar w:fldCharType="separate"/>
    </w:r>
    <w:r w:rsidR="000C1250" w:rsidRPr="000C1250">
      <w:rPr>
        <w:noProof/>
      </w:rPr>
      <w:t>4</w:t>
    </w:r>
    <w:r w:rsidR="00607583">
      <w:rPr>
        <w:noProof/>
      </w:rPr>
      <w:fldChar w:fldCharType="end"/>
    </w:r>
    <w:r w:rsidRPr="000C1250">
      <w:tab/>
    </w:r>
    <w:r w:rsidRPr="000C1250">
      <w:rPr>
        <w:rStyle w:val="HideTWBExt"/>
      </w:rPr>
      <w:t>&lt;PathFdR&gt;</w:t>
    </w:r>
    <w:r w:rsidRPr="000C1250">
      <w:t>RR\1298833RO.docx</w:t>
    </w:r>
    <w:r w:rsidRPr="000C1250">
      <w:rPr>
        <w:rStyle w:val="HideTWBExt"/>
      </w:rPr>
      <w:t>&lt;/</w:t>
    </w:r>
    <w:proofErr w:type="spellStart"/>
    <w:r w:rsidRPr="000C1250">
      <w:rPr>
        <w:rStyle w:val="HideTWBExt"/>
      </w:rPr>
      <w:t>PathFdR</w:t>
    </w:r>
    <w:proofErr w:type="spellEnd"/>
    <w:r w:rsidRPr="000C1250">
      <w:rPr>
        <w:rStyle w:val="HideTWBExt"/>
      </w:rPr>
      <w:t>&gt;</w:t>
    </w:r>
  </w:p>
  <w:p w:rsidR="00CD46BC" w:rsidRPr="000C1250" w:rsidRDefault="00CD46BC" w:rsidP="0048318C">
    <w:pPr>
      <w:pStyle w:val="EPFooter2"/>
    </w:pPr>
    <w:r w:rsidRPr="000C125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6BC" w:rsidRPr="000C1250" w:rsidRDefault="00CD46BC" w:rsidP="0048318C">
    <w:pPr>
      <w:pStyle w:val="EPFooter"/>
    </w:pPr>
    <w:r w:rsidRPr="000C1250">
      <w:rPr>
        <w:rStyle w:val="HideTWBExt"/>
      </w:rPr>
      <w:t>&lt;PathFdR&gt;</w:t>
    </w:r>
    <w:r w:rsidRPr="000C1250">
      <w:t>RR\1298833RO.docx</w:t>
    </w:r>
    <w:r w:rsidRPr="000C1250">
      <w:rPr>
        <w:rStyle w:val="HideTWBExt"/>
      </w:rPr>
      <w:t>&lt;/</w:t>
    </w:r>
    <w:proofErr w:type="spellStart"/>
    <w:r w:rsidRPr="000C1250">
      <w:rPr>
        <w:rStyle w:val="HideTWBExt"/>
      </w:rPr>
      <w:t>PathFdR</w:t>
    </w:r>
    <w:proofErr w:type="spellEnd"/>
    <w:r w:rsidRPr="000C1250">
      <w:rPr>
        <w:rStyle w:val="HideTWBExt"/>
      </w:rPr>
      <w:t>&gt;</w:t>
    </w:r>
    <w:r w:rsidRPr="000C1250">
      <w:tab/>
    </w:r>
    <w:r w:rsidRPr="000C1250">
      <w:tab/>
      <w:t>PE</w:t>
    </w:r>
    <w:r w:rsidRPr="000C1250">
      <w:rPr>
        <w:rStyle w:val="HideTWBExt"/>
      </w:rPr>
      <w:t>&lt;</w:t>
    </w:r>
    <w:proofErr w:type="spellStart"/>
    <w:r w:rsidRPr="000C1250">
      <w:rPr>
        <w:rStyle w:val="HideTWBExt"/>
      </w:rPr>
      <w:t>NoPE</w:t>
    </w:r>
    <w:proofErr w:type="spellEnd"/>
    <w:r w:rsidRPr="000C1250">
      <w:rPr>
        <w:rStyle w:val="HideTWBExt"/>
      </w:rPr>
      <w:t>&gt;</w:t>
    </w:r>
    <w:r w:rsidRPr="000C1250">
      <w:t>753.529</w:t>
    </w:r>
    <w:r w:rsidRPr="000C1250">
      <w:rPr>
        <w:rStyle w:val="HideTWBExt"/>
      </w:rPr>
      <w:t>&lt;/</w:t>
    </w:r>
    <w:proofErr w:type="spellStart"/>
    <w:r w:rsidRPr="000C1250">
      <w:rPr>
        <w:rStyle w:val="HideTWBExt"/>
      </w:rPr>
      <w:t>NoPE</w:t>
    </w:r>
    <w:proofErr w:type="spellEnd"/>
    <w:r w:rsidRPr="000C1250">
      <w:rPr>
        <w:rStyle w:val="HideTWBExt"/>
      </w:rPr>
      <w:t>&gt;&lt;Version&gt;</w:t>
    </w:r>
    <w:r w:rsidRPr="000C1250">
      <w:t>v02-00</w:t>
    </w:r>
    <w:r w:rsidRPr="000C1250">
      <w:rPr>
        <w:rStyle w:val="HideTWBExt"/>
      </w:rPr>
      <w:t>&lt;/</w:t>
    </w:r>
    <w:proofErr w:type="spellStart"/>
    <w:r w:rsidRPr="000C1250">
      <w:rPr>
        <w:rStyle w:val="HideTWBExt"/>
      </w:rPr>
      <w:t>Version</w:t>
    </w:r>
    <w:proofErr w:type="spellEnd"/>
    <w:r w:rsidRPr="000C1250">
      <w:rPr>
        <w:rStyle w:val="HideTWBExt"/>
      </w:rPr>
      <w:t>&gt;</w:t>
    </w:r>
  </w:p>
  <w:p w:rsidR="00CD46BC" w:rsidRPr="000C1250" w:rsidRDefault="00CD46BC" w:rsidP="0048318C">
    <w:pPr>
      <w:pStyle w:val="EPFooter2"/>
    </w:pPr>
    <w:r w:rsidRPr="000C1250">
      <w:t>RO</w:t>
    </w:r>
    <w:r w:rsidRPr="000C1250">
      <w:tab/>
    </w:r>
    <w:r w:rsidRPr="000C1250">
      <w:rPr>
        <w:b w:val="0"/>
        <w:i/>
        <w:color w:val="C0C0C0"/>
        <w:sz w:val="22"/>
      </w:rPr>
      <w:t>Unită în diversitate</w:t>
    </w:r>
    <w:r w:rsidRPr="000C125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A3D" w:rsidRPr="000C1250" w:rsidRDefault="00FC6A3D">
      <w:r w:rsidRPr="000C1250">
        <w:separator/>
      </w:r>
    </w:p>
  </w:footnote>
  <w:footnote w:type="continuationSeparator" w:id="0">
    <w:p w:rsidR="00FC6A3D" w:rsidRPr="000C1250" w:rsidRDefault="00FC6A3D">
      <w:r w:rsidRPr="000C1250">
        <w:continuationSeparator/>
      </w:r>
    </w:p>
  </w:footnote>
  <w:footnote w:id="1">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C, C/2023/594, 27.10.2023.</w:t>
      </w:r>
    </w:p>
  </w:footnote>
  <w:footnote w:id="2">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C, C/2023/112, 12.10.2023.</w:t>
      </w:r>
    </w:p>
  </w:footnote>
  <w:footnote w:id="3">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L 193, 30.7.2018, p. 1.</w:t>
      </w:r>
    </w:p>
  </w:footnote>
  <w:footnote w:id="4">
    <w:p w:rsidR="00CD46BC" w:rsidRPr="006F1593" w:rsidRDefault="00CD46BC" w:rsidP="000C1250">
      <w:pPr>
        <w:pStyle w:val="FootnoteText"/>
        <w:ind w:left="567" w:hanging="567"/>
        <w:rPr>
          <w:sz w:val="24"/>
          <w:szCs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L 41, 15.2.2008, p. 15.</w:t>
      </w:r>
    </w:p>
  </w:footnote>
  <w:footnote w:id="5">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C, C/2023/594, 27.10.2023.</w:t>
      </w:r>
    </w:p>
  </w:footnote>
  <w:footnote w:id="6">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C, C/2023/112, 12.10.2023.</w:t>
      </w:r>
    </w:p>
  </w:footnote>
  <w:footnote w:id="7">
    <w:p w:rsidR="00CD46BC" w:rsidRPr="006F1593"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L 193, 30.7.2018, p. 1.</w:t>
      </w:r>
    </w:p>
  </w:footnote>
  <w:footnote w:id="8">
    <w:p w:rsidR="00CD46BC" w:rsidRPr="006F1593" w:rsidRDefault="00CD46BC" w:rsidP="000C1250">
      <w:pPr>
        <w:pStyle w:val="FootnoteText"/>
        <w:ind w:left="567" w:hanging="567"/>
        <w:rPr>
          <w:sz w:val="24"/>
          <w:szCs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JO L 41, 15.2.2008, p. 15.</w:t>
      </w:r>
    </w:p>
  </w:footnote>
  <w:footnote w:id="9">
    <w:p w:rsidR="00CD46BC" w:rsidRPr="000C1250" w:rsidRDefault="00CD46BC" w:rsidP="000C1250">
      <w:pPr>
        <w:pStyle w:val="FootnoteText"/>
        <w:ind w:left="567" w:hanging="567"/>
        <w:rPr>
          <w:sz w:val="24"/>
          <w:lang w:val="ro-RO"/>
        </w:rPr>
      </w:pPr>
      <w:r w:rsidRPr="006F1593">
        <w:rPr>
          <w:rStyle w:val="FootnoteReference"/>
          <w:sz w:val="24"/>
          <w:lang w:val="ro-RO"/>
        </w:rPr>
        <w:footnoteRef/>
      </w:r>
      <w:r w:rsidR="000C1250" w:rsidRPr="006F1593">
        <w:rPr>
          <w:sz w:val="24"/>
          <w:lang w:val="ro-RO"/>
        </w:rPr>
        <w:t xml:space="preserve"> </w:t>
      </w:r>
      <w:r w:rsidR="000C1250" w:rsidRPr="006F1593">
        <w:rPr>
          <w:sz w:val="24"/>
          <w:lang w:val="ro-RO"/>
        </w:rPr>
        <w:tab/>
      </w:r>
      <w:r w:rsidRPr="006F1593">
        <w:rPr>
          <w:sz w:val="24"/>
          <w:lang w:val="ro-RO"/>
        </w:rPr>
        <w:t>Texte adoptate, P9_TA(2024)</w:t>
      </w:r>
      <w:r w:rsidR="006F1593" w:rsidRPr="006F1593">
        <w:rPr>
          <w:sz w:val="24"/>
          <w:lang w:val="ro-RO"/>
        </w:rPr>
        <w:t>0</w:t>
      </w:r>
      <w:r w:rsidR="006F1593" w:rsidRPr="006F1593">
        <w:rPr>
          <w:sz w:val="24"/>
          <w:lang w:val="ro-RO"/>
        </w:rPr>
        <w:t>280</w:t>
      </w:r>
      <w:r w:rsidRPr="006F159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2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RO"/>
    <w:docVar w:name="dvnumam" w:val="0"/>
    <w:docVar w:name="dvpe" w:val="753.529"/>
    <w:docVar w:name="dvrapporteur" w:val="Raportor: "/>
    <w:docVar w:name="dvtitre" w:val="1. Decizia Parlamentului European din 11 aprilie 2024 privind descărcarea de gestiune pentru execuția bugetului Agenției de Aprovizionare a Euratom aferent exercițiului financiar 2022(2023/2161(DEC))"/>
  </w:docVars>
  <w:rsids>
    <w:rsidRoot w:val="00FC6A3D"/>
    <w:rsid w:val="00002272"/>
    <w:rsid w:val="00064002"/>
    <w:rsid w:val="000677B9"/>
    <w:rsid w:val="000831BA"/>
    <w:rsid w:val="000A42CC"/>
    <w:rsid w:val="000C125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79B"/>
    <w:rsid w:val="00545827"/>
    <w:rsid w:val="00560270"/>
    <w:rsid w:val="005C2568"/>
    <w:rsid w:val="006037C0"/>
    <w:rsid w:val="00607583"/>
    <w:rsid w:val="006631B6"/>
    <w:rsid w:val="00680577"/>
    <w:rsid w:val="006F1593"/>
    <w:rsid w:val="006F74FA"/>
    <w:rsid w:val="00731ADD"/>
    <w:rsid w:val="00734777"/>
    <w:rsid w:val="00747932"/>
    <w:rsid w:val="00751A4A"/>
    <w:rsid w:val="00756632"/>
    <w:rsid w:val="00762C74"/>
    <w:rsid w:val="00777DA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161"/>
    <w:rsid w:val="00BD48FE"/>
    <w:rsid w:val="00BD7BD8"/>
    <w:rsid w:val="00BE6ADC"/>
    <w:rsid w:val="00C05BFE"/>
    <w:rsid w:val="00C23CD4"/>
    <w:rsid w:val="00C61C0C"/>
    <w:rsid w:val="00C941CB"/>
    <w:rsid w:val="00CC2357"/>
    <w:rsid w:val="00CD46BC"/>
    <w:rsid w:val="00CF071A"/>
    <w:rsid w:val="00D058B8"/>
    <w:rsid w:val="00D56C11"/>
    <w:rsid w:val="00D834A0"/>
    <w:rsid w:val="00D872DF"/>
    <w:rsid w:val="00D91E21"/>
    <w:rsid w:val="00DA7FCD"/>
    <w:rsid w:val="00E365E1"/>
    <w:rsid w:val="00E820A4"/>
    <w:rsid w:val="00E96E30"/>
    <w:rsid w:val="00EB006A"/>
    <w:rsid w:val="00EB4772"/>
    <w:rsid w:val="00ED169E"/>
    <w:rsid w:val="00ED4235"/>
    <w:rsid w:val="00F04346"/>
    <w:rsid w:val="00F075DC"/>
    <w:rsid w:val="00F149E9"/>
    <w:rsid w:val="00F5134D"/>
    <w:rsid w:val="00F74202"/>
    <w:rsid w:val="00F87713"/>
    <w:rsid w:val="00FB4360"/>
    <w:rsid w:val="00FC6A3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90624"/>
  <w15:chartTrackingRefBased/>
  <w15:docId w15:val="{402A573E-92C1-4E2A-B309-EF780564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46B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46BC"/>
    <w:pPr>
      <w:spacing w:before="480" w:after="240"/>
    </w:pPr>
  </w:style>
  <w:style w:type="paragraph" w:customStyle="1" w:styleId="PageHeading">
    <w:name w:val="PageHeading"/>
    <w:basedOn w:val="Normal"/>
    <w:rsid w:val="00CD46BC"/>
    <w:pPr>
      <w:keepNext/>
      <w:spacing w:after="480"/>
      <w:jc w:val="center"/>
    </w:pPr>
    <w:rPr>
      <w:rFonts w:ascii="Arial" w:hAnsi="Arial" w:cs="Arial"/>
      <w:b/>
    </w:rPr>
  </w:style>
  <w:style w:type="paragraph" w:customStyle="1" w:styleId="NormalBold">
    <w:name w:val="NormalBold"/>
    <w:basedOn w:val="Normal"/>
    <w:rsid w:val="00CD46BC"/>
    <w:rPr>
      <w:b/>
    </w:rPr>
  </w:style>
  <w:style w:type="paragraph" w:customStyle="1" w:styleId="NormalHanging12a">
    <w:name w:val="NormalHanging12a"/>
    <w:basedOn w:val="Normal"/>
    <w:link w:val="NormalHanging12aChar"/>
    <w:rsid w:val="00CD46BC"/>
    <w:pPr>
      <w:spacing w:after="240"/>
      <w:ind w:left="567" w:hanging="567"/>
    </w:pPr>
  </w:style>
  <w:style w:type="paragraph" w:customStyle="1" w:styleId="NormalCenter12a">
    <w:name w:val="NormalCenter12a"/>
    <w:basedOn w:val="Normal"/>
    <w:rsid w:val="00CD46BC"/>
    <w:pPr>
      <w:spacing w:after="240"/>
      <w:jc w:val="center"/>
    </w:pPr>
  </w:style>
  <w:style w:type="paragraph" w:styleId="Header">
    <w:name w:val="header"/>
    <w:basedOn w:val="Normal"/>
    <w:link w:val="HeaderChar"/>
    <w:rsid w:val="00CD46BC"/>
    <w:pPr>
      <w:tabs>
        <w:tab w:val="center" w:pos="4513"/>
        <w:tab w:val="right" w:pos="9026"/>
      </w:tabs>
    </w:pPr>
  </w:style>
  <w:style w:type="character" w:customStyle="1" w:styleId="HeaderChar">
    <w:name w:val="Header Char"/>
    <w:basedOn w:val="DefaultParagraphFont"/>
    <w:link w:val="Header"/>
    <w:rsid w:val="00CD46BC"/>
    <w:rPr>
      <w:sz w:val="24"/>
      <w:lang w:val="ro-RO"/>
    </w:rPr>
  </w:style>
  <w:style w:type="paragraph" w:customStyle="1" w:styleId="EPFooter">
    <w:name w:val="EPFooter"/>
    <w:basedOn w:val="Normal"/>
    <w:rsid w:val="00CD46B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D46BC"/>
    <w:rPr>
      <w:sz w:val="24"/>
      <w:lang w:val="ro-RO"/>
    </w:rPr>
  </w:style>
  <w:style w:type="paragraph" w:customStyle="1" w:styleId="Normal24a">
    <w:name w:val="Normal24a"/>
    <w:basedOn w:val="Normal"/>
    <w:rsid w:val="00CD46BC"/>
    <w:pPr>
      <w:spacing w:after="480"/>
    </w:pPr>
  </w:style>
  <w:style w:type="paragraph" w:customStyle="1" w:styleId="Normal12a">
    <w:name w:val="Normal12a"/>
    <w:basedOn w:val="Normal"/>
    <w:rsid w:val="00CD46BC"/>
    <w:pPr>
      <w:spacing w:after="240"/>
    </w:pPr>
  </w:style>
  <w:style w:type="paragraph" w:customStyle="1" w:styleId="RollCallVotes">
    <w:name w:val="RollCallVotes"/>
    <w:basedOn w:val="Normal"/>
    <w:rsid w:val="00CD46BC"/>
    <w:pPr>
      <w:spacing w:before="120" w:after="120"/>
      <w:jc w:val="center"/>
    </w:pPr>
    <w:rPr>
      <w:b/>
      <w:bCs/>
      <w:snapToGrid w:val="0"/>
      <w:sz w:val="16"/>
      <w:lang w:eastAsia="en-US"/>
    </w:rPr>
  </w:style>
  <w:style w:type="paragraph" w:customStyle="1" w:styleId="RollCallSymbols14pt">
    <w:name w:val="RollCallSymbols14pt"/>
    <w:basedOn w:val="Normal"/>
    <w:rsid w:val="00CD46BC"/>
    <w:pPr>
      <w:spacing w:before="120" w:after="120"/>
      <w:jc w:val="center"/>
    </w:pPr>
    <w:rPr>
      <w:rFonts w:ascii="Arial" w:hAnsi="Arial"/>
      <w:b/>
      <w:bCs/>
      <w:snapToGrid w:val="0"/>
      <w:sz w:val="28"/>
      <w:lang w:eastAsia="en-US"/>
    </w:rPr>
  </w:style>
  <w:style w:type="paragraph" w:customStyle="1" w:styleId="RollCallTable">
    <w:name w:val="RollCallTable"/>
    <w:basedOn w:val="Normal"/>
    <w:rsid w:val="00CD46BC"/>
    <w:pPr>
      <w:spacing w:before="120" w:after="120"/>
    </w:pPr>
    <w:rPr>
      <w:snapToGrid w:val="0"/>
      <w:sz w:val="16"/>
      <w:lang w:eastAsia="en-US"/>
    </w:rPr>
  </w:style>
  <w:style w:type="paragraph" w:styleId="Footer">
    <w:name w:val="footer"/>
    <w:basedOn w:val="Normal"/>
    <w:link w:val="FooterChar"/>
    <w:rsid w:val="00B62161"/>
    <w:pPr>
      <w:tabs>
        <w:tab w:val="center" w:pos="4513"/>
        <w:tab w:val="right" w:pos="9026"/>
      </w:tabs>
    </w:pPr>
  </w:style>
  <w:style w:type="character" w:customStyle="1" w:styleId="FooterChar">
    <w:name w:val="Footer Char"/>
    <w:basedOn w:val="DefaultParagraphFont"/>
    <w:link w:val="Footer"/>
    <w:rsid w:val="00B62161"/>
    <w:rPr>
      <w:sz w:val="24"/>
      <w:lang w:val="ro-RO"/>
    </w:rPr>
  </w:style>
  <w:style w:type="paragraph" w:styleId="BalloonText">
    <w:name w:val="Balloon Text"/>
    <w:basedOn w:val="Normal"/>
    <w:link w:val="BalloonTextChar"/>
    <w:rsid w:val="00777DAC"/>
    <w:rPr>
      <w:rFonts w:ascii="Segoe UI" w:hAnsi="Segoe UI" w:cs="Segoe UI"/>
      <w:sz w:val="18"/>
      <w:szCs w:val="18"/>
    </w:rPr>
  </w:style>
  <w:style w:type="character" w:customStyle="1" w:styleId="BalloonTextChar">
    <w:name w:val="Balloon Text Char"/>
    <w:basedOn w:val="DefaultParagraphFont"/>
    <w:link w:val="BalloonText"/>
    <w:rsid w:val="00777DA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70815-CB1B-4C5A-B959-699C0C563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2393</Words>
  <Characters>14386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2024-04-11T14:03:00Z</dcterms:created>
  <dcterms:modified xsi:type="dcterms:W3CDTF">2024-04-11T14:03:00Z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A9-0108/2024</vt:lpwstr>
  </property>
  <property fmtid="{D5CDD505-2E9C-101B-9397-08002B2CF9AE}" pid="4" name="&lt;Type&gt;">
    <vt:lpwstr>RR</vt:lpwstr>
  </property>
</Properties>
</file>