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340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3402" w:rsidRDefault="001F4864" w:rsidP="0010095E">
            <w:pPr>
              <w:pStyle w:val="EPName"/>
            </w:pPr>
            <w:bookmarkStart w:id="0" w:name="_GoBack"/>
            <w:bookmarkEnd w:id="0"/>
            <w:r w:rsidRPr="003D3402">
              <w:t>Európsky parlament</w:t>
            </w:r>
          </w:p>
          <w:p w:rsidR="00751A4A" w:rsidRPr="003D340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340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D3402" w:rsidRDefault="00187494" w:rsidP="0010095E">
            <w:pPr>
              <w:pStyle w:val="EPLogo"/>
            </w:pPr>
            <w:r w:rsidRPr="003D340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3402" w:rsidRDefault="00D058B8" w:rsidP="004C5D52">
      <w:pPr>
        <w:pStyle w:val="LineTop"/>
      </w:pPr>
    </w:p>
    <w:p w:rsidR="00680577" w:rsidRPr="003D3402" w:rsidRDefault="001F4864" w:rsidP="00680577">
      <w:pPr>
        <w:pStyle w:val="EPBodyTA1"/>
      </w:pPr>
      <w:r w:rsidRPr="003D3402">
        <w:t>PRIJATÉ TEXTY</w:t>
      </w:r>
    </w:p>
    <w:p w:rsidR="00D058B8" w:rsidRPr="003D3402" w:rsidRDefault="00D058B8" w:rsidP="00D058B8">
      <w:pPr>
        <w:pStyle w:val="LineBottom"/>
      </w:pPr>
    </w:p>
    <w:p w:rsidR="001F4864" w:rsidRPr="003D3402" w:rsidRDefault="001F4864" w:rsidP="001F4864">
      <w:pPr>
        <w:pStyle w:val="ATHeading1"/>
      </w:pPr>
      <w:bookmarkStart w:id="1" w:name="TANumber"/>
      <w:r w:rsidRPr="003D3402">
        <w:t>P9_TA(2024)0</w:t>
      </w:r>
      <w:r w:rsidR="003D3402" w:rsidRPr="003D3402">
        <w:t>259</w:t>
      </w:r>
      <w:bookmarkEnd w:id="1"/>
    </w:p>
    <w:p w:rsidR="001F4864" w:rsidRPr="003D3402" w:rsidRDefault="001F4864" w:rsidP="001F4864">
      <w:pPr>
        <w:pStyle w:val="ATHeading2"/>
      </w:pPr>
      <w:bookmarkStart w:id="2" w:name="title"/>
      <w:r w:rsidRPr="003D3402">
        <w:t xml:space="preserve">Absolutórium za rok 2022: Zásobovacia agentúra </w:t>
      </w:r>
      <w:proofErr w:type="spellStart"/>
      <w:r w:rsidRPr="003D3402">
        <w:t>Euratomu</w:t>
      </w:r>
      <w:bookmarkEnd w:id="2"/>
      <w:proofErr w:type="spellEnd"/>
    </w:p>
    <w:p w:rsidR="001F4864" w:rsidRPr="003D3402" w:rsidRDefault="001F4864" w:rsidP="001F4864">
      <w:pPr>
        <w:rPr>
          <w:i/>
          <w:vanish/>
        </w:rPr>
      </w:pPr>
      <w:r w:rsidRPr="003D3402">
        <w:rPr>
          <w:i/>
        </w:rPr>
        <w:fldChar w:fldCharType="begin"/>
      </w:r>
      <w:r w:rsidRPr="003D3402">
        <w:rPr>
          <w:i/>
        </w:rPr>
        <w:instrText xml:space="preserve"> TC"(</w:instrText>
      </w:r>
      <w:bookmarkStart w:id="3" w:name="DocNumber"/>
      <w:r w:rsidRPr="003D3402">
        <w:rPr>
          <w:i/>
        </w:rPr>
        <w:instrText>A9-0108/2024</w:instrText>
      </w:r>
      <w:bookmarkEnd w:id="3"/>
      <w:r w:rsidRPr="003D3402">
        <w:rPr>
          <w:i/>
        </w:rPr>
        <w:instrText xml:space="preserve"> - Spravodajca: Petri Sarvamaa)"\l3 \n&gt; \* MERGEFORMAT </w:instrText>
      </w:r>
      <w:r w:rsidRPr="003D3402">
        <w:rPr>
          <w:i/>
        </w:rPr>
        <w:fldChar w:fldCharType="end"/>
      </w:r>
    </w:p>
    <w:p w:rsidR="001F4864" w:rsidRPr="003D3402" w:rsidRDefault="001F4864" w:rsidP="001F4864">
      <w:pPr>
        <w:rPr>
          <w:vanish/>
        </w:rPr>
      </w:pPr>
      <w:bookmarkStart w:id="4" w:name="Commission"/>
      <w:r w:rsidRPr="003D3402">
        <w:rPr>
          <w:vanish/>
        </w:rPr>
        <w:t>Výbor pre kontrolu rozpočtu</w:t>
      </w:r>
      <w:bookmarkEnd w:id="4"/>
    </w:p>
    <w:p w:rsidR="001F4864" w:rsidRPr="003D3402" w:rsidRDefault="001F4864" w:rsidP="001F4864">
      <w:pPr>
        <w:rPr>
          <w:vanish/>
        </w:rPr>
      </w:pPr>
      <w:bookmarkStart w:id="5" w:name="PE"/>
      <w:r w:rsidRPr="003D3402">
        <w:rPr>
          <w:vanish/>
        </w:rPr>
        <w:t>PE753.529</w:t>
      </w:r>
      <w:bookmarkEnd w:id="5"/>
    </w:p>
    <w:p w:rsidR="001F4864" w:rsidRPr="003D3402" w:rsidRDefault="004D4FF4" w:rsidP="001F4864">
      <w:pPr>
        <w:pStyle w:val="ATHeading3"/>
      </w:pPr>
      <w:bookmarkStart w:id="6" w:name="Sujet"/>
      <w:r w:rsidRPr="003D3402">
        <w:t>1. R</w:t>
      </w:r>
      <w:r w:rsidR="001F4864" w:rsidRPr="003D3402">
        <w:t>ozhodnutie Európskeho parlamentu z</w:t>
      </w:r>
      <w:r w:rsidR="00043F84" w:rsidRPr="003D3402">
        <w:t> 11</w:t>
      </w:r>
      <w:r w:rsidR="001F4864" w:rsidRPr="003D3402">
        <w:t xml:space="preserve">. apríla 2024 o absolutóriu za plnenie rozpočtu Zásobovacej agentúry </w:t>
      </w:r>
      <w:proofErr w:type="spellStart"/>
      <w:r w:rsidR="001F4864" w:rsidRPr="003D3402">
        <w:t>Euratomu</w:t>
      </w:r>
      <w:proofErr w:type="spellEnd"/>
      <w:r w:rsidR="001F4864" w:rsidRPr="003D3402">
        <w:t xml:space="preserve"> za rozpočtový rok 2022</w:t>
      </w:r>
      <w:bookmarkEnd w:id="6"/>
      <w:r w:rsidR="001F4864" w:rsidRPr="003D3402">
        <w:t xml:space="preserve"> </w:t>
      </w:r>
      <w:bookmarkStart w:id="7" w:name="References"/>
      <w:r w:rsidR="001F4864" w:rsidRPr="003D3402">
        <w:t>(2023/2161(DEC))</w:t>
      </w:r>
      <w:bookmarkEnd w:id="7"/>
    </w:p>
    <w:p w:rsidR="00A74E1D" w:rsidRPr="003D3402" w:rsidRDefault="00A74E1D" w:rsidP="00A74E1D">
      <w:pPr>
        <w:pStyle w:val="EPComma"/>
      </w:pPr>
      <w:bookmarkStart w:id="8" w:name="TextBodyBegin"/>
      <w:bookmarkEnd w:id="8"/>
      <w:r w:rsidRPr="003D3402">
        <w:rPr>
          <w:i/>
          <w:iCs/>
        </w:rPr>
        <w:t>Európsky parlament,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 xml:space="preserve">so zreteľom na konečnú ročnú účtovnú závierku Zásobovacej agentúry </w:t>
      </w:r>
      <w:proofErr w:type="spellStart"/>
      <w:r w:rsidRPr="003D3402">
        <w:t>Euratomu</w:t>
      </w:r>
      <w:proofErr w:type="spellEnd"/>
      <w:r w:rsidRPr="003D3402">
        <w:t xml:space="preserve"> za rozpočtový rok 2022,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>so zreteľom na výročnú správu Dvora audítorov o agentúrach EÚ za rozpočtový rok 2022 spolu s odpoveďami agentúr</w:t>
      </w:r>
      <w:r w:rsidRPr="003D3402">
        <w:rPr>
          <w:rStyle w:val="FootnoteReference"/>
        </w:rPr>
        <w:footnoteReference w:id="1"/>
      </w:r>
      <w:r w:rsidRPr="003D3402">
        <w:t>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>so zreteľom na vyhlásenie o vierohodnosti</w:t>
      </w:r>
      <w:r w:rsidRPr="003D3402">
        <w:rPr>
          <w:rStyle w:val="FootnoteReference"/>
        </w:rPr>
        <w:footnoteReference w:id="2"/>
      </w:r>
      <w:r w:rsidRPr="003D3402">
        <w:t xml:space="preserve"> vedenia účtov a zákonnosti a správnosti príslušných operácií, ktoré poskytol Dvor audítorov za rozpočtový rok 2022 v súlade s článkom 287 Zmluvy o fungovaní Európskej únie,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>so zreteľom na odporúčanie Rady z 22. februára 2024 o udelení absolutória agentúre za plnenie rozpočtu za rozpočtový rok 2022 (</w:t>
      </w:r>
      <w:r w:rsidR="00043F84" w:rsidRPr="003D3402">
        <w:t>06180</w:t>
      </w:r>
      <w:r w:rsidRPr="003D3402">
        <w:t>/2024 – C9</w:t>
      </w:r>
      <w:r w:rsidRPr="003D3402">
        <w:noBreakHyphen/>
      </w:r>
      <w:r w:rsidR="00043F84" w:rsidRPr="003D3402">
        <w:t>0099</w:t>
      </w:r>
      <w:r w:rsidRPr="003D3402">
        <w:t>/2024),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>so zreteľom na článok 319 Zmluvy o fungovaní Európskej únie,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>so zreteľom na článok 106a Zmluvy o založení Európskeho spoločenstva pre atómovú energiu,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 xml:space="preserve">so zreteľom na nariadenie Európskeho parlamentu a Rady (EÚ, </w:t>
      </w:r>
      <w:proofErr w:type="spellStart"/>
      <w:r w:rsidRPr="003D3402">
        <w:t>Euratom</w:t>
      </w:r>
      <w:proofErr w:type="spellEnd"/>
      <w:r w:rsidRPr="003D3402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3D3402">
        <w:t>Euratom</w:t>
      </w:r>
      <w:proofErr w:type="spellEnd"/>
      <w:r w:rsidRPr="003D3402">
        <w:t>) č. 966/2012</w:t>
      </w:r>
      <w:r w:rsidRPr="003D3402">
        <w:rPr>
          <w:rStyle w:val="FootnoteReference"/>
        </w:rPr>
        <w:footnoteReference w:id="3"/>
      </w:r>
      <w:r w:rsidRPr="003D3402">
        <w:t>, a najmä na jeho článok 68,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 xml:space="preserve">so zreteľom na rozhodnutie Rady 2008/114/ES, </w:t>
      </w:r>
      <w:proofErr w:type="spellStart"/>
      <w:r w:rsidRPr="003D3402">
        <w:t>Euratom</w:t>
      </w:r>
      <w:proofErr w:type="spellEnd"/>
      <w:r w:rsidRPr="003D3402">
        <w:t xml:space="preserve"> z 12. februára 2008, ktorým sa ustanovuje štatút Zásobovacej agentúry </w:t>
      </w:r>
      <w:proofErr w:type="spellStart"/>
      <w:r w:rsidRPr="003D3402">
        <w:t>Euratomu</w:t>
      </w:r>
      <w:proofErr w:type="spellEnd"/>
      <w:r w:rsidRPr="003D3402">
        <w:rPr>
          <w:rStyle w:val="FootnoteReference"/>
        </w:rPr>
        <w:footnoteReference w:id="4"/>
      </w:r>
      <w:r w:rsidRPr="003D3402">
        <w:t>, a najmä na článok 8 jeho prílohy,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>so zreteľom na článok 100 a prílohu V k rokovaciemu poriadku,</w:t>
      </w:r>
    </w:p>
    <w:p w:rsidR="00A74E1D" w:rsidRPr="003D3402" w:rsidRDefault="00A74E1D" w:rsidP="00A74E1D">
      <w:pPr>
        <w:pStyle w:val="NormalHanging12a"/>
      </w:pPr>
      <w:r w:rsidRPr="003D3402">
        <w:lastRenderedPageBreak/>
        <w:t>–</w:t>
      </w:r>
      <w:r w:rsidRPr="003D3402">
        <w:tab/>
        <w:t>so zreteľom na správu Výboru pre kontrolu rozpočtu (A9-0108/2024),</w:t>
      </w:r>
    </w:p>
    <w:p w:rsidR="00A74E1D" w:rsidRPr="003D3402" w:rsidRDefault="00A74E1D" w:rsidP="00A74E1D">
      <w:pPr>
        <w:pStyle w:val="NormalHanging12a"/>
      </w:pPr>
      <w:r w:rsidRPr="003D3402">
        <w:t>1.</w:t>
      </w:r>
      <w:r w:rsidRPr="003D3402">
        <w:tab/>
        <w:t xml:space="preserve">udeľuje absolutórium úradujúcemu generálnemu riaditeľovi Zásobovacej agentúry </w:t>
      </w:r>
      <w:proofErr w:type="spellStart"/>
      <w:r w:rsidRPr="003D3402">
        <w:t>Euratomu</w:t>
      </w:r>
      <w:proofErr w:type="spellEnd"/>
      <w:r w:rsidRPr="003D3402">
        <w:t xml:space="preserve"> za plnenie rozpočtu agentúry za rozpočtový rok 2022;</w:t>
      </w:r>
    </w:p>
    <w:p w:rsidR="00A74E1D" w:rsidRPr="003D3402" w:rsidRDefault="00A74E1D" w:rsidP="00A74E1D">
      <w:pPr>
        <w:pStyle w:val="NormalHanging12a"/>
      </w:pPr>
      <w:r w:rsidRPr="003D3402">
        <w:t>2.</w:t>
      </w:r>
      <w:r w:rsidRPr="003D3402">
        <w:tab/>
        <w:t>uvádza svoje poznámky v priloženom uznesení;</w:t>
      </w:r>
    </w:p>
    <w:p w:rsidR="00A74E1D" w:rsidRPr="003D3402" w:rsidRDefault="00A74E1D" w:rsidP="00A74E1D">
      <w:pPr>
        <w:pStyle w:val="NormalHanging12a"/>
      </w:pPr>
      <w:r w:rsidRPr="003D3402">
        <w:t>3.</w:t>
      </w:r>
      <w:r w:rsidRPr="003D3402">
        <w:tab/>
        <w:t xml:space="preserve">poveruje svoju predsedníčku, aby postúpila toto rozhodnutie a uznesenie, ktoré je jeho neoddeliteľnou súčasťou, úradujúcemu generálnemu riaditeľovi Zásobovacej agentúry </w:t>
      </w:r>
      <w:proofErr w:type="spellStart"/>
      <w:r w:rsidRPr="003D3402">
        <w:t>Euratomu</w:t>
      </w:r>
      <w:proofErr w:type="spellEnd"/>
      <w:r w:rsidRPr="003D3402">
        <w:t>, Rade, Komisii a Dvoru audítorov a aby zabezpečila ich uverejnenie v </w:t>
      </w:r>
      <w:r w:rsidRPr="003D3402">
        <w:rPr>
          <w:i/>
          <w:iCs/>
        </w:rPr>
        <w:t>Úradnom vestníku Európskej únie</w:t>
      </w:r>
      <w:r w:rsidRPr="003D3402">
        <w:t xml:space="preserve"> (v sérii L).</w:t>
      </w:r>
    </w:p>
    <w:p w:rsidR="00A74E1D" w:rsidRPr="003D3402" w:rsidRDefault="00A74E1D" w:rsidP="00A74E1D"/>
    <w:p w:rsidR="00A74E1D" w:rsidRPr="003D3402" w:rsidRDefault="00A74E1D" w:rsidP="00A74E1D">
      <w:pPr>
        <w:widowControl/>
        <w:rPr>
          <w:rFonts w:ascii="Arial" w:hAnsi="Arial" w:cs="Arial"/>
          <w:b/>
        </w:rPr>
        <w:sectPr w:rsidR="00A74E1D" w:rsidRPr="003D3402" w:rsidSect="000D6656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A74E1D" w:rsidRPr="003D3402" w:rsidRDefault="00A74E1D" w:rsidP="004D4FF4">
      <w:pPr>
        <w:pStyle w:val="ATHeading3"/>
      </w:pPr>
      <w:bookmarkStart w:id="9" w:name="_Toc161915583"/>
      <w:r w:rsidRPr="003D3402">
        <w:lastRenderedPageBreak/>
        <w:t xml:space="preserve">2. </w:t>
      </w:r>
      <w:bookmarkEnd w:id="9"/>
      <w:r w:rsidR="004D4FF4" w:rsidRPr="003D3402">
        <w:t>Rozhodnutie Európskeho parlamentu z</w:t>
      </w:r>
      <w:r w:rsidR="00043F84" w:rsidRPr="003D3402">
        <w:t> 11</w:t>
      </w:r>
      <w:r w:rsidR="004D4FF4" w:rsidRPr="003D3402">
        <w:t xml:space="preserve">. apríla 2024 </w:t>
      </w:r>
      <w:r w:rsidRPr="003D3402">
        <w:t xml:space="preserve">o účtovnej závierke Zásobovacej agentúry </w:t>
      </w:r>
      <w:proofErr w:type="spellStart"/>
      <w:r w:rsidRPr="003D3402">
        <w:t>Euratomu</w:t>
      </w:r>
      <w:proofErr w:type="spellEnd"/>
      <w:r w:rsidRPr="003D3402">
        <w:t xml:space="preserve"> za rozpočtový rok 2022</w:t>
      </w:r>
      <w:r w:rsidR="004D4FF4" w:rsidRPr="003D3402">
        <w:t xml:space="preserve"> </w:t>
      </w:r>
      <w:r w:rsidRPr="003D3402">
        <w:t>(2023/2161(DEC))</w:t>
      </w:r>
    </w:p>
    <w:p w:rsidR="00A74E1D" w:rsidRPr="003D3402" w:rsidRDefault="00A74E1D" w:rsidP="00A74E1D">
      <w:pPr>
        <w:pStyle w:val="EPComma"/>
      </w:pPr>
      <w:r w:rsidRPr="003D3402">
        <w:rPr>
          <w:i/>
          <w:iCs/>
        </w:rPr>
        <w:t>Európsky parlament</w:t>
      </w:r>
      <w:r w:rsidRPr="003D3402">
        <w:t>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 xml:space="preserve">so zreteľom na konečnú ročnú účtovnú závierku Zásobovacej agentúry </w:t>
      </w:r>
      <w:proofErr w:type="spellStart"/>
      <w:r w:rsidRPr="003D3402">
        <w:t>Euratomu</w:t>
      </w:r>
      <w:proofErr w:type="spellEnd"/>
      <w:r w:rsidRPr="003D3402">
        <w:t xml:space="preserve"> za rozpočtový rok 2022,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>so zreteľom na výročnú správu Dvora audítorov o agentúrach EÚ za rozpočtový rok 2022 spolu s odpoveďami agentúr</w:t>
      </w:r>
      <w:r w:rsidRPr="003D3402">
        <w:rPr>
          <w:rStyle w:val="FootnoteReference"/>
        </w:rPr>
        <w:footnoteReference w:id="5"/>
      </w:r>
      <w:r w:rsidRPr="003D3402">
        <w:t>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>so zreteľom na vyhlásenie o vierohodnosti</w:t>
      </w:r>
      <w:r w:rsidRPr="003D3402">
        <w:rPr>
          <w:rStyle w:val="FootnoteReference"/>
        </w:rPr>
        <w:footnoteReference w:id="6"/>
      </w:r>
      <w:r w:rsidRPr="003D3402">
        <w:t xml:space="preserve"> vedenia účtov a zákonnosti a správnosti príslušných operácií, ktoré poskytol Dvor audítorov za rozpočtový rok 2022 v súlade s článkom 287 Zmluvy o fungovaní Európskej únie,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>so zreteľom na odporúčanie Rady z 22. februára 2024 o udelení absolutória agentúre za plnenie rozpočtu za rozpočtový rok 2022 (</w:t>
      </w:r>
      <w:r w:rsidR="00043F84" w:rsidRPr="003D3402">
        <w:t>06180</w:t>
      </w:r>
      <w:r w:rsidRPr="003D3402">
        <w:t>/2024 – C9</w:t>
      </w:r>
      <w:r w:rsidRPr="003D3402">
        <w:noBreakHyphen/>
      </w:r>
      <w:r w:rsidR="00043F84" w:rsidRPr="003D3402">
        <w:t>0099</w:t>
      </w:r>
      <w:r w:rsidRPr="003D3402">
        <w:t>/2024),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>so zreteľom na článok 319 Zmluvy o fungovaní Európskej únie,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>so zreteľom na článok 106a Zmluvy o založení Európskeho spoločenstva pre atómovú energiu,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 xml:space="preserve">so zreteľom na nariadenie Európskeho parlamentu a Rady (EÚ, </w:t>
      </w:r>
      <w:proofErr w:type="spellStart"/>
      <w:r w:rsidRPr="003D3402">
        <w:t>Euratom</w:t>
      </w:r>
      <w:proofErr w:type="spellEnd"/>
      <w:r w:rsidRPr="003D3402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3D3402">
        <w:t>Euratom</w:t>
      </w:r>
      <w:proofErr w:type="spellEnd"/>
      <w:r w:rsidRPr="003D3402">
        <w:t>) č. 966/2012</w:t>
      </w:r>
      <w:r w:rsidRPr="003D3402">
        <w:rPr>
          <w:rStyle w:val="FootnoteReference"/>
        </w:rPr>
        <w:footnoteReference w:id="7"/>
      </w:r>
      <w:r w:rsidRPr="003D3402">
        <w:t>, a najmä na jeho článok 68,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 xml:space="preserve">so zreteľom na rozhodnutie Rady 2008/114/ES, </w:t>
      </w:r>
      <w:proofErr w:type="spellStart"/>
      <w:r w:rsidRPr="003D3402">
        <w:t>Euratom</w:t>
      </w:r>
      <w:proofErr w:type="spellEnd"/>
      <w:r w:rsidRPr="003D3402">
        <w:t xml:space="preserve"> z 12. februára 2008, ktorým sa ustanovuje štatút Zásobovacej agentúry </w:t>
      </w:r>
      <w:proofErr w:type="spellStart"/>
      <w:r w:rsidRPr="003D3402">
        <w:t>Euratomu</w:t>
      </w:r>
      <w:proofErr w:type="spellEnd"/>
      <w:r w:rsidRPr="003D3402">
        <w:rPr>
          <w:rStyle w:val="FootnoteReference"/>
        </w:rPr>
        <w:footnoteReference w:id="8"/>
      </w:r>
      <w:r w:rsidRPr="003D3402">
        <w:t>, a najmä na článok 8 jeho prílohy,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>so zreteľom na článok 100 a prílohu V k rokovaciemu poriadku,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>so zreteľom na správu Výboru pre kontrolu rozpočtu (A9-0108/2024),</w:t>
      </w:r>
    </w:p>
    <w:p w:rsidR="00A74E1D" w:rsidRPr="003D3402" w:rsidRDefault="00A74E1D" w:rsidP="00A74E1D">
      <w:pPr>
        <w:pStyle w:val="NormalHanging12a"/>
      </w:pPr>
      <w:r w:rsidRPr="003D3402">
        <w:t>1.</w:t>
      </w:r>
      <w:r w:rsidRPr="003D3402">
        <w:tab/>
        <w:t xml:space="preserve">schvaľuje účtovnú závierku Zásobovacej agentúry </w:t>
      </w:r>
      <w:proofErr w:type="spellStart"/>
      <w:r w:rsidRPr="003D3402">
        <w:t>Euratomu</w:t>
      </w:r>
      <w:proofErr w:type="spellEnd"/>
      <w:r w:rsidRPr="003D3402">
        <w:t xml:space="preserve"> za rozpočtový rok 2022;</w:t>
      </w:r>
    </w:p>
    <w:p w:rsidR="00A74E1D" w:rsidRPr="003D3402" w:rsidRDefault="00A74E1D" w:rsidP="00A74E1D">
      <w:pPr>
        <w:pStyle w:val="NormalHanging12a"/>
      </w:pPr>
      <w:r w:rsidRPr="003D3402">
        <w:t>2.</w:t>
      </w:r>
      <w:r w:rsidRPr="003D3402">
        <w:tab/>
        <w:t xml:space="preserve">poveruje svoju predsedníčku, aby postúpila toto rozhodnutie úradujúcemu generálnemu riaditeľovi Zásobovacej agentúry </w:t>
      </w:r>
      <w:proofErr w:type="spellStart"/>
      <w:r w:rsidRPr="003D3402">
        <w:t>Euratomu</w:t>
      </w:r>
      <w:proofErr w:type="spellEnd"/>
      <w:r w:rsidRPr="003D3402">
        <w:t>, Rade, Komisii a Dvoru audítorov a aby zabezpečila jeho uverejnenie v </w:t>
      </w:r>
      <w:r w:rsidRPr="003D3402">
        <w:rPr>
          <w:i/>
          <w:iCs/>
        </w:rPr>
        <w:t>Úradnom vestníku Európskej únie</w:t>
      </w:r>
      <w:r w:rsidRPr="003D3402">
        <w:t xml:space="preserve"> (v sérii L).</w:t>
      </w:r>
    </w:p>
    <w:p w:rsidR="00A74E1D" w:rsidRPr="003D3402" w:rsidRDefault="00A74E1D" w:rsidP="00A74E1D"/>
    <w:p w:rsidR="00A74E1D" w:rsidRPr="003D3402" w:rsidRDefault="00A74E1D" w:rsidP="00A74E1D">
      <w:pPr>
        <w:widowControl/>
        <w:rPr>
          <w:rFonts w:ascii="Arial" w:hAnsi="Arial" w:cs="Arial"/>
          <w:b/>
        </w:rPr>
        <w:sectPr w:rsidR="00A74E1D" w:rsidRPr="003D3402" w:rsidSect="000D6656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A74E1D" w:rsidRPr="003D3402" w:rsidRDefault="00A74E1D" w:rsidP="004D4FF4">
      <w:pPr>
        <w:pStyle w:val="ATHeading3"/>
      </w:pPr>
      <w:bookmarkStart w:id="10" w:name="_Toc161915584"/>
      <w:r w:rsidRPr="003D3402">
        <w:lastRenderedPageBreak/>
        <w:t xml:space="preserve">3. </w:t>
      </w:r>
      <w:bookmarkEnd w:id="10"/>
      <w:r w:rsidR="004D4FF4" w:rsidRPr="003D3402">
        <w:t>Uznesenie Európskeho parlamentu z</w:t>
      </w:r>
      <w:r w:rsidR="00043F84" w:rsidRPr="003D3402">
        <w:t> 11</w:t>
      </w:r>
      <w:r w:rsidR="004D4FF4" w:rsidRPr="003D3402">
        <w:t xml:space="preserve">. apríla 2024 </w:t>
      </w:r>
      <w:r w:rsidRPr="003D3402">
        <w:t xml:space="preserve">s poznámkami, ktoré </w:t>
      </w:r>
      <w:r w:rsidR="004D4FF4" w:rsidRPr="003D3402">
        <w:t xml:space="preserve">je </w:t>
      </w:r>
      <w:r w:rsidRPr="003D3402">
        <w:t xml:space="preserve">neoddeliteľnou súčasťou rozhodnutia o absolutóriu za plnenie rozpočtu Zásobovacej agentúry </w:t>
      </w:r>
      <w:proofErr w:type="spellStart"/>
      <w:r w:rsidRPr="003D3402">
        <w:t>Euratomu</w:t>
      </w:r>
      <w:proofErr w:type="spellEnd"/>
      <w:r w:rsidRPr="003D3402">
        <w:t xml:space="preserve"> za rozpočtový rok 2022</w:t>
      </w:r>
      <w:r w:rsidR="004D4FF4" w:rsidRPr="003D3402">
        <w:t xml:space="preserve"> </w:t>
      </w:r>
      <w:r w:rsidRPr="003D3402">
        <w:t>(2023/2161(DEC))</w:t>
      </w:r>
    </w:p>
    <w:p w:rsidR="00A74E1D" w:rsidRPr="003D3402" w:rsidRDefault="00A74E1D" w:rsidP="00A74E1D">
      <w:pPr>
        <w:pStyle w:val="EPComma"/>
      </w:pPr>
      <w:r w:rsidRPr="003D3402">
        <w:rPr>
          <w:i/>
          <w:iCs/>
        </w:rPr>
        <w:t>Európsky parlament</w:t>
      </w:r>
      <w:r w:rsidRPr="003D3402">
        <w:t>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 xml:space="preserve">so zreteľom na svoje rozhodnutie o absolutóriu za plnenie rozpočtu Zásobovacej agentúry </w:t>
      </w:r>
      <w:proofErr w:type="spellStart"/>
      <w:r w:rsidRPr="003D3402">
        <w:t>Euratomu</w:t>
      </w:r>
      <w:proofErr w:type="spellEnd"/>
      <w:r w:rsidRPr="003D3402">
        <w:t xml:space="preserve"> (ďalej len „agentúra“) za rozpočtový rok 2022,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>so zreteľom na článok 100 a prílohu V k rokovaciemu poriadku,</w:t>
      </w:r>
    </w:p>
    <w:p w:rsidR="00A74E1D" w:rsidRPr="003D3402" w:rsidRDefault="00A74E1D" w:rsidP="00A74E1D">
      <w:pPr>
        <w:pStyle w:val="NormalHanging12a"/>
      </w:pPr>
      <w:r w:rsidRPr="003D3402">
        <w:t>–</w:t>
      </w:r>
      <w:r w:rsidRPr="003D3402">
        <w:tab/>
        <w:t>so zreteľom na správu Výboru pre kontrolu rozpočtu (A9-0108/2024),</w:t>
      </w:r>
    </w:p>
    <w:p w:rsidR="00A74E1D" w:rsidRPr="003D3402" w:rsidRDefault="00A74E1D" w:rsidP="00A74E1D">
      <w:pPr>
        <w:spacing w:after="240"/>
        <w:ind w:left="567" w:hanging="567"/>
        <w:rPr>
          <w:szCs w:val="24"/>
        </w:rPr>
      </w:pPr>
      <w:r w:rsidRPr="003D3402">
        <w:t>A.</w:t>
      </w:r>
      <w:r w:rsidRPr="003D3402">
        <w:tab/>
        <w:t>keďže konečný rozpočet agentúry na rozpočtový rok 2022 bol podľa jej finančného výkazu príjmov a výdavkov na úrovni 167 000 EUR, čo v porovnaní s rokom 2021 (210 000 EUR) predstavuje zníženie o 20,48 %; keďže celý rozpočet agentúry pochádza z rozpočtu Únie;</w:t>
      </w:r>
    </w:p>
    <w:p w:rsidR="00A74E1D" w:rsidRPr="003D3402" w:rsidRDefault="00A74E1D" w:rsidP="00A74E1D">
      <w:pPr>
        <w:spacing w:after="240"/>
        <w:ind w:left="567" w:hanging="567"/>
        <w:rPr>
          <w:szCs w:val="24"/>
        </w:rPr>
      </w:pPr>
      <w:r w:rsidRPr="003D3402">
        <w:t>B.</w:t>
      </w:r>
      <w:r w:rsidRPr="003D3402">
        <w:tab/>
        <w:t>keďže Dvor audítorov vo svojej správe o overení ročnej účtovnej závierky agentúry za rozpočtový rok 2022 (ďalej len „správa Dvora audítorov“) vyhlásil, že získal primeranú istotu o tom, že ročná účtovná závierka agentúry je spoľahlivá a že príslušné operácie sú zákonné a správne;</w:t>
      </w:r>
    </w:p>
    <w:p w:rsidR="00A74E1D" w:rsidRPr="003D3402" w:rsidRDefault="00A74E1D" w:rsidP="00A74E1D">
      <w:pPr>
        <w:spacing w:after="240"/>
        <w:ind w:left="567" w:hanging="567"/>
        <w:rPr>
          <w:szCs w:val="24"/>
        </w:rPr>
      </w:pPr>
      <w:r w:rsidRPr="003D3402">
        <w:t>C.</w:t>
      </w:r>
      <w:r w:rsidRPr="003D3402">
        <w:tab/>
        <w:t>keďže pokiaľ ide o oblasť systémov vnútornej kontroly agentúry, v roku 2022 neboli hlásené žiadne problémy, ktoré by si vyžadovali nápravné opatrenia, neprebiehajú žiadne nápravné opatrenia z auditov a posúdení z predchádzajúcich rokov a nie sú žiadne nápravné opatrenia, ktoré by boli nevyriešené;</w:t>
      </w:r>
    </w:p>
    <w:p w:rsidR="00A74E1D" w:rsidRPr="003D3402" w:rsidRDefault="00A74E1D" w:rsidP="00A74E1D">
      <w:pPr>
        <w:spacing w:after="240"/>
        <w:ind w:left="567" w:hanging="567"/>
        <w:rPr>
          <w:b/>
          <w:i/>
          <w:szCs w:val="24"/>
        </w:rPr>
      </w:pPr>
      <w:r w:rsidRPr="003D3402">
        <w:rPr>
          <w:b/>
          <w:i/>
        </w:rPr>
        <w:t>Rozpočtové a finančné riadenie</w:t>
      </w:r>
    </w:p>
    <w:p w:rsidR="00A74E1D" w:rsidRPr="003D3402" w:rsidRDefault="00A74E1D" w:rsidP="00A74E1D">
      <w:pPr>
        <w:spacing w:after="240"/>
        <w:ind w:left="567" w:hanging="567"/>
        <w:rPr>
          <w:szCs w:val="24"/>
        </w:rPr>
      </w:pPr>
      <w:r w:rsidRPr="003D3402">
        <w:t>1.</w:t>
      </w:r>
      <w:r w:rsidRPr="003D3402">
        <w:tab/>
        <w:t>konštatuje, že úsilie o monitorovanie rozpočtu v priebehu rozpočtového roka 2022 prinieslo mieru plnenia viazaných rozpočtových prostriedkov v bežnom roku na úrovni 96,88 %, čo predstavuje mierne zníženie o 2,88 % v porovnaní s rokom 2021, a konštatuje, že miera plnenia platobných rozpočtových prostriedkov v bežnom roku dosiahla 34,81 %, čo predstavuje zníženie o 16,4 % v porovnaní s rokom 2021;</w:t>
      </w:r>
    </w:p>
    <w:p w:rsidR="00A74E1D" w:rsidRPr="003D3402" w:rsidRDefault="00A74E1D" w:rsidP="00A74E1D">
      <w:pPr>
        <w:spacing w:after="240"/>
        <w:ind w:left="567" w:hanging="567"/>
        <w:rPr>
          <w:szCs w:val="24"/>
        </w:rPr>
      </w:pPr>
      <w:r w:rsidRPr="003D3402">
        <w:t>2.</w:t>
      </w:r>
      <w:r w:rsidRPr="003D3402">
        <w:tab/>
        <w:t>konštatuje, že veľkú časť výdavkov agentúry hradí Komisia vrátane platov (1 937 817 EUR), výdavkov na priestory a IT (467 708 EUR) a výdavkov na IT systém jadrového observatória a riadenia informácií ESA (NOEMI) (84 644 EUR); okrem toho konštatuje, že tieto výdavky sú zahrnuté do ročnej účtovnej závierky Komisie, čo pozitívne prispieva k administratívnej kapacite agentúry;</w:t>
      </w:r>
    </w:p>
    <w:p w:rsidR="00A74E1D" w:rsidRPr="003D3402" w:rsidRDefault="00A74E1D" w:rsidP="00A74E1D">
      <w:pPr>
        <w:spacing w:after="240"/>
        <w:ind w:left="567" w:hanging="567"/>
        <w:rPr>
          <w:b/>
          <w:i/>
          <w:szCs w:val="24"/>
        </w:rPr>
      </w:pPr>
      <w:r w:rsidRPr="003D3402">
        <w:rPr>
          <w:b/>
          <w:i/>
        </w:rPr>
        <w:t>Výkonnosť</w:t>
      </w:r>
    </w:p>
    <w:p w:rsidR="00A74E1D" w:rsidRPr="003D3402" w:rsidRDefault="00A74E1D" w:rsidP="00A74E1D">
      <w:pPr>
        <w:pStyle w:val="NormalHanging12a"/>
      </w:pPr>
      <w:r w:rsidRPr="003D3402">
        <w:t>3.</w:t>
      </w:r>
      <w:r w:rsidRPr="003D3402">
        <w:tab/>
        <w:t xml:space="preserve">zdôrazňuje, že rok 2022 bol poznačený ruskou inváziou na Ukrajinu, čo vyvolalo obavy EÚ o energetickú bezpečnosť vo všeobecnosti, a najmä ohrozilo bezpečnosť dodávok jadrových materiálov a paliva do Únie a skomplikovalo otázky týkajúce sa závislosti; konštatuje, že mnohé jadrové elektrárne v Únii sú závislé od ruských dodávateľov paliva a že podniky verejných služieb v Únii sú ako celok na 20 až 30 % závislé od dodávok jadrových materiálov z Ruska a od služieb palivového cyklu; konštatuje, že Únia sa rozhodla znížiť svoju závislosť od Ruska v rôznych odvetviach, keďže </w:t>
      </w:r>
      <w:r w:rsidRPr="003D3402">
        <w:lastRenderedPageBreak/>
        <w:t>vysokými platbami za dovoz energie sa podporujú akcie Ruska, pričom zmeny môžu v rámci tohto širšieho posunu zasiahnuť aj jadrový trh vzhľadom na jeho osobité vlastnosti; žiada agentúru, aby orgánu udeľujúcemu absolutórium podala správu o tom, ako od roku 2022 znížila závislosť Únie od ruského jadrového paliva, najmä od začiatku vojny, keď bol jadrový priemysel oslobodený od sankcií, a ako zníženie a diverzifikácia ovplyvnili náklady;</w:t>
      </w:r>
    </w:p>
    <w:p w:rsidR="00A74E1D" w:rsidRPr="003D3402" w:rsidRDefault="00A74E1D" w:rsidP="00A74E1D">
      <w:pPr>
        <w:spacing w:after="240"/>
        <w:ind w:left="567" w:hanging="567"/>
      </w:pPr>
      <w:r w:rsidRPr="003D3402">
        <w:t>4.</w:t>
      </w:r>
      <w:r w:rsidRPr="003D3402">
        <w:tab/>
        <w:t>konštatuje s uspokojením, že agentúra venovala osobitnú pozornosť preskúmaniu zmlúv, pri ktorých vznikalo riziko vytvorenia závislosti od Ruska, čoho súčasťou bola aj dôkladná analýza zmluvných ustanovení, technologických informácií, dodávateľských reťazcov, dostupnosti alternatívnych palív a prevádzkovej autonómie podnikov verejných služieb v súvislosti s existujúcimi zásobami paliva; oceňuje, že agentúra podnikla kroky na zjednodušenie predkladania zmlúv pri zachovaní vysokej úrovne bezpečnosti a že vďaka špecializovaným a bezpečným IT nástrojom sa uľahčilo dokončovanie a predkladanie zmlúv na diaľku; konštatuje, že v roku 2022 sa vďaka tomuto úsiliu zvýšil počet elektronicky podpísaných právnych aktov, ktoré boli v súlade s predpismi o identifikácii elektronických transakcií na jednotnom trhu;</w:t>
      </w:r>
    </w:p>
    <w:p w:rsidR="00A74E1D" w:rsidRPr="003D3402" w:rsidRDefault="00A74E1D" w:rsidP="00A74E1D">
      <w:pPr>
        <w:spacing w:after="240"/>
        <w:ind w:left="567" w:hanging="567"/>
        <w:rPr>
          <w:szCs w:val="24"/>
        </w:rPr>
      </w:pPr>
      <w:r w:rsidRPr="003D3402">
        <w:t>5.</w:t>
      </w:r>
      <w:r w:rsidRPr="003D3402">
        <w:tab/>
        <w:t>konštatuje, že agentúra sa v súlade so svojimi strategickými cieľmi a politikami Komisie zamerala na rozdelenie zdrojov dodávok v jadrovom palivovom cykle na energetické a neenergetické účely s cieľom zvýšiť strednodobú a dlhodobú bezpečnosť dodávok;</w:t>
      </w:r>
    </w:p>
    <w:p w:rsidR="00A74E1D" w:rsidRPr="003D3402" w:rsidRDefault="00A74E1D" w:rsidP="00A74E1D">
      <w:pPr>
        <w:spacing w:after="240"/>
        <w:ind w:left="567" w:hanging="567"/>
        <w:rPr>
          <w:szCs w:val="24"/>
        </w:rPr>
      </w:pPr>
      <w:r w:rsidRPr="003D3402">
        <w:t>6.</w:t>
      </w:r>
      <w:r w:rsidRPr="003D3402">
        <w:tab/>
        <w:t>konštatuje, že úlohou agentúry je sledovať trh a identifikovať trendy, ktoré by mohli ovplyvniť bezpečnosť dodávok jadrového materiálu a služieb Únie; ďalej konštatuje, že agentúra vo svojej výročnej správe uverejnila analýzu trhu, poskytla informácie o trhoch Únie a svetových trhoch s jadrovou energiou a vymieňala si informácie a poznatky s inými medzinárodnými organizáciami pre analýzu trhu;</w:t>
      </w:r>
    </w:p>
    <w:p w:rsidR="00A74E1D" w:rsidRPr="003D3402" w:rsidRDefault="00A74E1D" w:rsidP="00A74E1D">
      <w:pPr>
        <w:pStyle w:val="NormalHanging12a"/>
      </w:pPr>
      <w:r w:rsidRPr="003D3402">
        <w:t>7.</w:t>
      </w:r>
      <w:r w:rsidRPr="003D3402">
        <w:tab/>
        <w:t>víta skutočnosť, že v roku 2022 bola agentúra v popredí úsilia o zabezpečenie dodávok zdrojových materiálov pre lekárske rádioizotopy, čím prispela k vykonávaniu strategického programu pre zdravotnícke, priemyselné a výskumné aplikácie (SAMIRA), a viedla Európske stredisko pre monitorovanie dodávok rádioizotopov na lekárske účely;</w:t>
      </w:r>
    </w:p>
    <w:p w:rsidR="00A74E1D" w:rsidRPr="003D3402" w:rsidRDefault="00A74E1D" w:rsidP="00A74E1D">
      <w:pPr>
        <w:spacing w:after="240"/>
        <w:ind w:left="567" w:hanging="567"/>
        <w:rPr>
          <w:szCs w:val="24"/>
        </w:rPr>
      </w:pPr>
      <w:r w:rsidRPr="003D3402">
        <w:t>8.</w:t>
      </w:r>
      <w:r w:rsidRPr="003D3402">
        <w:tab/>
        <w:t>víta úsilie agentúry spolupracovať s partnermi a zainteresovanými stranami na posilňovaní bezpečnosti dodávok jadrových materiálov vzhľadom na nezákonnú a nevyprovokovanú inváziu Ruska na Ukrajinu;</w:t>
      </w:r>
    </w:p>
    <w:p w:rsidR="00A74E1D" w:rsidRPr="003D3402" w:rsidRDefault="00A74E1D" w:rsidP="00A74E1D">
      <w:pPr>
        <w:spacing w:after="240"/>
        <w:ind w:left="567" w:hanging="567"/>
        <w:rPr>
          <w:b/>
          <w:i/>
          <w:szCs w:val="24"/>
        </w:rPr>
      </w:pPr>
      <w:r w:rsidRPr="003D3402">
        <w:rPr>
          <w:b/>
          <w:i/>
        </w:rPr>
        <w:t>Efektívnosť a zisky</w:t>
      </w:r>
    </w:p>
    <w:p w:rsidR="00A74E1D" w:rsidRPr="003D3402" w:rsidRDefault="00A74E1D" w:rsidP="00A74E1D">
      <w:pPr>
        <w:spacing w:after="240"/>
        <w:ind w:left="567" w:hanging="567"/>
        <w:rPr>
          <w:szCs w:val="24"/>
        </w:rPr>
      </w:pPr>
      <w:r w:rsidRPr="003D3402">
        <w:t>9.</w:t>
      </w:r>
      <w:r w:rsidRPr="003D3402">
        <w:tab/>
        <w:t>konštatuje, že agentúra úzko spolupracovala s Komisiou s cieľom podporiť diverzifikáciu dodávok; ďalej konštatuje, že agentúra má dlhodobé vzťahy v oblasti jadrovej energie s Medzinárodnou agentúrou pre atómovú energiu a Agentúrou pre jadrovú energiu v rámci Organizácie pre hospodársku spoluprácu a rozvoj; poukazuje na horizontálne prínosy spolupráce a prispôsobovania najlepších postupov a tiež na to, že vďaka spoločným iniciatívam sa zbližujú rôzne perspektívy, znižuje sa duplicita úsilia, rozširuje sa vzdelávanie a posilňujú vzťahy medzi subjektmi;</w:t>
      </w:r>
    </w:p>
    <w:p w:rsidR="00A74E1D" w:rsidRPr="003D3402" w:rsidRDefault="00A74E1D" w:rsidP="00A74E1D">
      <w:pPr>
        <w:spacing w:after="240"/>
        <w:ind w:left="567" w:hanging="567"/>
        <w:rPr>
          <w:szCs w:val="24"/>
        </w:rPr>
      </w:pPr>
      <w:r w:rsidRPr="003D3402">
        <w:t>10.</w:t>
      </w:r>
      <w:r w:rsidRPr="003D3402">
        <w:tab/>
        <w:t xml:space="preserve">konštatuje, že agentúra vyvíja informačný systém NOEMI s cieľom umožniť plne digitálne spracovanie zmlúv o dodávkach jadrových materiálov a informácií o trhu v </w:t>
      </w:r>
      <w:r w:rsidRPr="003D3402">
        <w:lastRenderedPageBreak/>
        <w:t>úplnom súlade s pravidlami ochrany informácií a zároveň pracuje na rozšírení svojej analytickej kapacity na dostupné údaje;</w:t>
      </w:r>
    </w:p>
    <w:p w:rsidR="00A74E1D" w:rsidRPr="003D3402" w:rsidRDefault="00A74E1D" w:rsidP="00A74E1D">
      <w:pPr>
        <w:spacing w:after="240"/>
        <w:ind w:left="567" w:hanging="567"/>
        <w:rPr>
          <w:szCs w:val="24"/>
        </w:rPr>
      </w:pPr>
      <w:r w:rsidRPr="003D3402">
        <w:t>11.</w:t>
      </w:r>
      <w:r w:rsidRPr="003D3402">
        <w:tab/>
        <w:t>konštatuje, že agentúra vyvíjala úsilie s cieľom zvyšovať efektívnosť a prerozdeľovať ľudské zdroje na nové úlohy a výzvy; konštatuje, že ďalšie zvyšovanie efektívnosti by bolo možné len vtedy, ak by sa využívali synergie a podpora Komisie poskytovaním špecializovaných podporných funkcií, rozšírilo by sa využívanie podnikových nástrojov a zvýšili prostriedky na rozvoj IT systému NOEMI; vyzýva agentúru, aby identifikovala ďalšie interné postupy, ktoré by sa mohli zefektívniť novými IT nástrojmi;</w:t>
      </w:r>
    </w:p>
    <w:p w:rsidR="00A74E1D" w:rsidRPr="003D3402" w:rsidRDefault="00A74E1D" w:rsidP="00A74E1D">
      <w:pPr>
        <w:pStyle w:val="NormalHanging12a"/>
      </w:pPr>
      <w:r w:rsidRPr="003D3402">
        <w:t>12.</w:t>
      </w:r>
      <w:r w:rsidRPr="003D3402">
        <w:tab/>
        <w:t>pripomína dôležitosť zvýšenia digitalizácie úradu, pokiaľ ide o jeho vnútornú prevádzku a riadenie, ale aj zámer urýchliť digitalizáciu postupov; zdôrazňuje, že je potrebné, aby bola agentúra v tejto súvislosti naďalej aktívna s cieľom zabrániť digitálnej priepasti medzi agentúrami; upozorňuje však na potrebu prijať všetky potrebné bezpečnostné opatrenia, aby sa zabránilo akémukoľvek ohrozeniu online bezpečnosti spracúvaných informácií, a trvá na posilnení boja proti kybernetickým útokom alebo pokusom o infiltráciu, ktoré pochádzajú najmä z Ruska alebo Číny;</w:t>
      </w:r>
    </w:p>
    <w:p w:rsidR="00A74E1D" w:rsidRPr="003D3402" w:rsidRDefault="00A74E1D" w:rsidP="00A74E1D">
      <w:pPr>
        <w:spacing w:after="240"/>
        <w:ind w:left="567" w:hanging="567"/>
        <w:rPr>
          <w:b/>
          <w:i/>
          <w:szCs w:val="24"/>
        </w:rPr>
      </w:pPr>
      <w:r w:rsidRPr="003D3402">
        <w:rPr>
          <w:b/>
          <w:i/>
        </w:rPr>
        <w:t>Personálna politika</w:t>
      </w:r>
    </w:p>
    <w:p w:rsidR="00A74E1D" w:rsidRPr="003D3402" w:rsidRDefault="00A74E1D" w:rsidP="00A74E1D">
      <w:pPr>
        <w:spacing w:after="240"/>
        <w:ind w:left="567" w:hanging="567"/>
        <w:rPr>
          <w:szCs w:val="24"/>
        </w:rPr>
      </w:pPr>
      <w:r w:rsidRPr="003D3402">
        <w:t>13.</w:t>
      </w:r>
      <w:r w:rsidRPr="003D3402">
        <w:tab/>
        <w:t>konštatuje, že k 31. decembru 2022 bol plán pracovných miest naplnený na 100 %: obsadených bolo 17 trvalých pracovných miest, osem miest administrátorov, sedem asistentských miest a dve administratívne/sekretárske miesta; okrem toho konštatuje, že vyšší počet administrátorských miest, než je povolený, je dôsledkom presunu jedného asistentského pracovného miesta do vyššej kategórie so súhlasom Komisie;</w:t>
      </w:r>
    </w:p>
    <w:p w:rsidR="00A74E1D" w:rsidRPr="003D3402" w:rsidRDefault="00A74E1D" w:rsidP="00A74E1D">
      <w:pPr>
        <w:spacing w:after="240"/>
        <w:ind w:left="567" w:hanging="567"/>
        <w:rPr>
          <w:szCs w:val="24"/>
        </w:rPr>
      </w:pPr>
      <w:r w:rsidRPr="003D3402">
        <w:t>14.</w:t>
      </w:r>
      <w:r w:rsidRPr="003D3402">
        <w:tab/>
        <w:t>pripomína ťažkosti agentúry nájsť asistentov v nižších platových triedach vzhľadom na požadovaný špecializovaný profil a úroveň platového ohodnotenia v porovnaní so životnými nákladmi v Luxembursku; konštatuje však, že agentúra napriek ťažkostiam prijala v roku 2022 dvoch dočasných zamestnancov na trvalé pracovné miesta (jedno asistentské miesto a jedno asistentské/sekretárske miesto);</w:t>
      </w:r>
    </w:p>
    <w:p w:rsidR="00A74E1D" w:rsidRPr="003D3402" w:rsidRDefault="00A74E1D" w:rsidP="00A74E1D">
      <w:pPr>
        <w:spacing w:after="240"/>
        <w:ind w:left="567" w:hanging="567"/>
        <w:rPr>
          <w:szCs w:val="24"/>
        </w:rPr>
      </w:pPr>
      <w:r w:rsidRPr="003D3402">
        <w:t>15.</w:t>
      </w:r>
      <w:r w:rsidRPr="003D3402">
        <w:tab/>
        <w:t>konštatuje, že podľa údajov agentúry je v roku 2022 rodové zastúpenie všetkých zamestnancov v pomere 59 % žien a 41 % mužov, čo svedčí o vykonávaní politiky rovnakých príležitostí;</w:t>
      </w:r>
    </w:p>
    <w:p w:rsidR="00A74E1D" w:rsidRPr="003D3402" w:rsidRDefault="00A74E1D" w:rsidP="00A74E1D">
      <w:pPr>
        <w:pStyle w:val="NormalHanging12a"/>
      </w:pPr>
      <w:r w:rsidRPr="003D3402">
        <w:t>16.</w:t>
      </w:r>
      <w:r w:rsidRPr="003D3402">
        <w:tab/>
        <w:t xml:space="preserve">pripomína, že je dôležité vypracovať dlhodobú politiku ľudských zdrojov v oblasti rovnováhy pracovného a súkromného života, celoživotného poradenstva a ponuky špecifických možností odbornej prípravy na kariérny rozvoj, rodovej rovnováhy na všetkých personálnych úrovniach, </w:t>
      </w:r>
      <w:proofErr w:type="spellStart"/>
      <w:r w:rsidRPr="003D3402">
        <w:t>telepráce</w:t>
      </w:r>
      <w:proofErr w:type="spellEnd"/>
      <w:r w:rsidRPr="003D3402">
        <w:t>, práva na odpojenie, zlepšenia geografickej rovnováhy na zabezpečenie primeraného zastúpenia zo všetkých členských štátov a náboru a integrácie osôb so zdravotným postihnutím, ako aj podpory rovnakého zaobchádzania s nimi a ich príležitostí;</w:t>
      </w:r>
    </w:p>
    <w:p w:rsidR="00A74E1D" w:rsidRPr="003D3402" w:rsidRDefault="00A74E1D" w:rsidP="00A74E1D">
      <w:pPr>
        <w:spacing w:after="240"/>
        <w:ind w:left="567" w:hanging="567"/>
        <w:rPr>
          <w:b/>
          <w:i/>
          <w:szCs w:val="24"/>
        </w:rPr>
      </w:pPr>
      <w:r w:rsidRPr="003D3402">
        <w:rPr>
          <w:b/>
          <w:i/>
        </w:rPr>
        <w:t>Verejné obstarávanie</w:t>
      </w:r>
    </w:p>
    <w:p w:rsidR="00A74E1D" w:rsidRPr="003D3402" w:rsidRDefault="00A74E1D" w:rsidP="00A74E1D">
      <w:pPr>
        <w:spacing w:after="240"/>
        <w:ind w:left="567" w:hanging="567"/>
        <w:rPr>
          <w:rFonts w:eastAsia="Calibri"/>
          <w:szCs w:val="24"/>
        </w:rPr>
      </w:pPr>
      <w:r w:rsidRPr="003D3402">
        <w:t>17.</w:t>
      </w:r>
      <w:r w:rsidRPr="003D3402">
        <w:tab/>
        <w:t>na základe správy Dvora audítorov berie na vedomie pripomienku, že agentúra systematicky zadávala zákazky s nízkou hodnotou (menej ako 15 000 EUR) bez toho, aby vydala príslušné hodnotiace správy a rozhodnutia o zadaní zákazky, čo je v rozpore s bodmi 30.3 a 30.4 prílohy I k nariadeniu o rozpočtových pravidlách; ďalej berie na vedomie odpoveď agentúry, že toto odporúčanie berie do úvahy a poskytne primerané usmernenia všetkým zamestnancom zapojeným do verejného obstarávania a finančného riadenia; vyzýva agentúru, aby ďalej zlepšovala svoje postupy verejného obstarávania a zabezpečila plný súlad s platnými pravidlami s cieľom dosiahnuť najlepší možný pomer medzi kvalitou a cenou;</w:t>
      </w:r>
    </w:p>
    <w:p w:rsidR="00A74E1D" w:rsidRPr="003D3402" w:rsidRDefault="00A74E1D" w:rsidP="00A74E1D">
      <w:pPr>
        <w:spacing w:after="240"/>
        <w:ind w:left="567" w:hanging="567"/>
        <w:rPr>
          <w:b/>
          <w:i/>
          <w:szCs w:val="24"/>
        </w:rPr>
      </w:pPr>
      <w:r w:rsidRPr="003D3402">
        <w:rPr>
          <w:b/>
          <w:i/>
        </w:rPr>
        <w:t>Ďalšie pripomienky</w:t>
      </w:r>
    </w:p>
    <w:p w:rsidR="00A74E1D" w:rsidRPr="003D3402" w:rsidRDefault="00A74E1D" w:rsidP="00A74E1D">
      <w:pPr>
        <w:spacing w:after="240"/>
        <w:ind w:left="567" w:hanging="567"/>
        <w:rPr>
          <w:szCs w:val="24"/>
        </w:rPr>
      </w:pPr>
      <w:r w:rsidRPr="003D3402">
        <w:t>18.</w:t>
      </w:r>
      <w:r w:rsidRPr="003D3402">
        <w:tab/>
        <w:t>konštatuje, že agentúra posilnila bezpečnosť pri vstupe do svojich priestorov, pričom všetci zamestnanci a všetci externí dodávatelia majú bezpečnostnú previerku;</w:t>
      </w:r>
    </w:p>
    <w:p w:rsidR="00A74E1D" w:rsidRPr="003D3402" w:rsidRDefault="00A74E1D" w:rsidP="00A74E1D">
      <w:pPr>
        <w:spacing w:after="240"/>
        <w:ind w:left="567" w:hanging="567"/>
        <w:rPr>
          <w:szCs w:val="24"/>
        </w:rPr>
      </w:pPr>
      <w:r w:rsidRPr="003D3402">
        <w:t>19.</w:t>
      </w:r>
      <w:r w:rsidRPr="003D3402">
        <w:tab/>
        <w:t>berie na vedomie, že bola posúdená zraniteľnosť informačného systému NOEMI, čo sa má zopakovať po každej fáze vývoja alebo po vykonaní všetkých odporúčaní;</w:t>
      </w:r>
    </w:p>
    <w:p w:rsidR="00A74E1D" w:rsidRPr="003D3402" w:rsidRDefault="00A74E1D" w:rsidP="00A74E1D">
      <w:pPr>
        <w:spacing w:after="240"/>
        <w:ind w:left="567" w:hanging="567"/>
        <w:rPr>
          <w:szCs w:val="24"/>
        </w:rPr>
      </w:pPr>
      <w:r w:rsidRPr="003D3402">
        <w:t>20.</w:t>
      </w:r>
      <w:r w:rsidRPr="003D3402">
        <w:tab/>
        <w:t>konštatuje s uznaním, že agentúra sa v septembri 2022 zúčastnila na Svetovom jadrovom sympóziu v Londýne a vyslala jasný signál zúčastneným vedúcim predstaviteľom, odborníkom a vedúcim pracovníkom v oblasti jadrového priemyslu, že sa treba zamerať na riziká súvisiace s novou štruktúrou trhu; ďalej konštatuje, že agentúra prezentovala svoju analýzu trhu a výhľad do budúcnosti na Varšavskom bezpečnostnom fóre a na fóre Svetového jadrového palivového cyklu a bola zastúpená na prvej Medzinárodnej konferencii o jadrovom práve a na konferencii Európskeho výskumného reaktora; okrem toho konštatuje, že agentúra sa podieľala na akciách Európskej jadrovej spoločnosti;</w:t>
      </w:r>
    </w:p>
    <w:p w:rsidR="00A74E1D" w:rsidRPr="003D3402" w:rsidRDefault="00A74E1D" w:rsidP="00A74E1D">
      <w:pPr>
        <w:spacing w:after="240"/>
        <w:ind w:left="567" w:hanging="567"/>
      </w:pPr>
      <w:r w:rsidRPr="003D3402">
        <w:t>21.</w:t>
      </w:r>
      <w:r w:rsidRPr="003D3402">
        <w:tab/>
        <w:t>konštatuje, že agentúra nevydáva environmentálne vyhlásenie ani nevykonáva schému pre environmentálne manažérstvo a audit (EMAS); nabáda agentúru, aby podávala správy o svojich výsledkoch v oblasti klímy, energetiky a životného prostredia a aby sa zapojila do schémy EMAS;</w:t>
      </w:r>
    </w:p>
    <w:p w:rsidR="004D4FF4" w:rsidRPr="003D3402" w:rsidRDefault="004D4FF4" w:rsidP="004D4FF4">
      <w:pPr>
        <w:widowControl/>
        <w:spacing w:after="240"/>
        <w:jc w:val="center"/>
        <w:rPr>
          <w:szCs w:val="24"/>
        </w:rPr>
      </w:pPr>
      <w:r w:rsidRPr="003D3402">
        <w:rPr>
          <w:szCs w:val="24"/>
        </w:rPr>
        <w:t>°</w:t>
      </w:r>
    </w:p>
    <w:p w:rsidR="004D4FF4" w:rsidRPr="003D3402" w:rsidRDefault="004D4FF4" w:rsidP="004D4FF4">
      <w:pPr>
        <w:widowControl/>
        <w:spacing w:after="240"/>
        <w:jc w:val="center"/>
        <w:rPr>
          <w:szCs w:val="24"/>
        </w:rPr>
      </w:pPr>
      <w:r w:rsidRPr="003D3402">
        <w:rPr>
          <w:szCs w:val="24"/>
        </w:rPr>
        <w:t>°     °</w:t>
      </w:r>
    </w:p>
    <w:p w:rsidR="00A74E1D" w:rsidRPr="003D3402" w:rsidRDefault="00A74E1D" w:rsidP="00A74E1D">
      <w:pPr>
        <w:pStyle w:val="NormalHanging12a"/>
        <w:widowControl/>
      </w:pPr>
      <w:r w:rsidRPr="003D3402">
        <w:t>22.</w:t>
      </w:r>
      <w:r w:rsidRPr="003D3402">
        <w:tab/>
        <w:t>pokiaľ ide o ďalšie poznámky horizontálnej povahy, ktoré sú súčasťou rozhodnutia o absolutóriu, odvoláva sa na svoje uznesenie z</w:t>
      </w:r>
      <w:r w:rsidR="004D4FF4" w:rsidRPr="003D3402">
        <w:t> </w:t>
      </w:r>
      <w:r w:rsidR="00043F84" w:rsidRPr="003D3402">
        <w:t>11</w:t>
      </w:r>
      <w:r w:rsidR="004D4FF4" w:rsidRPr="003D3402">
        <w:t>. apríla 2024</w:t>
      </w:r>
      <w:r w:rsidRPr="003D3402">
        <w:rPr>
          <w:vertAlign w:val="superscript"/>
        </w:rPr>
        <w:footnoteReference w:id="9"/>
      </w:r>
      <w:r w:rsidRPr="003D3402">
        <w:t xml:space="preserve"> o výkonnosti, finančnom riadení a kontrole agentúr.</w:t>
      </w:r>
    </w:p>
    <w:sectPr w:rsidR="00A74E1D" w:rsidRPr="003D3402" w:rsidSect="000D66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864" w:rsidRPr="000D6656" w:rsidRDefault="001F4864">
      <w:r w:rsidRPr="000D6656">
        <w:separator/>
      </w:r>
    </w:p>
  </w:endnote>
  <w:endnote w:type="continuationSeparator" w:id="0">
    <w:p w:rsidR="001F4864" w:rsidRPr="000D6656" w:rsidRDefault="001F4864">
      <w:r w:rsidRPr="000D66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E1D" w:rsidRPr="000D6656" w:rsidRDefault="00A74E1D" w:rsidP="00866D81">
    <w:pPr>
      <w:pStyle w:val="EPFooter"/>
    </w:pPr>
    <w:r w:rsidRPr="000D6656">
      <w:t>PE</w:t>
    </w:r>
    <w:r w:rsidRPr="000D6656">
      <w:rPr>
        <w:rStyle w:val="HideTWBExt"/>
      </w:rPr>
      <w:t>&lt;NoPE&gt;</w:t>
    </w:r>
    <w:r w:rsidRPr="000D6656">
      <w:t>753.529</w:t>
    </w:r>
    <w:r w:rsidRPr="000D6656">
      <w:rPr>
        <w:rStyle w:val="HideTWBExt"/>
      </w:rPr>
      <w:t>&lt;/NoPE&gt;&lt;Version&gt;</w:t>
    </w:r>
    <w:r w:rsidRPr="000D6656">
      <w:t>v02-00</w:t>
    </w:r>
    <w:r w:rsidRPr="000D6656">
      <w:rPr>
        <w:rStyle w:val="HideTWBExt"/>
      </w:rPr>
      <w:t>&lt;/Version&gt;</w:t>
    </w:r>
    <w:r w:rsidRPr="000D6656">
      <w:tab/>
    </w:r>
    <w:r w:rsidRPr="000D6656">
      <w:fldChar w:fldCharType="begin"/>
    </w:r>
    <w:r w:rsidRPr="000D6656">
      <w:instrText xml:space="preserve"> PAGE  \* MERGEFORMAT </w:instrText>
    </w:r>
    <w:r w:rsidRPr="000D6656">
      <w:fldChar w:fldCharType="separate"/>
    </w:r>
    <w:r w:rsidR="000D6656" w:rsidRPr="000D6656">
      <w:rPr>
        <w:noProof/>
      </w:rPr>
      <w:t>2</w:t>
    </w:r>
    <w:r w:rsidRPr="000D6656">
      <w:fldChar w:fldCharType="end"/>
    </w:r>
    <w:r w:rsidRPr="000D6656">
      <w:t>/</w:t>
    </w:r>
    <w:r w:rsidR="003D3402">
      <w:fldChar w:fldCharType="begin"/>
    </w:r>
    <w:r w:rsidR="003D3402">
      <w:instrText xml:space="preserve"> NUMPAGES  \* MERGEFORMAT </w:instrText>
    </w:r>
    <w:r w:rsidR="003D3402">
      <w:fldChar w:fldCharType="separate"/>
    </w:r>
    <w:r w:rsidR="000D6656" w:rsidRPr="000D6656">
      <w:rPr>
        <w:noProof/>
      </w:rPr>
      <w:t>4</w:t>
    </w:r>
    <w:r w:rsidR="003D3402">
      <w:rPr>
        <w:noProof/>
      </w:rPr>
      <w:fldChar w:fldCharType="end"/>
    </w:r>
    <w:r w:rsidRPr="000D6656">
      <w:tab/>
    </w:r>
    <w:r w:rsidRPr="000D6656">
      <w:rPr>
        <w:rStyle w:val="HideTWBExt"/>
      </w:rPr>
      <w:t>&lt;PathFdR&gt;</w:t>
    </w:r>
    <w:r w:rsidRPr="000D6656">
      <w:t>RR\1298833SK.docx</w:t>
    </w:r>
    <w:r w:rsidRPr="000D6656">
      <w:rPr>
        <w:rStyle w:val="HideTWBExt"/>
      </w:rPr>
      <w:t>&lt;/PathFdR&gt;</w:t>
    </w:r>
  </w:p>
  <w:p w:rsidR="00A74E1D" w:rsidRPr="000D6656" w:rsidRDefault="00A74E1D" w:rsidP="00866D81">
    <w:pPr>
      <w:pStyle w:val="EPFooter2"/>
    </w:pPr>
    <w:r w:rsidRPr="000D6656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E1D" w:rsidRPr="000D6656" w:rsidRDefault="00A74E1D" w:rsidP="00866D81">
    <w:pPr>
      <w:pStyle w:val="EPFooter"/>
    </w:pPr>
    <w:r w:rsidRPr="000D6656">
      <w:rPr>
        <w:rStyle w:val="HideTWBExt"/>
      </w:rPr>
      <w:t>&lt;PathFdR&gt;</w:t>
    </w:r>
    <w:r w:rsidRPr="000D6656">
      <w:t>RR\1298833SK.docx</w:t>
    </w:r>
    <w:r w:rsidRPr="000D6656">
      <w:rPr>
        <w:rStyle w:val="HideTWBExt"/>
      </w:rPr>
      <w:t>&lt;/PathFdR&gt;</w:t>
    </w:r>
    <w:r w:rsidRPr="000D6656">
      <w:tab/>
    </w:r>
    <w:r w:rsidRPr="000D6656">
      <w:tab/>
      <w:t>PE</w:t>
    </w:r>
    <w:r w:rsidRPr="000D6656">
      <w:rPr>
        <w:rStyle w:val="HideTWBExt"/>
      </w:rPr>
      <w:t>&lt;NoPE&gt;</w:t>
    </w:r>
    <w:r w:rsidRPr="000D6656">
      <w:t>753.529</w:t>
    </w:r>
    <w:r w:rsidRPr="000D6656">
      <w:rPr>
        <w:rStyle w:val="HideTWBExt"/>
      </w:rPr>
      <w:t>&lt;/NoPE&gt;&lt;Version&gt;</w:t>
    </w:r>
    <w:r w:rsidRPr="000D6656">
      <w:t>v02-00</w:t>
    </w:r>
    <w:r w:rsidRPr="000D6656">
      <w:rPr>
        <w:rStyle w:val="HideTWBExt"/>
      </w:rPr>
      <w:t>&lt;/Version&gt;</w:t>
    </w:r>
  </w:p>
  <w:p w:rsidR="00A74E1D" w:rsidRPr="000D6656" w:rsidRDefault="00A74E1D" w:rsidP="00866D81">
    <w:pPr>
      <w:pStyle w:val="EPFooter2"/>
    </w:pPr>
    <w:r w:rsidRPr="000D6656">
      <w:t>SK</w:t>
    </w:r>
    <w:r w:rsidRPr="000D6656">
      <w:tab/>
    </w:r>
    <w:r w:rsidRPr="000D6656">
      <w:rPr>
        <w:b w:val="0"/>
        <w:i/>
        <w:color w:val="C0C0C0"/>
        <w:sz w:val="22"/>
      </w:rPr>
      <w:t>Zjednotení v rozmanitosti</w:t>
    </w:r>
    <w:r w:rsidRPr="000D6656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6656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665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665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864" w:rsidRPr="000D6656" w:rsidRDefault="001F4864">
      <w:r w:rsidRPr="000D6656">
        <w:separator/>
      </w:r>
    </w:p>
  </w:footnote>
  <w:footnote w:type="continuationSeparator" w:id="0">
    <w:p w:rsidR="001F4864" w:rsidRPr="000D6656" w:rsidRDefault="001F4864">
      <w:r w:rsidRPr="000D6656">
        <w:continuationSeparator/>
      </w:r>
    </w:p>
  </w:footnote>
  <w:footnote w:id="1">
    <w:p w:rsidR="00A74E1D" w:rsidRPr="000D6656" w:rsidRDefault="00A74E1D" w:rsidP="000D6656">
      <w:pPr>
        <w:pStyle w:val="FootnoteText"/>
        <w:ind w:left="567" w:hanging="567"/>
        <w:rPr>
          <w:sz w:val="24"/>
          <w:lang w:val="sk-SK"/>
        </w:rPr>
      </w:pPr>
      <w:r w:rsidRPr="000D6656">
        <w:rPr>
          <w:rStyle w:val="FootnoteReference"/>
          <w:sz w:val="24"/>
          <w:lang w:val="sk-SK"/>
        </w:rPr>
        <w:footnoteRef/>
      </w:r>
      <w:r w:rsidR="000D6656" w:rsidRPr="000D6656">
        <w:rPr>
          <w:sz w:val="24"/>
          <w:lang w:val="sk-SK"/>
        </w:rPr>
        <w:t xml:space="preserve"> </w:t>
      </w:r>
      <w:r w:rsidR="000D6656" w:rsidRPr="000D6656">
        <w:rPr>
          <w:sz w:val="24"/>
          <w:lang w:val="sk-SK"/>
        </w:rPr>
        <w:tab/>
      </w:r>
      <w:r w:rsidRPr="000D6656">
        <w:rPr>
          <w:sz w:val="24"/>
          <w:lang w:val="sk-SK"/>
        </w:rPr>
        <w:t>Ú. v. EÚ C, C/2023/594, 27.10.2023.</w:t>
      </w:r>
    </w:p>
  </w:footnote>
  <w:footnote w:id="2">
    <w:p w:rsidR="00A74E1D" w:rsidRPr="000D6656" w:rsidRDefault="00A74E1D" w:rsidP="000D6656">
      <w:pPr>
        <w:pStyle w:val="FootnoteText"/>
        <w:ind w:left="567" w:hanging="567"/>
        <w:rPr>
          <w:sz w:val="24"/>
          <w:lang w:val="sk-SK"/>
        </w:rPr>
      </w:pPr>
      <w:r w:rsidRPr="000D6656">
        <w:rPr>
          <w:rStyle w:val="FootnoteReference"/>
          <w:sz w:val="24"/>
          <w:lang w:val="sk-SK"/>
        </w:rPr>
        <w:footnoteRef/>
      </w:r>
      <w:r w:rsidR="000D6656" w:rsidRPr="000D6656">
        <w:rPr>
          <w:sz w:val="24"/>
          <w:lang w:val="sk-SK"/>
        </w:rPr>
        <w:t xml:space="preserve"> </w:t>
      </w:r>
      <w:r w:rsidR="000D6656" w:rsidRPr="000D6656">
        <w:rPr>
          <w:sz w:val="24"/>
          <w:lang w:val="sk-SK"/>
        </w:rPr>
        <w:tab/>
      </w:r>
      <w:r w:rsidRPr="000D6656">
        <w:rPr>
          <w:sz w:val="24"/>
          <w:lang w:val="sk-SK"/>
        </w:rPr>
        <w:t>Ú. v. EÚ C, C/2023/112, 12.10.2023.</w:t>
      </w:r>
    </w:p>
  </w:footnote>
  <w:footnote w:id="3">
    <w:p w:rsidR="00A74E1D" w:rsidRPr="000D6656" w:rsidRDefault="00A74E1D" w:rsidP="000D6656">
      <w:pPr>
        <w:pStyle w:val="FootnoteText"/>
        <w:ind w:left="567" w:hanging="567"/>
        <w:rPr>
          <w:sz w:val="24"/>
          <w:lang w:val="sk-SK"/>
        </w:rPr>
      </w:pPr>
      <w:r w:rsidRPr="000D6656">
        <w:rPr>
          <w:rStyle w:val="FootnoteReference"/>
          <w:sz w:val="24"/>
          <w:lang w:val="sk-SK"/>
        </w:rPr>
        <w:footnoteRef/>
      </w:r>
      <w:r w:rsidR="000D6656" w:rsidRPr="000D6656">
        <w:rPr>
          <w:sz w:val="24"/>
          <w:lang w:val="sk-SK"/>
        </w:rPr>
        <w:t xml:space="preserve"> </w:t>
      </w:r>
      <w:r w:rsidR="000D6656" w:rsidRPr="000D6656">
        <w:rPr>
          <w:sz w:val="24"/>
          <w:lang w:val="sk-SK"/>
        </w:rPr>
        <w:tab/>
      </w:r>
      <w:r w:rsidRPr="000D6656">
        <w:rPr>
          <w:sz w:val="24"/>
          <w:lang w:val="sk-SK"/>
        </w:rPr>
        <w:t>Ú. v. EÚ L 193, 30.7.2018, s. 1.</w:t>
      </w:r>
    </w:p>
  </w:footnote>
  <w:footnote w:id="4">
    <w:p w:rsidR="00A74E1D" w:rsidRPr="000D6656" w:rsidRDefault="00A74E1D" w:rsidP="000D6656">
      <w:pPr>
        <w:pStyle w:val="FootnoteText"/>
        <w:ind w:left="567" w:hanging="567"/>
        <w:rPr>
          <w:sz w:val="24"/>
          <w:szCs w:val="24"/>
          <w:lang w:val="sk-SK"/>
        </w:rPr>
      </w:pPr>
      <w:r w:rsidRPr="000D6656">
        <w:rPr>
          <w:rStyle w:val="FootnoteReference"/>
          <w:sz w:val="24"/>
          <w:lang w:val="sk-SK"/>
        </w:rPr>
        <w:footnoteRef/>
      </w:r>
      <w:r w:rsidR="000D6656" w:rsidRPr="000D6656">
        <w:rPr>
          <w:sz w:val="24"/>
          <w:lang w:val="sk-SK"/>
        </w:rPr>
        <w:t xml:space="preserve"> </w:t>
      </w:r>
      <w:r w:rsidR="000D6656" w:rsidRPr="000D6656">
        <w:rPr>
          <w:sz w:val="24"/>
          <w:lang w:val="sk-SK"/>
        </w:rPr>
        <w:tab/>
      </w:r>
      <w:r w:rsidRPr="000D6656">
        <w:rPr>
          <w:sz w:val="24"/>
          <w:lang w:val="sk-SK"/>
        </w:rPr>
        <w:t>Ú. v. EÚ L 41, 15.2.2008, s. 15.</w:t>
      </w:r>
    </w:p>
  </w:footnote>
  <w:footnote w:id="5">
    <w:p w:rsidR="00A74E1D" w:rsidRPr="000D6656" w:rsidRDefault="00A74E1D" w:rsidP="000D6656">
      <w:pPr>
        <w:pStyle w:val="FootnoteText"/>
        <w:ind w:left="567" w:hanging="567"/>
        <w:rPr>
          <w:sz w:val="24"/>
          <w:lang w:val="sk-SK"/>
        </w:rPr>
      </w:pPr>
      <w:r w:rsidRPr="000D6656">
        <w:rPr>
          <w:rStyle w:val="FootnoteReference"/>
          <w:sz w:val="24"/>
          <w:lang w:val="sk-SK"/>
        </w:rPr>
        <w:footnoteRef/>
      </w:r>
      <w:r w:rsidR="000D6656" w:rsidRPr="000D6656">
        <w:rPr>
          <w:sz w:val="24"/>
          <w:lang w:val="sk-SK"/>
        </w:rPr>
        <w:t xml:space="preserve"> </w:t>
      </w:r>
      <w:r w:rsidR="000D6656" w:rsidRPr="000D6656">
        <w:rPr>
          <w:sz w:val="24"/>
          <w:lang w:val="sk-SK"/>
        </w:rPr>
        <w:tab/>
      </w:r>
      <w:r w:rsidRPr="000D6656">
        <w:rPr>
          <w:sz w:val="24"/>
          <w:lang w:val="sk-SK"/>
        </w:rPr>
        <w:t>Ú. v. EÚ C, C/2023/594, 27.10.2023.</w:t>
      </w:r>
    </w:p>
  </w:footnote>
  <w:footnote w:id="6">
    <w:p w:rsidR="00A74E1D" w:rsidRPr="000D6656" w:rsidRDefault="00A74E1D" w:rsidP="000D6656">
      <w:pPr>
        <w:pStyle w:val="FootnoteText"/>
        <w:ind w:left="567" w:hanging="567"/>
        <w:rPr>
          <w:sz w:val="24"/>
          <w:lang w:val="sk-SK"/>
        </w:rPr>
      </w:pPr>
      <w:r w:rsidRPr="000D6656">
        <w:rPr>
          <w:rStyle w:val="FootnoteReference"/>
          <w:sz w:val="24"/>
          <w:lang w:val="sk-SK"/>
        </w:rPr>
        <w:footnoteRef/>
      </w:r>
      <w:r w:rsidR="000D6656" w:rsidRPr="000D6656">
        <w:rPr>
          <w:sz w:val="24"/>
          <w:lang w:val="sk-SK"/>
        </w:rPr>
        <w:t xml:space="preserve"> </w:t>
      </w:r>
      <w:r w:rsidR="000D6656" w:rsidRPr="000D6656">
        <w:rPr>
          <w:sz w:val="24"/>
          <w:lang w:val="sk-SK"/>
        </w:rPr>
        <w:tab/>
      </w:r>
      <w:r w:rsidRPr="000D6656">
        <w:rPr>
          <w:sz w:val="24"/>
          <w:lang w:val="sk-SK"/>
        </w:rPr>
        <w:t>Ú. v. EÚ C, C/2023/112, 12.10.2023.</w:t>
      </w:r>
    </w:p>
  </w:footnote>
  <w:footnote w:id="7">
    <w:p w:rsidR="00A74E1D" w:rsidRPr="000D6656" w:rsidRDefault="00A74E1D" w:rsidP="000D6656">
      <w:pPr>
        <w:pStyle w:val="FootnoteText"/>
        <w:ind w:left="567" w:hanging="567"/>
        <w:rPr>
          <w:sz w:val="24"/>
          <w:lang w:val="sk-SK"/>
        </w:rPr>
      </w:pPr>
      <w:r w:rsidRPr="000D6656">
        <w:rPr>
          <w:rStyle w:val="FootnoteReference"/>
          <w:sz w:val="24"/>
          <w:lang w:val="sk-SK"/>
        </w:rPr>
        <w:footnoteRef/>
      </w:r>
      <w:r w:rsidR="000D6656" w:rsidRPr="000D6656">
        <w:rPr>
          <w:sz w:val="24"/>
          <w:lang w:val="sk-SK"/>
        </w:rPr>
        <w:t xml:space="preserve"> </w:t>
      </w:r>
      <w:r w:rsidR="000D6656" w:rsidRPr="000D6656">
        <w:rPr>
          <w:sz w:val="24"/>
          <w:lang w:val="sk-SK"/>
        </w:rPr>
        <w:tab/>
      </w:r>
      <w:r w:rsidRPr="000D6656">
        <w:rPr>
          <w:sz w:val="24"/>
          <w:lang w:val="sk-SK"/>
        </w:rPr>
        <w:t>Ú. v. EÚ L 193, 30.7.2018, s. 1.</w:t>
      </w:r>
    </w:p>
  </w:footnote>
  <w:footnote w:id="8">
    <w:p w:rsidR="00A74E1D" w:rsidRPr="000D6656" w:rsidRDefault="00A74E1D" w:rsidP="000D6656">
      <w:pPr>
        <w:pStyle w:val="FootnoteText"/>
        <w:ind w:left="567" w:hanging="567"/>
        <w:rPr>
          <w:sz w:val="24"/>
          <w:szCs w:val="24"/>
          <w:lang w:val="sk-SK"/>
        </w:rPr>
      </w:pPr>
      <w:r w:rsidRPr="000D6656">
        <w:rPr>
          <w:rStyle w:val="FootnoteReference"/>
          <w:sz w:val="24"/>
          <w:lang w:val="sk-SK"/>
        </w:rPr>
        <w:footnoteRef/>
      </w:r>
      <w:r w:rsidR="000D6656" w:rsidRPr="000D6656">
        <w:rPr>
          <w:sz w:val="24"/>
          <w:lang w:val="sk-SK"/>
        </w:rPr>
        <w:t xml:space="preserve"> </w:t>
      </w:r>
      <w:r w:rsidR="000D6656" w:rsidRPr="000D6656">
        <w:rPr>
          <w:sz w:val="24"/>
          <w:lang w:val="sk-SK"/>
        </w:rPr>
        <w:tab/>
      </w:r>
      <w:r w:rsidRPr="000D6656">
        <w:rPr>
          <w:sz w:val="24"/>
          <w:lang w:val="sk-SK"/>
        </w:rPr>
        <w:t>Ú. v. EÚ L 41, 15.2.2008, s. 15.</w:t>
      </w:r>
    </w:p>
  </w:footnote>
  <w:footnote w:id="9">
    <w:p w:rsidR="00A74E1D" w:rsidRPr="000D6656" w:rsidRDefault="00A74E1D" w:rsidP="000D6656">
      <w:pPr>
        <w:pStyle w:val="FootnoteText"/>
        <w:ind w:left="567" w:hanging="567"/>
        <w:rPr>
          <w:sz w:val="24"/>
          <w:lang w:val="sk-SK"/>
        </w:rPr>
      </w:pPr>
      <w:r w:rsidRPr="000D6656">
        <w:rPr>
          <w:rStyle w:val="FootnoteReference"/>
          <w:sz w:val="24"/>
          <w:lang w:val="sk-SK"/>
        </w:rPr>
        <w:footnoteRef/>
      </w:r>
      <w:r w:rsidR="000D6656" w:rsidRPr="000D6656">
        <w:rPr>
          <w:sz w:val="24"/>
          <w:lang w:val="sk-SK"/>
        </w:rPr>
        <w:t xml:space="preserve"> </w:t>
      </w:r>
      <w:r w:rsidR="000D6656" w:rsidRPr="000D6656">
        <w:rPr>
          <w:sz w:val="24"/>
          <w:lang w:val="sk-SK"/>
        </w:rPr>
        <w:tab/>
      </w:r>
      <w:r w:rsidRPr="000D6656">
        <w:rPr>
          <w:sz w:val="24"/>
          <w:lang w:val="sk-SK"/>
        </w:rPr>
        <w:t>Prijaté texty, P9_TA(2024)</w:t>
      </w:r>
      <w:r w:rsidR="003D3402">
        <w:rPr>
          <w:sz w:val="24"/>
          <w:lang w:val="sk-SK"/>
        </w:rPr>
        <w:t>0280</w:t>
      </w:r>
      <w:r w:rsidRPr="000D6656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665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665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665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8/2024"/>
    <w:docVar w:name="dvlangue" w:val="SK"/>
    <w:docVar w:name="dvnumam" w:val="0"/>
    <w:docVar w:name="dvpe" w:val="753.529"/>
    <w:docVar w:name="dvrapporteur" w:val="Spravodajca: "/>
    <w:docVar w:name="dvtitre" w:val="Rozhodnutie Európskeho parlamentu z xx. apríla 2024 o absolutóriu za plnenie rozpočtu Zásobovacej agentúry Euratomu za rozpočtový rok 2022(2023/2161(DEC))"/>
  </w:docVars>
  <w:rsids>
    <w:rsidRoot w:val="001F4864"/>
    <w:rsid w:val="00002272"/>
    <w:rsid w:val="00043F84"/>
    <w:rsid w:val="00064002"/>
    <w:rsid w:val="000677B9"/>
    <w:rsid w:val="000831BA"/>
    <w:rsid w:val="000A42CC"/>
    <w:rsid w:val="000D6656"/>
    <w:rsid w:val="000E7DD9"/>
    <w:rsid w:val="0010095E"/>
    <w:rsid w:val="00125B37"/>
    <w:rsid w:val="00187494"/>
    <w:rsid w:val="001F32AE"/>
    <w:rsid w:val="001F4864"/>
    <w:rsid w:val="002767FF"/>
    <w:rsid w:val="002B18FE"/>
    <w:rsid w:val="002B5493"/>
    <w:rsid w:val="00343214"/>
    <w:rsid w:val="00361C00"/>
    <w:rsid w:val="00395FA1"/>
    <w:rsid w:val="003D340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FF4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4E1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6D0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05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DA7C91"/>
  <w15:chartTrackingRefBased/>
  <w15:docId w15:val="{34AB860C-6554-43EA-A9F8-ECA384DBC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74E1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74E1D"/>
    <w:pPr>
      <w:spacing w:before="480" w:after="240"/>
    </w:pPr>
  </w:style>
  <w:style w:type="paragraph" w:customStyle="1" w:styleId="PageHeading">
    <w:name w:val="PageHeading"/>
    <w:basedOn w:val="Normal"/>
    <w:rsid w:val="00A74E1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74E1D"/>
    <w:rPr>
      <w:b/>
    </w:rPr>
  </w:style>
  <w:style w:type="paragraph" w:customStyle="1" w:styleId="NormalHanging12a">
    <w:name w:val="NormalHanging12a"/>
    <w:basedOn w:val="Normal"/>
    <w:link w:val="NormalHanging12aChar"/>
    <w:rsid w:val="00A74E1D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A74E1D"/>
    <w:pPr>
      <w:spacing w:after="240"/>
      <w:jc w:val="center"/>
    </w:pPr>
  </w:style>
  <w:style w:type="paragraph" w:styleId="Header">
    <w:name w:val="header"/>
    <w:basedOn w:val="Normal"/>
    <w:link w:val="HeaderChar"/>
    <w:rsid w:val="00A74E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74E1D"/>
    <w:rPr>
      <w:sz w:val="24"/>
      <w:lang w:val="sk-SK"/>
    </w:rPr>
  </w:style>
  <w:style w:type="paragraph" w:customStyle="1" w:styleId="EPFooter">
    <w:name w:val="EPFooter"/>
    <w:basedOn w:val="Normal"/>
    <w:rsid w:val="00A74E1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A74E1D"/>
    <w:rPr>
      <w:sz w:val="24"/>
      <w:lang w:val="sk-SK"/>
    </w:rPr>
  </w:style>
  <w:style w:type="paragraph" w:styleId="Footer">
    <w:name w:val="footer"/>
    <w:basedOn w:val="Normal"/>
    <w:link w:val="FooterChar"/>
    <w:rsid w:val="004D4F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D4FF4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220E7-055B-49A2-BF62-945854844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2167</Words>
  <Characters>13117</Characters>
  <Application>Microsoft Office Word</Application>
  <DocSecurity>0</DocSecurity>
  <Lines>257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2024-04-11T11:07:00Z</dcterms:created>
  <dcterms:modified xsi:type="dcterms:W3CDTF">2024-04-11T11:07:00Z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A9-0108/2024</vt:lpwstr>
  </property>
  <property fmtid="{D5CDD505-2E9C-101B-9397-08002B2CF9AE}" pid="4" name="&lt;Type&gt;">
    <vt:lpwstr>RR</vt:lpwstr>
  </property>
</Properties>
</file>