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84A8A" w:rsidTr="0010095E">
        <w:trPr>
          <w:trHeight w:hRule="exact" w:val="1418"/>
        </w:trPr>
        <w:tc>
          <w:tcPr>
            <w:tcW w:w="6804" w:type="dxa"/>
            <w:shd w:val="clear" w:color="auto" w:fill="auto"/>
            <w:vAlign w:val="center"/>
          </w:tcPr>
          <w:p w:rsidR="00751A4A" w:rsidRPr="00584A8A" w:rsidRDefault="00A3231D" w:rsidP="0010095E">
            <w:pPr>
              <w:pStyle w:val="EPName"/>
            </w:pPr>
            <w:bookmarkStart w:id="0" w:name="_GoBack"/>
            <w:bookmarkEnd w:id="0"/>
            <w:r w:rsidRPr="00584A8A">
              <w:t>Evropski parlament</w:t>
            </w:r>
          </w:p>
          <w:p w:rsidR="00751A4A" w:rsidRPr="00584A8A" w:rsidRDefault="00817416" w:rsidP="00756632">
            <w:pPr>
              <w:pStyle w:val="EPTerm"/>
              <w:rPr>
                <w:rStyle w:val="HideTWBExt"/>
                <w:noProof w:val="0"/>
                <w:vanish w:val="0"/>
                <w:color w:val="auto"/>
              </w:rPr>
            </w:pPr>
            <w:r w:rsidRPr="00584A8A">
              <w:t>2019-2024</w:t>
            </w:r>
          </w:p>
        </w:tc>
        <w:tc>
          <w:tcPr>
            <w:tcW w:w="2268" w:type="dxa"/>
            <w:shd w:val="clear" w:color="auto" w:fill="auto"/>
          </w:tcPr>
          <w:p w:rsidR="00751A4A" w:rsidRPr="00584A8A" w:rsidRDefault="00187494" w:rsidP="0010095E">
            <w:pPr>
              <w:pStyle w:val="EPLogo"/>
            </w:pPr>
            <w:r w:rsidRPr="00584A8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84A8A" w:rsidRDefault="00D058B8" w:rsidP="004C5D52">
      <w:pPr>
        <w:pStyle w:val="LineTop"/>
      </w:pPr>
    </w:p>
    <w:p w:rsidR="00680577" w:rsidRPr="00584A8A" w:rsidRDefault="00A3231D" w:rsidP="00680577">
      <w:pPr>
        <w:pStyle w:val="EPBodyTA1"/>
      </w:pPr>
      <w:r w:rsidRPr="00584A8A">
        <w:t>SPREJETA BESEDILA</w:t>
      </w:r>
    </w:p>
    <w:p w:rsidR="00D058B8" w:rsidRPr="00584A8A" w:rsidRDefault="00D058B8" w:rsidP="00D058B8">
      <w:pPr>
        <w:pStyle w:val="LineBottom"/>
      </w:pPr>
    </w:p>
    <w:p w:rsidR="00A3231D" w:rsidRPr="00584A8A" w:rsidRDefault="00A3231D" w:rsidP="00584A8A">
      <w:pPr>
        <w:pStyle w:val="ATHeading1"/>
      </w:pPr>
      <w:bookmarkStart w:id="1" w:name="TANumber"/>
      <w:r w:rsidRPr="00584A8A">
        <w:t>P9_TA(2024)0</w:t>
      </w:r>
      <w:r w:rsidR="00584A8A" w:rsidRPr="00584A8A">
        <w:t>259</w:t>
      </w:r>
      <w:bookmarkEnd w:id="1"/>
    </w:p>
    <w:p w:rsidR="00A3231D" w:rsidRPr="00584A8A" w:rsidRDefault="00A3231D" w:rsidP="00A3231D">
      <w:pPr>
        <w:pStyle w:val="ATHeading2"/>
      </w:pPr>
      <w:bookmarkStart w:id="2" w:name="title"/>
      <w:r w:rsidRPr="00584A8A">
        <w:t>Razrešnica za leto 2022: Agencija za oskrbo Euratom</w:t>
      </w:r>
      <w:bookmarkEnd w:id="2"/>
    </w:p>
    <w:p w:rsidR="00A3231D" w:rsidRPr="00584A8A" w:rsidRDefault="00A3231D" w:rsidP="00A3231D">
      <w:pPr>
        <w:rPr>
          <w:i/>
          <w:vanish/>
        </w:rPr>
      </w:pPr>
      <w:r w:rsidRPr="00584A8A">
        <w:rPr>
          <w:i/>
        </w:rPr>
        <w:fldChar w:fldCharType="begin"/>
      </w:r>
      <w:r w:rsidRPr="00584A8A">
        <w:rPr>
          <w:i/>
        </w:rPr>
        <w:instrText xml:space="preserve"> TC"(</w:instrText>
      </w:r>
      <w:bookmarkStart w:id="3" w:name="DocNumber"/>
      <w:r w:rsidRPr="00584A8A">
        <w:rPr>
          <w:i/>
        </w:rPr>
        <w:instrText>A9-0108/2024</w:instrText>
      </w:r>
      <w:bookmarkEnd w:id="3"/>
      <w:r w:rsidRPr="00584A8A">
        <w:rPr>
          <w:i/>
        </w:rPr>
        <w:instrText xml:space="preserve"> - Poročevalec: Petri Sarvamaa)"\l3 \n&gt; \* MERGEFORMAT </w:instrText>
      </w:r>
      <w:r w:rsidRPr="00584A8A">
        <w:rPr>
          <w:i/>
        </w:rPr>
        <w:fldChar w:fldCharType="end"/>
      </w:r>
    </w:p>
    <w:p w:rsidR="00A3231D" w:rsidRPr="00584A8A" w:rsidRDefault="00A3231D" w:rsidP="00A3231D">
      <w:pPr>
        <w:rPr>
          <w:vanish/>
        </w:rPr>
      </w:pPr>
      <w:bookmarkStart w:id="4" w:name="Commission"/>
      <w:r w:rsidRPr="00584A8A">
        <w:rPr>
          <w:vanish/>
        </w:rPr>
        <w:t>Odbor za proračunski nadzor</w:t>
      </w:r>
      <w:bookmarkEnd w:id="4"/>
    </w:p>
    <w:p w:rsidR="00A3231D" w:rsidRPr="00584A8A" w:rsidRDefault="00A3231D" w:rsidP="00A3231D">
      <w:pPr>
        <w:rPr>
          <w:vanish/>
        </w:rPr>
      </w:pPr>
      <w:bookmarkStart w:id="5" w:name="PE"/>
      <w:r w:rsidRPr="00584A8A">
        <w:rPr>
          <w:vanish/>
        </w:rPr>
        <w:t>PE753.529</w:t>
      </w:r>
      <w:bookmarkEnd w:id="5"/>
    </w:p>
    <w:p w:rsidR="00A3231D" w:rsidRPr="00584A8A" w:rsidRDefault="00A3231D" w:rsidP="00A3231D">
      <w:pPr>
        <w:pStyle w:val="ATHeading3"/>
      </w:pPr>
      <w:bookmarkStart w:id="6" w:name="Sujet"/>
      <w:r w:rsidRPr="00584A8A">
        <w:t>1. Sklep Evropskega parlamenta z dne 11. aprila 2024 o razrešnici glede izvrševanja proračuna Agencije za oskrbo Euratom za proračunsko leto 2022</w:t>
      </w:r>
      <w:bookmarkEnd w:id="6"/>
      <w:r w:rsidRPr="00584A8A">
        <w:t xml:space="preserve"> </w:t>
      </w:r>
      <w:bookmarkStart w:id="7" w:name="References"/>
      <w:r w:rsidRPr="00584A8A">
        <w:t>(2023/2161(DEC))</w:t>
      </w:r>
      <w:bookmarkEnd w:id="7"/>
    </w:p>
    <w:p w:rsidR="00147F82" w:rsidRPr="00584A8A" w:rsidRDefault="00147F82" w:rsidP="00147F82">
      <w:pPr>
        <w:pStyle w:val="EPComma"/>
      </w:pPr>
      <w:bookmarkStart w:id="8" w:name="TextBodyBegin"/>
      <w:bookmarkEnd w:id="8"/>
      <w:r w:rsidRPr="00584A8A">
        <w:rPr>
          <w:i/>
        </w:rPr>
        <w:t>Evropski parlament</w:t>
      </w:r>
      <w:r w:rsidRPr="00584A8A">
        <w:t>,</w:t>
      </w:r>
    </w:p>
    <w:p w:rsidR="00147F82" w:rsidRPr="00584A8A" w:rsidRDefault="00147F82" w:rsidP="00147F82">
      <w:pPr>
        <w:pStyle w:val="NormalHanging12a"/>
      </w:pPr>
      <w:r w:rsidRPr="00584A8A">
        <w:t>–</w:t>
      </w:r>
      <w:r w:rsidRPr="00584A8A">
        <w:tab/>
        <w:t>ob upoštevanju končnega zaključnega računa Agencije za oskrbo Euratom za proračunsko leto 2022,</w:t>
      </w:r>
    </w:p>
    <w:p w:rsidR="00147F82" w:rsidRPr="00584A8A" w:rsidRDefault="00147F82" w:rsidP="00147F82">
      <w:pPr>
        <w:pStyle w:val="NormalHanging12a"/>
      </w:pPr>
      <w:r w:rsidRPr="00584A8A">
        <w:t>–</w:t>
      </w:r>
      <w:r w:rsidRPr="00584A8A">
        <w:tab/>
        <w:t>ob upoštevanju letnega poročila Računskega sodišča o agencijah EU za proračunsko leto 2022 skupaj z odgovori agencij</w:t>
      </w:r>
      <w:r w:rsidRPr="00584A8A">
        <w:rPr>
          <w:rStyle w:val="FootnoteReference"/>
        </w:rPr>
        <w:footnoteReference w:id="1"/>
      </w:r>
      <w:r w:rsidRPr="00584A8A">
        <w:t>,</w:t>
      </w:r>
    </w:p>
    <w:p w:rsidR="00147F82" w:rsidRPr="00584A8A" w:rsidRDefault="00147F82" w:rsidP="00147F82">
      <w:pPr>
        <w:pStyle w:val="NormalHanging12a"/>
      </w:pPr>
      <w:r w:rsidRPr="00584A8A">
        <w:t>–</w:t>
      </w:r>
      <w:r w:rsidRPr="00584A8A">
        <w:tab/>
        <w:t>ob upoštevanju izjave o zanesljivosti</w:t>
      </w:r>
      <w:r w:rsidRPr="00584A8A">
        <w:rPr>
          <w:rStyle w:val="FootnoteReference"/>
        </w:rPr>
        <w:footnoteReference w:id="2"/>
      </w:r>
      <w:r w:rsidRPr="00584A8A">
        <w:t xml:space="preserve"> računovodskih izkazov ter zakonitosti in pravilnosti z njimi povezanih transakcij, ki jo je za proračunsko leto 2022 v skladu s členom 287 Pogodbe o delovanju Evropske unije pripravilo Računsko sodišče,</w:t>
      </w:r>
    </w:p>
    <w:p w:rsidR="00147F82" w:rsidRPr="00584A8A" w:rsidRDefault="00147F82" w:rsidP="009C14FF">
      <w:pPr>
        <w:pStyle w:val="NormalHanging12a"/>
      </w:pPr>
      <w:r w:rsidRPr="00584A8A">
        <w:t>–</w:t>
      </w:r>
      <w:r w:rsidRPr="00584A8A">
        <w:tab/>
        <w:t>ob upoštevanju priporočila Sveta z dne 22. februarja 2024 o podelitvi razrešnice agenciji glede izvrševanja proračuna za proračunsko leto 2022 (</w:t>
      </w:r>
      <w:r w:rsidR="009C14FF" w:rsidRPr="00584A8A">
        <w:t>06180</w:t>
      </w:r>
      <w:r w:rsidRPr="00584A8A">
        <w:t>/2024 – C9</w:t>
      </w:r>
      <w:r w:rsidRPr="00584A8A">
        <w:noBreakHyphen/>
        <w:t>00</w:t>
      </w:r>
      <w:r w:rsidR="009C14FF" w:rsidRPr="00584A8A">
        <w:t>99</w:t>
      </w:r>
      <w:r w:rsidRPr="00584A8A">
        <w:t>/2024),</w:t>
      </w:r>
    </w:p>
    <w:p w:rsidR="00147F82" w:rsidRPr="00584A8A" w:rsidRDefault="00147F82" w:rsidP="00147F82">
      <w:pPr>
        <w:pStyle w:val="NormalHanging12a"/>
      </w:pPr>
      <w:r w:rsidRPr="00584A8A">
        <w:t>–</w:t>
      </w:r>
      <w:r w:rsidRPr="00584A8A">
        <w:tab/>
        <w:t>ob upoštevanju člena 319 Pogodbe o delovanju Evropske unije,</w:t>
      </w:r>
    </w:p>
    <w:p w:rsidR="00147F82" w:rsidRPr="00584A8A" w:rsidRDefault="00147F82" w:rsidP="00147F82">
      <w:pPr>
        <w:pStyle w:val="NormalHanging12a"/>
      </w:pPr>
      <w:r w:rsidRPr="00584A8A">
        <w:t>–</w:t>
      </w:r>
      <w:r w:rsidRPr="00584A8A">
        <w:tab/>
        <w:t>ob upoštevanju člena 106a Pogodbe o ustanovitvi Evropske skupnosti za jedrsko energijo,</w:t>
      </w:r>
    </w:p>
    <w:p w:rsidR="00147F82" w:rsidRPr="00584A8A" w:rsidRDefault="00147F82" w:rsidP="00147F82">
      <w:pPr>
        <w:pStyle w:val="NormalHanging12a"/>
      </w:pPr>
      <w:r w:rsidRPr="00584A8A">
        <w:t>–</w:t>
      </w:r>
      <w:r w:rsidRPr="00584A8A">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584A8A">
        <w:rPr>
          <w:rStyle w:val="FootnoteReference"/>
        </w:rPr>
        <w:footnoteReference w:id="3"/>
      </w:r>
      <w:r w:rsidRPr="00584A8A">
        <w:t xml:space="preserve"> in zlasti člena 68,</w:t>
      </w:r>
    </w:p>
    <w:p w:rsidR="00147F82" w:rsidRPr="00584A8A" w:rsidRDefault="00147F82" w:rsidP="00147F82">
      <w:pPr>
        <w:pStyle w:val="NormalHanging12a"/>
      </w:pPr>
      <w:r w:rsidRPr="00584A8A">
        <w:t>–</w:t>
      </w:r>
      <w:r w:rsidRPr="00584A8A">
        <w:tab/>
        <w:t xml:space="preserve">ob upoštevanju Sklepa Sveta 2008/114/ES, Euratom z dne 12. februarja 2008 o </w:t>
      </w:r>
      <w:r w:rsidRPr="00584A8A">
        <w:lastRenderedPageBreak/>
        <w:t>določitvi statuta Agencije za oskrbo Euratom</w:t>
      </w:r>
      <w:r w:rsidRPr="00584A8A">
        <w:rPr>
          <w:rStyle w:val="FootnoteReference"/>
        </w:rPr>
        <w:footnoteReference w:id="4"/>
      </w:r>
      <w:r w:rsidRPr="00584A8A">
        <w:t xml:space="preserve"> in zlasti člena 8 priloge,</w:t>
      </w:r>
    </w:p>
    <w:p w:rsidR="00147F82" w:rsidRPr="00584A8A" w:rsidRDefault="00147F82" w:rsidP="00147F82">
      <w:pPr>
        <w:pStyle w:val="NormalHanging12a"/>
      </w:pPr>
      <w:r w:rsidRPr="00584A8A">
        <w:t>–</w:t>
      </w:r>
      <w:r w:rsidRPr="00584A8A">
        <w:tab/>
        <w:t>ob upoštevanju člena 100 in Priloge V Poslovnika,</w:t>
      </w:r>
    </w:p>
    <w:p w:rsidR="00147F82" w:rsidRPr="00584A8A" w:rsidRDefault="00147F82" w:rsidP="00147F82">
      <w:pPr>
        <w:pStyle w:val="NormalHanging12a"/>
      </w:pPr>
      <w:r w:rsidRPr="00584A8A">
        <w:t>–</w:t>
      </w:r>
      <w:r w:rsidRPr="00584A8A">
        <w:tab/>
        <w:t>ob upoštevanju poročila Odbora za proračunski nadzor (A9</w:t>
      </w:r>
      <w:r w:rsidRPr="00584A8A">
        <w:noBreakHyphen/>
        <w:t>0108/2024),</w:t>
      </w:r>
    </w:p>
    <w:p w:rsidR="00147F82" w:rsidRPr="00584A8A" w:rsidRDefault="00147F82" w:rsidP="00147F82">
      <w:pPr>
        <w:pStyle w:val="NormalHanging12a"/>
      </w:pPr>
      <w:r w:rsidRPr="00584A8A">
        <w:t>1.</w:t>
      </w:r>
      <w:r w:rsidRPr="00584A8A">
        <w:tab/>
        <w:t>podeli razrešnico vršilcu dolžnosti generalnega direktorja Agencije za oskrbo Euratom glede izvrševanja proračuna agencije za proračunsko leto 2022;</w:t>
      </w:r>
    </w:p>
    <w:p w:rsidR="00147F82" w:rsidRPr="00584A8A" w:rsidRDefault="00147F82" w:rsidP="00147F82">
      <w:pPr>
        <w:pStyle w:val="NormalHanging12a"/>
      </w:pPr>
      <w:r w:rsidRPr="00584A8A">
        <w:t>2.</w:t>
      </w:r>
      <w:r w:rsidRPr="00584A8A">
        <w:tab/>
        <w:t>navaja svoje pripombe v spodnji resoluciji;</w:t>
      </w:r>
    </w:p>
    <w:p w:rsidR="00147F82" w:rsidRPr="00584A8A" w:rsidRDefault="00147F82" w:rsidP="00147F82">
      <w:pPr>
        <w:pStyle w:val="NormalHanging12a"/>
      </w:pPr>
      <w:r w:rsidRPr="00584A8A">
        <w:t>3.</w:t>
      </w:r>
      <w:r w:rsidRPr="00584A8A">
        <w:tab/>
        <w:t xml:space="preserve">naroči svoji predsednici, naj ta sklep in resolucijo, ki je del sklepa, posreduje vršilcu dolžnosti generalnega direktorja Agencije za oskrbo Euratom, Svetu, Komisiji in Računskemu sodišču ter poskrbi za objavo v </w:t>
      </w:r>
      <w:r w:rsidRPr="00584A8A">
        <w:rPr>
          <w:i/>
        </w:rPr>
        <w:t>Uradnem listu Evropske unije</w:t>
      </w:r>
      <w:r w:rsidRPr="00584A8A">
        <w:t xml:space="preserve"> (serija L).</w:t>
      </w:r>
    </w:p>
    <w:p w:rsidR="00147F82" w:rsidRPr="00584A8A" w:rsidRDefault="00147F82" w:rsidP="00147F82"/>
    <w:p w:rsidR="00147F82" w:rsidRPr="00584A8A" w:rsidRDefault="00147F82" w:rsidP="00147F82">
      <w:pPr>
        <w:pStyle w:val="PageHeading"/>
        <w:sectPr w:rsidR="00147F82" w:rsidRPr="00584A8A" w:rsidSect="0024213C">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147F82" w:rsidRPr="00584A8A" w:rsidRDefault="00D11537" w:rsidP="00D11537">
      <w:pPr>
        <w:pStyle w:val="ATHeading3"/>
      </w:pPr>
      <w:r w:rsidRPr="00584A8A">
        <w:lastRenderedPageBreak/>
        <w:t xml:space="preserve">2. Sklep Evropskega parlamenta z dne 11. aprila 2024 </w:t>
      </w:r>
      <w:r w:rsidR="00147F82" w:rsidRPr="00584A8A">
        <w:t>o zaključnem računu Agencije za oskrbo Euratom za proračunsko leto 2022</w:t>
      </w:r>
      <w:r w:rsidRPr="00584A8A">
        <w:t xml:space="preserve"> </w:t>
      </w:r>
      <w:r w:rsidR="00147F82" w:rsidRPr="00584A8A">
        <w:t>(2023/2161(DEC))</w:t>
      </w:r>
    </w:p>
    <w:p w:rsidR="00147F82" w:rsidRPr="00584A8A" w:rsidRDefault="00147F82" w:rsidP="00147F82">
      <w:pPr>
        <w:pStyle w:val="EPComma"/>
      </w:pPr>
      <w:r w:rsidRPr="00584A8A">
        <w:rPr>
          <w:i/>
        </w:rPr>
        <w:t>Evropski parlament</w:t>
      </w:r>
      <w:r w:rsidRPr="00584A8A">
        <w:t>,</w:t>
      </w:r>
    </w:p>
    <w:p w:rsidR="00147F82" w:rsidRPr="00584A8A" w:rsidRDefault="00147F82" w:rsidP="00147F82">
      <w:pPr>
        <w:pStyle w:val="NormalHanging12a"/>
      </w:pPr>
      <w:r w:rsidRPr="00584A8A">
        <w:t>–</w:t>
      </w:r>
      <w:r w:rsidRPr="00584A8A">
        <w:tab/>
        <w:t>ob upoštevanju končnega zaključnega računa Agencije za oskrbo Euratom za proračunsko leto 2022,</w:t>
      </w:r>
    </w:p>
    <w:p w:rsidR="00147F82" w:rsidRPr="00584A8A" w:rsidRDefault="00147F82" w:rsidP="00147F82">
      <w:pPr>
        <w:pStyle w:val="NormalHanging12a"/>
      </w:pPr>
      <w:r w:rsidRPr="00584A8A">
        <w:t>–</w:t>
      </w:r>
      <w:r w:rsidRPr="00584A8A">
        <w:tab/>
        <w:t>ob upoštevanju letnega poročila Računskega sodišča o agencijah EU za proračunsko leto 2022 skupaj z odgovori agencij</w:t>
      </w:r>
      <w:r w:rsidRPr="00584A8A">
        <w:rPr>
          <w:rStyle w:val="FootnoteReference"/>
        </w:rPr>
        <w:footnoteReference w:id="5"/>
      </w:r>
      <w:r w:rsidRPr="00584A8A">
        <w:t>,</w:t>
      </w:r>
    </w:p>
    <w:p w:rsidR="00147F82" w:rsidRPr="00584A8A" w:rsidRDefault="00147F82" w:rsidP="00147F82">
      <w:pPr>
        <w:pStyle w:val="NormalHanging12a"/>
      </w:pPr>
      <w:r w:rsidRPr="00584A8A">
        <w:t>–</w:t>
      </w:r>
      <w:r w:rsidRPr="00584A8A">
        <w:tab/>
        <w:t>ob upoštevanju izjave o zanesljivosti</w:t>
      </w:r>
      <w:r w:rsidRPr="00584A8A">
        <w:rPr>
          <w:rStyle w:val="FootnoteReference"/>
        </w:rPr>
        <w:footnoteReference w:id="6"/>
      </w:r>
      <w:r w:rsidRPr="00584A8A">
        <w:t xml:space="preserve"> računovodskih izkazov ter zakonitosti in pravilnosti z njimi povezanih transakcij, ki jo je za proračunsko leto 2022 v skladu s členom 287 Pogodbe o delovanju Evropske unije pripravilo Računsko sodišče,</w:t>
      </w:r>
    </w:p>
    <w:p w:rsidR="00147F82" w:rsidRPr="00584A8A" w:rsidRDefault="00147F82" w:rsidP="009C14FF">
      <w:pPr>
        <w:pStyle w:val="NormalHanging12a"/>
      </w:pPr>
      <w:r w:rsidRPr="00584A8A">
        <w:t>–</w:t>
      </w:r>
      <w:r w:rsidRPr="00584A8A">
        <w:tab/>
        <w:t>ob upoštevanju priporočila Sveta z dne 22. februarja 2024 o podelitvi razrešnice agenciji glede izvrševanja proračuna za proračunsko leto 2022 (</w:t>
      </w:r>
      <w:r w:rsidR="009C14FF" w:rsidRPr="00584A8A">
        <w:t>06180</w:t>
      </w:r>
      <w:r w:rsidRPr="00584A8A">
        <w:t>/2024 – C9</w:t>
      </w:r>
      <w:r w:rsidRPr="00584A8A">
        <w:noBreakHyphen/>
        <w:t>00</w:t>
      </w:r>
      <w:r w:rsidR="009C14FF" w:rsidRPr="00584A8A">
        <w:t>99</w:t>
      </w:r>
      <w:r w:rsidRPr="00584A8A">
        <w:t>/2024),</w:t>
      </w:r>
    </w:p>
    <w:p w:rsidR="00147F82" w:rsidRPr="00584A8A" w:rsidRDefault="00147F82" w:rsidP="00147F82">
      <w:pPr>
        <w:pStyle w:val="NormalHanging12a"/>
      </w:pPr>
      <w:r w:rsidRPr="00584A8A">
        <w:t>–</w:t>
      </w:r>
      <w:r w:rsidRPr="00584A8A">
        <w:tab/>
        <w:t>ob upoštevanju člena 319 Pogodbe o delovanju Evropske unije,</w:t>
      </w:r>
    </w:p>
    <w:p w:rsidR="00147F82" w:rsidRPr="00584A8A" w:rsidRDefault="00147F82" w:rsidP="00147F82">
      <w:pPr>
        <w:pStyle w:val="NormalHanging12a"/>
      </w:pPr>
      <w:r w:rsidRPr="00584A8A">
        <w:t>–</w:t>
      </w:r>
      <w:r w:rsidRPr="00584A8A">
        <w:tab/>
        <w:t>ob upoštevanju člena 106a Pogodbe o ustanovitvi Evropske skupnosti za jedrsko energijo,</w:t>
      </w:r>
    </w:p>
    <w:p w:rsidR="00147F82" w:rsidRPr="00584A8A" w:rsidRDefault="00147F82" w:rsidP="00147F82">
      <w:pPr>
        <w:pStyle w:val="NormalHanging12a"/>
      </w:pPr>
      <w:r w:rsidRPr="00584A8A">
        <w:t>–</w:t>
      </w:r>
      <w:r w:rsidRPr="00584A8A">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584A8A">
        <w:rPr>
          <w:rStyle w:val="FootnoteReference"/>
        </w:rPr>
        <w:footnoteReference w:id="7"/>
      </w:r>
      <w:r w:rsidRPr="00584A8A">
        <w:t xml:space="preserve"> in zlasti člena 68,</w:t>
      </w:r>
    </w:p>
    <w:p w:rsidR="00147F82" w:rsidRPr="00584A8A" w:rsidRDefault="00147F82" w:rsidP="00147F82">
      <w:pPr>
        <w:pStyle w:val="NormalHanging12a"/>
      </w:pPr>
      <w:r w:rsidRPr="00584A8A">
        <w:t>–</w:t>
      </w:r>
      <w:r w:rsidRPr="00584A8A">
        <w:tab/>
        <w:t>ob upoštevanju Sklepa Sveta 2008/114/ES, Euratom z dne 12. februarja 2008 o določitvi statuta Agencije za oskrbo Euratom</w:t>
      </w:r>
      <w:r w:rsidRPr="00584A8A">
        <w:rPr>
          <w:rStyle w:val="FootnoteReference"/>
        </w:rPr>
        <w:footnoteReference w:id="8"/>
      </w:r>
      <w:r w:rsidRPr="00584A8A">
        <w:t xml:space="preserve"> in zlasti člena 8 priloge,</w:t>
      </w:r>
    </w:p>
    <w:p w:rsidR="00147F82" w:rsidRPr="00584A8A" w:rsidRDefault="00147F82" w:rsidP="00147F82">
      <w:pPr>
        <w:pStyle w:val="NormalHanging12a"/>
      </w:pPr>
      <w:r w:rsidRPr="00584A8A">
        <w:t>–</w:t>
      </w:r>
      <w:r w:rsidRPr="00584A8A">
        <w:tab/>
        <w:t>ob upoštevanju člena 100 in Priloge V Poslovnika,</w:t>
      </w:r>
    </w:p>
    <w:p w:rsidR="00147F82" w:rsidRPr="00584A8A" w:rsidRDefault="00147F82" w:rsidP="00147F82">
      <w:pPr>
        <w:pStyle w:val="NormalHanging12a"/>
        <w:spacing w:after="360"/>
      </w:pPr>
      <w:r w:rsidRPr="00584A8A">
        <w:t>–</w:t>
      </w:r>
      <w:r w:rsidRPr="00584A8A">
        <w:tab/>
        <w:t>ob upoštevanju poročila Odbora za proračunski nadzor (A9</w:t>
      </w:r>
      <w:r w:rsidRPr="00584A8A">
        <w:noBreakHyphen/>
        <w:t>0108/2024),</w:t>
      </w:r>
    </w:p>
    <w:p w:rsidR="00147F82" w:rsidRPr="00584A8A" w:rsidRDefault="00147F82" w:rsidP="00147F82">
      <w:pPr>
        <w:pStyle w:val="NormalHanging12a"/>
      </w:pPr>
      <w:r w:rsidRPr="00584A8A">
        <w:t>1.</w:t>
      </w:r>
      <w:r w:rsidRPr="00584A8A">
        <w:tab/>
        <w:t>odobri zaključni račun Agencije za oskrbo Euratom za proračunsko leto 2022;</w:t>
      </w:r>
    </w:p>
    <w:p w:rsidR="00147F82" w:rsidRPr="00584A8A" w:rsidRDefault="00147F82" w:rsidP="00147F82">
      <w:pPr>
        <w:pStyle w:val="NormalHanging12a"/>
      </w:pPr>
      <w:r w:rsidRPr="00584A8A">
        <w:t>2.</w:t>
      </w:r>
      <w:r w:rsidRPr="00584A8A">
        <w:tab/>
        <w:t xml:space="preserve">naroči svoji predsednici, naj ta sklep posreduje vršilcu dolžnosti generalnega direktorja Agencije za oskrbo Euratom, Svetu, Komisiji in Računskemu sodišču ter poskrbi za objavo v </w:t>
      </w:r>
      <w:r w:rsidRPr="00584A8A">
        <w:rPr>
          <w:i/>
        </w:rPr>
        <w:t>Uradnem listu Evropske unije</w:t>
      </w:r>
      <w:r w:rsidRPr="00584A8A">
        <w:t xml:space="preserve"> (serija L).</w:t>
      </w:r>
    </w:p>
    <w:p w:rsidR="00147F82" w:rsidRPr="00584A8A" w:rsidRDefault="00147F82" w:rsidP="00147F82"/>
    <w:p w:rsidR="00147F82" w:rsidRPr="00584A8A" w:rsidRDefault="00147F82" w:rsidP="00147F82">
      <w:pPr>
        <w:pStyle w:val="PageHeading"/>
        <w:sectPr w:rsidR="00147F82" w:rsidRPr="00584A8A" w:rsidSect="0024213C">
          <w:footnotePr>
            <w:numRestart w:val="eachPage"/>
          </w:footnotePr>
          <w:endnotePr>
            <w:numFmt w:val="decimal"/>
          </w:endnotePr>
          <w:pgSz w:w="11906" w:h="16838" w:code="9"/>
          <w:pgMar w:top="1134" w:right="1418" w:bottom="1418" w:left="1418" w:header="567" w:footer="567" w:gutter="0"/>
          <w:cols w:space="720"/>
          <w:noEndnote/>
          <w:docGrid w:linePitch="326"/>
        </w:sectPr>
      </w:pPr>
    </w:p>
    <w:p w:rsidR="00147F82" w:rsidRPr="00584A8A" w:rsidRDefault="00D11537" w:rsidP="00D11537">
      <w:pPr>
        <w:pStyle w:val="ATHeading3"/>
      </w:pPr>
      <w:r w:rsidRPr="00584A8A">
        <w:lastRenderedPageBreak/>
        <w:t xml:space="preserve">3. Resolucija Evropskega parlamenta z dne 11. aprila 2024 </w:t>
      </w:r>
      <w:r w:rsidR="00147F82" w:rsidRPr="00584A8A">
        <w:t>s pripombami, ki so del sklepa o razrešnici glede izvrševanja proračuna Agencije za oskrbo Euratom za proračunsko leto 2022</w:t>
      </w:r>
      <w:r w:rsidRPr="00584A8A">
        <w:t xml:space="preserve"> </w:t>
      </w:r>
      <w:r w:rsidR="00147F82" w:rsidRPr="00584A8A">
        <w:t>(2023/2161(DEC))</w:t>
      </w:r>
    </w:p>
    <w:p w:rsidR="00147F82" w:rsidRPr="00584A8A" w:rsidRDefault="00147F82" w:rsidP="00147F82">
      <w:pPr>
        <w:pStyle w:val="EPComma"/>
      </w:pPr>
      <w:r w:rsidRPr="00584A8A">
        <w:rPr>
          <w:i/>
        </w:rPr>
        <w:t>Evropski parlament</w:t>
      </w:r>
      <w:r w:rsidRPr="00584A8A">
        <w:t>,</w:t>
      </w:r>
    </w:p>
    <w:p w:rsidR="00147F82" w:rsidRPr="00584A8A" w:rsidRDefault="00147F82" w:rsidP="00147F82">
      <w:pPr>
        <w:pStyle w:val="NormalHanging12a"/>
      </w:pPr>
      <w:r w:rsidRPr="00584A8A">
        <w:t>–</w:t>
      </w:r>
      <w:r w:rsidRPr="00584A8A">
        <w:tab/>
        <w:t>ob upoštevanju sklepa o razrešnici glede izvrševanja proračuna Agencije za oskrbo Euratom (v nadaljnjem besedilu: agencija) za proračunsko leto 2022,</w:t>
      </w:r>
    </w:p>
    <w:p w:rsidR="00147F82" w:rsidRPr="00584A8A" w:rsidRDefault="00147F82" w:rsidP="00147F82">
      <w:pPr>
        <w:pStyle w:val="NormalHanging12a"/>
      </w:pPr>
      <w:r w:rsidRPr="00584A8A">
        <w:t>–</w:t>
      </w:r>
      <w:r w:rsidRPr="00584A8A">
        <w:tab/>
        <w:t>ob upoštevanju člena 100 in Priloge V Poslovnika,</w:t>
      </w:r>
    </w:p>
    <w:p w:rsidR="00147F82" w:rsidRPr="00584A8A" w:rsidRDefault="00147F82" w:rsidP="00147F82">
      <w:pPr>
        <w:pStyle w:val="NormalHanging12a"/>
      </w:pPr>
      <w:r w:rsidRPr="00584A8A">
        <w:t>–</w:t>
      </w:r>
      <w:r w:rsidRPr="00584A8A">
        <w:tab/>
        <w:t>ob upoštevanju poročila Odbora za proračunski nadzor (A9</w:t>
      </w:r>
      <w:r w:rsidRPr="00584A8A">
        <w:noBreakHyphen/>
        <w:t>0108/2024),</w:t>
      </w:r>
    </w:p>
    <w:p w:rsidR="00147F82" w:rsidRPr="00584A8A" w:rsidRDefault="00147F82" w:rsidP="00147F82">
      <w:pPr>
        <w:spacing w:after="240"/>
        <w:ind w:left="567" w:hanging="567"/>
        <w:rPr>
          <w:szCs w:val="24"/>
        </w:rPr>
      </w:pPr>
      <w:r w:rsidRPr="00584A8A">
        <w:t>A.</w:t>
      </w:r>
      <w:r w:rsidRPr="00584A8A">
        <w:tab/>
        <w:t>ker iz poročila o prihodkih in odhodkih agencije izhaja, da je njen končni proračun v proračunskem letu 2022 znašal 167.000 EUR, kar je 20,48 % manj kot leta 2021 (210.000 EUR); ker celotni proračun agencije izvira iz proračuna Unije;</w:t>
      </w:r>
    </w:p>
    <w:p w:rsidR="00147F82" w:rsidRPr="00584A8A" w:rsidRDefault="00147F82" w:rsidP="00147F82">
      <w:pPr>
        <w:spacing w:after="240"/>
        <w:ind w:left="567" w:hanging="567"/>
        <w:rPr>
          <w:szCs w:val="24"/>
        </w:rPr>
      </w:pPr>
      <w:r w:rsidRPr="00584A8A">
        <w:t>B.</w:t>
      </w:r>
      <w:r w:rsidRPr="00584A8A">
        <w:tab/>
        <w:t>ker je Računsko sodišče v poročilu o zaključnem računu agencije za proračunsko leto 2022 (v nadaljnjem besedilu: poročilo Računskega sodišča) navedlo, da je prejelo razumno zagotovilo o zanesljivosti računovodskih izkazov agencije ter o zakonitosti in pravilnosti z njimi povezanih transakcij;</w:t>
      </w:r>
    </w:p>
    <w:p w:rsidR="00147F82" w:rsidRPr="00584A8A" w:rsidRDefault="00147F82" w:rsidP="00147F82">
      <w:pPr>
        <w:spacing w:after="240"/>
        <w:ind w:left="567" w:hanging="567"/>
        <w:rPr>
          <w:szCs w:val="24"/>
        </w:rPr>
      </w:pPr>
      <w:r w:rsidRPr="00584A8A">
        <w:t>C.</w:t>
      </w:r>
      <w:r w:rsidRPr="00584A8A">
        <w:tab/>
        <w:t>ker v zvezi s sistemi notranje kontrole agencije za leto 2022 niso bile sporočene nobene težave, zaradi katerih bi bili potrebni popravni ukrepi, in ker ni tekočih ali zapadlih popravnih ukrepov iz revizij in ocen iz prejšnjih let;</w:t>
      </w:r>
    </w:p>
    <w:p w:rsidR="00147F82" w:rsidRPr="00584A8A" w:rsidRDefault="00147F82" w:rsidP="00147F82">
      <w:pPr>
        <w:spacing w:after="240"/>
        <w:ind w:left="567" w:hanging="567"/>
        <w:rPr>
          <w:b/>
          <w:i/>
          <w:szCs w:val="24"/>
        </w:rPr>
      </w:pPr>
      <w:r w:rsidRPr="00584A8A">
        <w:rPr>
          <w:b/>
          <w:i/>
        </w:rPr>
        <w:t>Upravljanje proračuna in finančno poslovodenje</w:t>
      </w:r>
    </w:p>
    <w:p w:rsidR="00147F82" w:rsidRPr="00584A8A" w:rsidRDefault="00147F82" w:rsidP="00147F82">
      <w:pPr>
        <w:spacing w:after="240"/>
        <w:ind w:left="567" w:hanging="567"/>
        <w:rPr>
          <w:szCs w:val="24"/>
        </w:rPr>
      </w:pPr>
      <w:r w:rsidRPr="00584A8A">
        <w:t>1.</w:t>
      </w:r>
      <w:r w:rsidRPr="00584A8A">
        <w:tab/>
        <w:t>ugotavlja, da je stopnja izvrševanja sredstev za prevzem obveznosti zaradi proračunskega spremljanja v proračunskem letu 2022 znašala 96,88 %, kar je nekoliko manj (2,88 %) kot leta 2021, ugotavlja pa tudi, da je stopnja izvrševanja sredstev za plačila v tekočem letu znašala 34,81 %, kar je 16,4 % manj kot leta 2021;</w:t>
      </w:r>
    </w:p>
    <w:p w:rsidR="00147F82" w:rsidRPr="00584A8A" w:rsidRDefault="00147F82" w:rsidP="00147F82">
      <w:pPr>
        <w:spacing w:after="240"/>
        <w:ind w:left="567" w:hanging="567"/>
        <w:rPr>
          <w:szCs w:val="24"/>
        </w:rPr>
      </w:pPr>
      <w:r w:rsidRPr="00584A8A">
        <w:t>2.</w:t>
      </w:r>
      <w:r w:rsidRPr="00584A8A">
        <w:tab/>
        <w:t>ugotavlja, da velik del stroškov agencije krije Komisija, vključno s plačami, izračunanimi v višini 1.937.817 EUR, stroški za prostore in informacijsko tehnologijo, izračunanimi v višini 467.708 EUR, ter informacijskim sistemom za jedrsko opazovanje in upravljanje informacij ESA (NOEMI), izračunanimi v višini 84.644 EUR; ugotavlja tudi, da so ti stroški vključeni v letne računovodske izkaze Komisije, kar pozitivno prispeva k upravni zmogljivosti agencije;</w:t>
      </w:r>
    </w:p>
    <w:p w:rsidR="00147F82" w:rsidRPr="00584A8A" w:rsidRDefault="00147F82" w:rsidP="00147F82">
      <w:pPr>
        <w:spacing w:after="240"/>
        <w:ind w:left="567" w:hanging="567"/>
        <w:rPr>
          <w:b/>
          <w:i/>
          <w:szCs w:val="24"/>
        </w:rPr>
      </w:pPr>
      <w:r w:rsidRPr="00584A8A">
        <w:rPr>
          <w:b/>
          <w:i/>
        </w:rPr>
        <w:t>Uspešnost</w:t>
      </w:r>
    </w:p>
    <w:p w:rsidR="00147F82" w:rsidRPr="00584A8A" w:rsidRDefault="00147F82" w:rsidP="00147F82">
      <w:pPr>
        <w:pStyle w:val="NormalHanging12a"/>
      </w:pPr>
      <w:r w:rsidRPr="00584A8A">
        <w:t>3.</w:t>
      </w:r>
      <w:r w:rsidRPr="00584A8A">
        <w:tab/>
        <w:t xml:space="preserve">poudarja, da je leto 2022 zaznamovala ruska invazija na Ukrajino, ki je v EU vzbudila zaskrbljenost glede energetske varnosti na splošno, zlasti pa ogrožala zanesljivost oskrbe Unije z jedrskimi materiali in gorivom ter zaostrila vprašanje odvisnosti; ugotavlja, da so številne jedrske elektrarne Unije odvisne od ruskih dobaviteljev goriva in da so javne službe Unije kot celota odvisne od 20 do 30 % ruske dobave jedrskega materiala in storitev gorivnega cikla; ugotavlja, da se je Unija ob priznavanju vloge visokih plačil za uvoz energije pri podpiranju ukrepov Rusije odločila, da bo zmanjšala svojo odvisnost od Rusije v različnih sektorjih, jedrski trg pa se lahko zaradi svojih edinstvenih značilnosti v okviru teh obsežnejših sprememb v prihodnosti spremeni; </w:t>
      </w:r>
      <w:r w:rsidRPr="00584A8A">
        <w:lastRenderedPageBreak/>
        <w:t>poziva agencijo, naj organu za podelitev razrešnice poroča o tem, kako je od leta 2022 zmanjšala odvisnost Unije od ruskega jedrskega goriva, zlasti od začetka vojne, ko je bila jedrska industrija izvzeta iz sankcij, ter kako sta zmanjšanje in diverzifikacija vplivala na stroške;</w:t>
      </w:r>
    </w:p>
    <w:p w:rsidR="00147F82" w:rsidRPr="00584A8A" w:rsidRDefault="00147F82" w:rsidP="00147F82">
      <w:pPr>
        <w:spacing w:after="240"/>
        <w:ind w:left="567" w:hanging="567"/>
      </w:pPr>
      <w:r w:rsidRPr="00584A8A">
        <w:t>4.</w:t>
      </w:r>
      <w:r w:rsidRPr="00584A8A">
        <w:tab/>
        <w:t>z zadovoljstvom ugotavlja, da je agencija posebno pozornost namenila pregledu pogodb, pri katerih obstaja tveganje odvisnosti od Rusije, vključno s temeljito analizo klavzul, tehnoloških informacij, dobavnih verig, razpoložljivosti alternativnih goriv in operativne avtonomije javnih služb pri obstoječih zalogah goriva; želi pohvaliti agencijo, da je sprejela ukrepe za poenostavitev postopka oddaje naročil in ohranila visoko raven varnosti, namenska varna orodja IT pa so olajšala dokončanje in oddajo naročil na daljavo; ugotavlja, da se je leta 2022 zaradi teh prizadevanj povečalo število elektronsko podpisanih aktov, ki so v skladu s predpisi o identifikaciji za elektronske transakcije na enotnem trgu;</w:t>
      </w:r>
    </w:p>
    <w:p w:rsidR="00147F82" w:rsidRPr="00584A8A" w:rsidRDefault="00147F82" w:rsidP="00147F82">
      <w:pPr>
        <w:spacing w:after="240"/>
        <w:ind w:left="567" w:hanging="567"/>
        <w:rPr>
          <w:szCs w:val="24"/>
        </w:rPr>
      </w:pPr>
      <w:r w:rsidRPr="00584A8A">
        <w:t>5.</w:t>
      </w:r>
      <w:r w:rsidRPr="00584A8A">
        <w:tab/>
        <w:t>ugotavlja, da je agencija v skladu s svojimi strateškimi cilji in politikami Komisije nameravala razdeliti vire oskrbe v jedrskem gorivnem ciklu za energetsko in neenergetsko uporabo ter tako srednje- in dolgoročno prispevati k zanesljivi oskrbi;</w:t>
      </w:r>
    </w:p>
    <w:p w:rsidR="00147F82" w:rsidRPr="00584A8A" w:rsidRDefault="00147F82" w:rsidP="00147F82">
      <w:pPr>
        <w:spacing w:after="240"/>
        <w:ind w:left="567" w:hanging="567"/>
        <w:rPr>
          <w:szCs w:val="24"/>
        </w:rPr>
      </w:pPr>
      <w:r w:rsidRPr="00584A8A">
        <w:t>6.</w:t>
      </w:r>
      <w:r w:rsidRPr="00584A8A">
        <w:tab/>
        <w:t>ugotavlja, da je agencija odgovorna za spremljanje trga, da bi opredelila trende, ki bi lahko vplivali na zanesljivost oskrbe Unije z jedrskim materialom in storitvami; ugotavlja tudi, da je agencija v svojem letnem poročilu objavila tržno analizo, zagotovila informacije o jedrskih trgih Unije in svetovnih jedrskih trgih ter delila informacije in znanje z drugimi mednarodnimi organizacijami za analizo trga;</w:t>
      </w:r>
    </w:p>
    <w:p w:rsidR="00147F82" w:rsidRPr="00584A8A" w:rsidRDefault="00147F82" w:rsidP="00147F82">
      <w:pPr>
        <w:pStyle w:val="NormalHanging12a"/>
      </w:pPr>
      <w:r w:rsidRPr="00584A8A">
        <w:t>7.</w:t>
      </w:r>
      <w:r w:rsidRPr="00584A8A">
        <w:tab/>
        <w:t>pozdravlja, da je agencija v letu 2022 vodila ukrepe za zagotovitev oskrbe z izvornimi materiali za medicinske radioaktivne izotope, saj je prispevala k izvajanju strateške agende za uporabo medicinskega ionizirajočega sevanja (SAMIRA) in vodila evropski observatorij za oskrbo z medicinskimi radioaktivnimi izotopi;</w:t>
      </w:r>
    </w:p>
    <w:p w:rsidR="00147F82" w:rsidRPr="00584A8A" w:rsidRDefault="00147F82" w:rsidP="00147F82">
      <w:pPr>
        <w:spacing w:after="240"/>
        <w:ind w:left="567" w:hanging="567"/>
        <w:rPr>
          <w:szCs w:val="24"/>
        </w:rPr>
      </w:pPr>
      <w:r w:rsidRPr="00584A8A">
        <w:t>8.</w:t>
      </w:r>
      <w:r w:rsidRPr="00584A8A">
        <w:tab/>
        <w:t>pozdravlja prizadevanja agencije v sodelovanju s partnerji in deležniki, da bi okrepila zanesljivost oskrbe z jedrskimi snovmi zaradi nezakonite in neizzvane ruske invazije na Ukrajino;</w:t>
      </w:r>
    </w:p>
    <w:p w:rsidR="00147F82" w:rsidRPr="00584A8A" w:rsidRDefault="00147F82" w:rsidP="00147F82">
      <w:pPr>
        <w:spacing w:after="240"/>
        <w:ind w:left="567" w:hanging="567"/>
        <w:rPr>
          <w:b/>
          <w:i/>
          <w:szCs w:val="24"/>
        </w:rPr>
      </w:pPr>
      <w:r w:rsidRPr="00584A8A">
        <w:rPr>
          <w:b/>
          <w:i/>
        </w:rPr>
        <w:t>Povečanje učinkovitosti</w:t>
      </w:r>
    </w:p>
    <w:p w:rsidR="00147F82" w:rsidRPr="00584A8A" w:rsidRDefault="00147F82" w:rsidP="00147F82">
      <w:pPr>
        <w:spacing w:after="240"/>
        <w:ind w:left="567" w:hanging="567"/>
        <w:rPr>
          <w:szCs w:val="24"/>
        </w:rPr>
      </w:pPr>
      <w:r w:rsidRPr="00584A8A">
        <w:t>9.</w:t>
      </w:r>
      <w:r w:rsidRPr="00584A8A">
        <w:tab/>
        <w:t>ugotavlja, da je agencija tesno sodelovala s Komisijo, da bi spodbudila diverzifikacijo oskrbe; ugotavlja tudi, da ima agencija na področju jedrske energije v okviru Organizacije za gospodarsko sodelovanje in razvoj že dolgo vzpostavljene odnose z Mednarodno agencijo za atomsko energijo in Agencijo za jedrsko energijo; poudarja horizontalne koristi sodelovanja in prilagajanja najboljše prakse in opozarja, da skupne pobude združujejo različne poglede, zmanjšujejo podvajanje prizadevanj, izboljšujejo učenje in krepijo odnose med udeleženci;</w:t>
      </w:r>
    </w:p>
    <w:p w:rsidR="00147F82" w:rsidRPr="00584A8A" w:rsidRDefault="00147F82" w:rsidP="00147F82">
      <w:pPr>
        <w:spacing w:after="240"/>
        <w:ind w:left="567" w:hanging="567"/>
        <w:rPr>
          <w:szCs w:val="24"/>
        </w:rPr>
      </w:pPr>
      <w:r w:rsidRPr="00584A8A">
        <w:t>10.</w:t>
      </w:r>
      <w:r w:rsidRPr="00584A8A">
        <w:tab/>
        <w:t>ugotavlja, da agencija razvija informacijski sistem NOEMI, da bi omogočila popolno digitalno obdelavo pogodb o jedrski dobavi in tržnih informacij ob popolnem spoštovanju pravil o varstvu informacij, hkrati pa si prizadeva za razširitev svoje analitične zmogljivosti glede razpoložljivih podatkov;</w:t>
      </w:r>
    </w:p>
    <w:p w:rsidR="00147F82" w:rsidRPr="00584A8A" w:rsidRDefault="00147F82" w:rsidP="00147F82">
      <w:pPr>
        <w:spacing w:after="240"/>
        <w:ind w:left="567" w:hanging="567"/>
        <w:rPr>
          <w:szCs w:val="24"/>
        </w:rPr>
      </w:pPr>
      <w:r w:rsidRPr="00584A8A">
        <w:t>11.</w:t>
      </w:r>
      <w:r w:rsidRPr="00584A8A">
        <w:tab/>
        <w:t xml:space="preserve">ugotavlja, da si je agencija prizadevala povečati učinkovitost in prerazporediti človeške vire za nove prihodnje naloge in izzive; ugotavlja, da bi bilo dodatno povečanje </w:t>
      </w:r>
      <w:r w:rsidRPr="00584A8A">
        <w:lastRenderedPageBreak/>
        <w:t>učinkovitosti mogoče le z uporabo sinergij in podporo Komisije z zagotavljanjem specializiranih podpornih funkcij, razširitvijo uporabe institucionalnih orodij in povečanjem dodeljevanja sredstev za razvoj informacijskega sistema NOEMI; poziva agencijo, naj ugotovi, katere notranje postopke bi lahko racionalizirali z novimi orodji IT;</w:t>
      </w:r>
    </w:p>
    <w:p w:rsidR="00147F82" w:rsidRPr="00584A8A" w:rsidRDefault="00147F82" w:rsidP="00147F82">
      <w:pPr>
        <w:pStyle w:val="NormalHanging12a"/>
      </w:pPr>
      <w:r w:rsidRPr="00584A8A">
        <w:t>12.</w:t>
      </w:r>
      <w:r w:rsidRPr="00584A8A">
        <w:tab/>
        <w:t>poudarja, kako pomembno je dodatno digitalizirati notranje delovanje in upravljanje agencije, pa tudi pospešiti digitalizacijo postopkov; poudarja, da mora biti agencija na tem področju še naprej proaktivna, da bi preprečili digitalno vrzel med agencijami; vendar opozarja, da je treba sprejeti vse potrebne varnostne ukrepe, da bi preprečili vsako tveganje za spletno varnost obdelanih informacij, in vztraja, da je treba okrepiti ukrepe proti kibernetskim napadom ali poskusom infiltracije, ki izvirajo zlasti iz Rusije ali Kitajske;</w:t>
      </w:r>
    </w:p>
    <w:p w:rsidR="00147F82" w:rsidRPr="00584A8A" w:rsidRDefault="00147F82" w:rsidP="00147F82">
      <w:pPr>
        <w:spacing w:after="240"/>
        <w:ind w:left="567" w:hanging="567"/>
        <w:rPr>
          <w:b/>
          <w:i/>
          <w:szCs w:val="24"/>
        </w:rPr>
      </w:pPr>
      <w:r w:rsidRPr="00584A8A">
        <w:rPr>
          <w:b/>
          <w:i/>
        </w:rPr>
        <w:t>Kadrovska politika</w:t>
      </w:r>
    </w:p>
    <w:p w:rsidR="00147F82" w:rsidRPr="00584A8A" w:rsidRDefault="00147F82" w:rsidP="00147F82">
      <w:pPr>
        <w:spacing w:after="240"/>
        <w:ind w:left="567" w:hanging="567"/>
        <w:rPr>
          <w:szCs w:val="24"/>
        </w:rPr>
      </w:pPr>
      <w:r w:rsidRPr="00584A8A">
        <w:t>13.</w:t>
      </w:r>
      <w:r w:rsidRPr="00584A8A">
        <w:tab/>
        <w:t>ugotavlja, da je bil kadrovski načrt na dan 31. decembra 2022 v celoti zapolnjen s 17 stalnimi delovnimi mesti, in sicer z osmimi AD, sedmimi AST in dvema delovnima mestoma AST/SC; poleg tega ugotavlja, da je večje število administratorjev, kot je bilo odobreno, posledica premika enega delovnega mesta asistenta v višji razred, ki ga je odobrila Komisija;</w:t>
      </w:r>
    </w:p>
    <w:p w:rsidR="00147F82" w:rsidRPr="00584A8A" w:rsidRDefault="00147F82" w:rsidP="00147F82">
      <w:pPr>
        <w:spacing w:after="240"/>
        <w:ind w:left="567" w:hanging="567"/>
        <w:rPr>
          <w:szCs w:val="24"/>
        </w:rPr>
      </w:pPr>
      <w:r w:rsidRPr="00584A8A">
        <w:t>14.</w:t>
      </w:r>
      <w:r w:rsidRPr="00584A8A">
        <w:tab/>
        <w:t>opozarja, da ima agencija težave pri iskanju asistentov v nižjih razredih, saj išče specializiran profil, s tem povezana raven plač pa ni sorazmerna z življenjskimi stroški v Luksemburgu; vendar ugotavlja, da je agencija kljub prizadevanjem v letu 2022 zaposlila dva začasna uslužbenca na stalnih delovnih mestih (1 AST in 1 AST/SC);</w:t>
      </w:r>
    </w:p>
    <w:p w:rsidR="00147F82" w:rsidRPr="00584A8A" w:rsidRDefault="00147F82" w:rsidP="00147F82">
      <w:pPr>
        <w:spacing w:after="240"/>
        <w:ind w:left="567" w:hanging="567"/>
        <w:rPr>
          <w:szCs w:val="24"/>
        </w:rPr>
      </w:pPr>
      <w:r w:rsidRPr="00584A8A">
        <w:t>15.</w:t>
      </w:r>
      <w:r w:rsidRPr="00584A8A">
        <w:tab/>
        <w:t>ugotavlja, da je agencija v letu 2022 poročala o razmerju med spoloma pri vseh zaposlenih, in sicer je imela 59 % žensk in 41 % moških, kar kaže na politiko enakih možnosti;</w:t>
      </w:r>
    </w:p>
    <w:p w:rsidR="00147F82" w:rsidRPr="00584A8A" w:rsidRDefault="00147F82" w:rsidP="00147F82">
      <w:pPr>
        <w:pStyle w:val="NormalHanging12a"/>
      </w:pPr>
      <w:r w:rsidRPr="00584A8A">
        <w:t>16.</w:t>
      </w:r>
      <w:r w:rsidRPr="00584A8A">
        <w:tab/>
        <w:t>opozarja, kako pomembno je razviti dolgoročno kadrovsko politiko na področju usklajevanja poklicnega in zasebnega življenja, vseživljenjskega usmerjanja in ponudbe posebnih možnosti usposabljanja za poklicni razvoj, uravnoteženo zastopanost spolov na vseh kadrovskih ravneh, delo na daljavo, pravico do odklopa, izboljšanje geografske uravnoteženosti, da se zagotovi ustrezna zastopanost iz vseh držav članic, ter zaposlovanje in vključevanje invalidov, pa tudi skrb za njihovo enako obravnavo in možnosti;</w:t>
      </w:r>
    </w:p>
    <w:p w:rsidR="00147F82" w:rsidRPr="00584A8A" w:rsidRDefault="00147F82" w:rsidP="00147F82">
      <w:pPr>
        <w:spacing w:after="240"/>
        <w:ind w:left="567" w:hanging="567"/>
        <w:rPr>
          <w:b/>
          <w:i/>
          <w:szCs w:val="24"/>
        </w:rPr>
      </w:pPr>
      <w:r w:rsidRPr="00584A8A">
        <w:rPr>
          <w:b/>
          <w:i/>
        </w:rPr>
        <w:t>Javna naročila</w:t>
      </w:r>
    </w:p>
    <w:p w:rsidR="00147F82" w:rsidRPr="00584A8A" w:rsidRDefault="00147F82" w:rsidP="00147F82">
      <w:pPr>
        <w:spacing w:after="240"/>
        <w:ind w:left="567" w:hanging="567"/>
        <w:rPr>
          <w:rFonts w:eastAsia="Calibri"/>
          <w:szCs w:val="24"/>
        </w:rPr>
      </w:pPr>
      <w:r w:rsidRPr="00584A8A">
        <w:t>17.</w:t>
      </w:r>
      <w:r w:rsidRPr="00584A8A">
        <w:tab/>
        <w:t>na podlagi poročila Računskega sodišča ugotavlja, da je agencija sistematično oddajala naročila nizke vrednosti (pod 15.000 EUR), ne da bi izdala ustrezna ocenjevalna poročila in sklepe o dodelitvi, kar je v nasprotju s točkami 30.3 in 30.4 Priloge I k finančni uredbi; na podlagi odgovora agencije ugotavlja tudi, da upošteva priporočilo in bo zagotovila ustrezne smernice za vse zaposlene, ki sodelujejo pri javnih naročilih in finančnem poslovodenju; poziva agencijo, naj izboljša postopke javnih naročil, s čimer bi zagotovila popolno spoštovanje veljavnih pravil in s tem največjo možno stroškovno učinkovitost;</w:t>
      </w:r>
    </w:p>
    <w:p w:rsidR="00147F82" w:rsidRPr="00584A8A" w:rsidRDefault="00147F82" w:rsidP="00147F82">
      <w:pPr>
        <w:spacing w:after="240"/>
        <w:ind w:left="567" w:hanging="567"/>
        <w:rPr>
          <w:b/>
          <w:i/>
          <w:szCs w:val="24"/>
        </w:rPr>
      </w:pPr>
      <w:r w:rsidRPr="00584A8A">
        <w:rPr>
          <w:b/>
          <w:i/>
        </w:rPr>
        <w:t>Druge pripombe</w:t>
      </w:r>
    </w:p>
    <w:p w:rsidR="00147F82" w:rsidRPr="00584A8A" w:rsidRDefault="00147F82" w:rsidP="00147F82">
      <w:pPr>
        <w:spacing w:after="240"/>
        <w:ind w:left="567" w:hanging="567"/>
        <w:rPr>
          <w:szCs w:val="24"/>
        </w:rPr>
      </w:pPr>
      <w:r w:rsidRPr="00584A8A">
        <w:lastRenderedPageBreak/>
        <w:t>18.</w:t>
      </w:r>
      <w:r w:rsidRPr="00584A8A">
        <w:tab/>
        <w:t>ugotavlja, da je agencija okrepila varnost dostopa do svojih prostorov in da imajo vsi uslužbenci in vsi zunanji izvajalci varnostno dovoljenje;</w:t>
      </w:r>
    </w:p>
    <w:p w:rsidR="00147F82" w:rsidRPr="00584A8A" w:rsidRDefault="00147F82" w:rsidP="00147F82">
      <w:pPr>
        <w:spacing w:after="240"/>
        <w:ind w:left="567" w:hanging="567"/>
        <w:rPr>
          <w:szCs w:val="24"/>
        </w:rPr>
      </w:pPr>
      <w:r w:rsidRPr="00584A8A">
        <w:t>19.</w:t>
      </w:r>
      <w:r w:rsidRPr="00584A8A">
        <w:tab/>
        <w:t>ugotavlja, da je bila za informacijski sistem NOEMI opravljena ocena ranljivosti, ki jo je treba ponoviti po vsaki razvojni fazi ali izvedbi vseh priporočil;</w:t>
      </w:r>
    </w:p>
    <w:p w:rsidR="00147F82" w:rsidRPr="00584A8A" w:rsidRDefault="00147F82" w:rsidP="00147F82">
      <w:pPr>
        <w:spacing w:after="240"/>
        <w:ind w:left="567" w:hanging="567"/>
        <w:rPr>
          <w:szCs w:val="24"/>
        </w:rPr>
      </w:pPr>
      <w:r w:rsidRPr="00584A8A">
        <w:t>20.</w:t>
      </w:r>
      <w:r w:rsidRPr="00584A8A">
        <w:tab/>
        <w:t>z zadovoljstvom ugotavlja, da je agencija septembra 2022 sodelovala na svetovnem jedrskem simpoziju v Londonu, s čimer je sodelujočim najvišjim vodjem jedrske industrije, strokovnjakom in vodstvenim delavcem jasno sporočila, da se je treba spopasti s tveganji, povezanimi z novo ureditvijo trga; ugotavlja tudi, da so bili tržna analiza in obeti agencije predstavljeni na varnostnem forumu v Varšavi in v svetovnem jedrskem gorivnem ciklu ter da je bila agencija zastopana na prvi mednarodni konferenci o jedrskem pravu in na evropski konferenci raziskovalnih reaktorjev; ugotavlja tudi, da je agencija prispevala k dogodkom evropskega jedrskega združenja;</w:t>
      </w:r>
    </w:p>
    <w:p w:rsidR="00147F82" w:rsidRPr="00584A8A" w:rsidRDefault="00147F82" w:rsidP="00147F82">
      <w:pPr>
        <w:spacing w:after="240"/>
        <w:ind w:left="567" w:hanging="567"/>
        <w:rPr>
          <w:szCs w:val="24"/>
        </w:rPr>
      </w:pPr>
      <w:r w:rsidRPr="00584A8A">
        <w:t>21.</w:t>
      </w:r>
      <w:r w:rsidRPr="00584A8A">
        <w:tab/>
        <w:t>ugotavlja, da agencija ne izdaja okoljske izjave niti ni uvedla sistema za okoljsko ravnanje in presojo (EMAS); spodbuja agencijo, naj poroča o svoji podnebni, energetski in okoljski uspešnosti ter poleg tega uvede sistem EMAS;</w:t>
      </w:r>
    </w:p>
    <w:p w:rsidR="00147F82" w:rsidRPr="00584A8A" w:rsidRDefault="00147F82" w:rsidP="00147F82">
      <w:pPr>
        <w:pStyle w:val="NormalCenter12a"/>
      </w:pPr>
      <w:r w:rsidRPr="00584A8A">
        <w:t>°</w:t>
      </w:r>
    </w:p>
    <w:p w:rsidR="00147F82" w:rsidRPr="00584A8A" w:rsidRDefault="00147F82" w:rsidP="00147F82">
      <w:pPr>
        <w:pStyle w:val="NormalCenter12a"/>
      </w:pPr>
      <w:r w:rsidRPr="00584A8A">
        <w:t>°</w:t>
      </w:r>
      <w:r w:rsidRPr="00584A8A">
        <w:tab/>
        <w:t>°</w:t>
      </w:r>
    </w:p>
    <w:p w:rsidR="00E365E1" w:rsidRPr="00584A8A" w:rsidRDefault="00147F82" w:rsidP="00D11537">
      <w:pPr>
        <w:ind w:left="567" w:hanging="567"/>
      </w:pPr>
      <w:r w:rsidRPr="00584A8A">
        <w:t>22.</w:t>
      </w:r>
      <w:r w:rsidRPr="00584A8A">
        <w:tab/>
        <w:t xml:space="preserve">sporoča, da so druge ugotovitve horizontalne narave, ki spremljajo sklep o razrešnici, zbrane v resoluciji z dne </w:t>
      </w:r>
      <w:r w:rsidR="00D11537" w:rsidRPr="00584A8A">
        <w:t>11. aprila 2024</w:t>
      </w:r>
      <w:r w:rsidRPr="00584A8A">
        <w:rPr>
          <w:rStyle w:val="FootnoteReference"/>
        </w:rPr>
        <w:footnoteReference w:id="9"/>
      </w:r>
      <w:r w:rsidRPr="00584A8A">
        <w:t xml:space="preserve"> o uspešnosti, finančnem poslovodenju in nadzoru agencij.</w:t>
      </w:r>
      <w:bookmarkStart w:id="9" w:name="TextBodyEnd"/>
      <w:bookmarkEnd w:id="9"/>
    </w:p>
    <w:sectPr w:rsidR="00E365E1" w:rsidRPr="00584A8A" w:rsidSect="0024213C">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231D" w:rsidRPr="0024213C" w:rsidRDefault="00A3231D">
      <w:r w:rsidRPr="0024213C">
        <w:separator/>
      </w:r>
    </w:p>
  </w:endnote>
  <w:endnote w:type="continuationSeparator" w:id="0">
    <w:p w:rsidR="00A3231D" w:rsidRPr="0024213C" w:rsidRDefault="00A3231D">
      <w:r w:rsidRPr="002421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7F82" w:rsidRPr="0024213C" w:rsidRDefault="00147F82" w:rsidP="00535558">
    <w:pPr>
      <w:pStyle w:val="EPFooter"/>
    </w:pPr>
    <w:r w:rsidRPr="0024213C">
      <w:t>PE</w:t>
    </w:r>
    <w:r w:rsidRPr="0024213C">
      <w:rPr>
        <w:rStyle w:val="HideTWBExt"/>
      </w:rPr>
      <w:t>&lt;NoPE&gt;</w:t>
    </w:r>
    <w:r w:rsidRPr="0024213C">
      <w:t>753.529</w:t>
    </w:r>
    <w:r w:rsidRPr="0024213C">
      <w:rPr>
        <w:rStyle w:val="HideTWBExt"/>
      </w:rPr>
      <w:t>&lt;/NoPE&gt;&lt;Version&gt;</w:t>
    </w:r>
    <w:r w:rsidRPr="0024213C">
      <w:t>v02-00</w:t>
    </w:r>
    <w:r w:rsidRPr="0024213C">
      <w:rPr>
        <w:rStyle w:val="HideTWBExt"/>
      </w:rPr>
      <w:t>&lt;/Version&gt;</w:t>
    </w:r>
    <w:r w:rsidRPr="0024213C">
      <w:tab/>
    </w:r>
    <w:r w:rsidRPr="0024213C">
      <w:fldChar w:fldCharType="begin"/>
    </w:r>
    <w:r w:rsidRPr="0024213C">
      <w:instrText xml:space="preserve"> PAGE  \* MERGEFORMAT </w:instrText>
    </w:r>
    <w:r w:rsidRPr="0024213C">
      <w:fldChar w:fldCharType="separate"/>
    </w:r>
    <w:r w:rsidRPr="0024213C">
      <w:rPr>
        <w:noProof/>
      </w:rPr>
      <w:t>4</w:t>
    </w:r>
    <w:r w:rsidRPr="0024213C">
      <w:fldChar w:fldCharType="end"/>
    </w:r>
    <w:r w:rsidRPr="0024213C">
      <w:t>/</w:t>
    </w:r>
    <w:r w:rsidR="00584A8A">
      <w:fldChar w:fldCharType="begin"/>
    </w:r>
    <w:r w:rsidR="00584A8A">
      <w:instrText xml:space="preserve"> NUMPAGES  \*</w:instrText>
    </w:r>
    <w:r w:rsidR="00584A8A">
      <w:instrText xml:space="preserve"> MERGEFORMAT </w:instrText>
    </w:r>
    <w:r w:rsidR="00584A8A">
      <w:fldChar w:fldCharType="separate"/>
    </w:r>
    <w:r w:rsidRPr="0024213C">
      <w:rPr>
        <w:noProof/>
      </w:rPr>
      <w:t>4</w:t>
    </w:r>
    <w:r w:rsidR="00584A8A">
      <w:rPr>
        <w:noProof/>
      </w:rPr>
      <w:fldChar w:fldCharType="end"/>
    </w:r>
    <w:r w:rsidRPr="0024213C">
      <w:tab/>
    </w:r>
    <w:r w:rsidRPr="0024213C">
      <w:rPr>
        <w:rStyle w:val="HideTWBExt"/>
      </w:rPr>
      <w:t>&lt;PathFdR&gt;</w:t>
    </w:r>
    <w:r w:rsidRPr="0024213C">
      <w:t>RR\1298833SL.docx</w:t>
    </w:r>
    <w:r w:rsidRPr="0024213C">
      <w:rPr>
        <w:rStyle w:val="HideTWBExt"/>
      </w:rPr>
      <w:t>&lt;/PathFdR&gt;</w:t>
    </w:r>
  </w:p>
  <w:p w:rsidR="00147F82" w:rsidRPr="0024213C" w:rsidRDefault="00147F82" w:rsidP="00535558">
    <w:pPr>
      <w:pStyle w:val="EPFooter2"/>
    </w:pPr>
    <w:r w:rsidRPr="0024213C">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7F82" w:rsidRPr="0024213C" w:rsidRDefault="00147F82" w:rsidP="00535558">
    <w:pPr>
      <w:pStyle w:val="EPFooter"/>
    </w:pPr>
    <w:r w:rsidRPr="0024213C">
      <w:rPr>
        <w:rStyle w:val="HideTWBExt"/>
      </w:rPr>
      <w:t>&lt;PathFdR&gt;</w:t>
    </w:r>
    <w:r w:rsidRPr="0024213C">
      <w:t>RR\1298833SL.docx</w:t>
    </w:r>
    <w:r w:rsidRPr="0024213C">
      <w:rPr>
        <w:rStyle w:val="HideTWBExt"/>
      </w:rPr>
      <w:t>&lt;/PathFdR&gt;</w:t>
    </w:r>
    <w:r w:rsidRPr="0024213C">
      <w:tab/>
    </w:r>
    <w:r w:rsidRPr="0024213C">
      <w:tab/>
      <w:t>PE</w:t>
    </w:r>
    <w:r w:rsidRPr="0024213C">
      <w:rPr>
        <w:rStyle w:val="HideTWBExt"/>
      </w:rPr>
      <w:t>&lt;NoPE&gt;</w:t>
    </w:r>
    <w:r w:rsidRPr="0024213C">
      <w:t>753.529</w:t>
    </w:r>
    <w:r w:rsidRPr="0024213C">
      <w:rPr>
        <w:rStyle w:val="HideTWBExt"/>
      </w:rPr>
      <w:t>&lt;/NoPE&gt;&lt;Version&gt;</w:t>
    </w:r>
    <w:r w:rsidRPr="0024213C">
      <w:t>v02-00</w:t>
    </w:r>
    <w:r w:rsidRPr="0024213C">
      <w:rPr>
        <w:rStyle w:val="HideTWBExt"/>
      </w:rPr>
      <w:t>&lt;/Version&gt;</w:t>
    </w:r>
  </w:p>
  <w:p w:rsidR="00147F82" w:rsidRPr="0024213C" w:rsidRDefault="00147F82" w:rsidP="00535558">
    <w:pPr>
      <w:pStyle w:val="EPFooter2"/>
    </w:pPr>
    <w:r w:rsidRPr="0024213C">
      <w:t>SL</w:t>
    </w:r>
    <w:r w:rsidRPr="0024213C">
      <w:tab/>
    </w:r>
    <w:r w:rsidRPr="0024213C">
      <w:rPr>
        <w:b w:val="0"/>
        <w:i/>
        <w:color w:val="C0C0C0"/>
        <w:sz w:val="22"/>
      </w:rPr>
      <w:t>Združena v raznolikosti</w:t>
    </w:r>
    <w:r w:rsidRPr="0024213C">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213C"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213C"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213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231D" w:rsidRPr="0024213C" w:rsidRDefault="00A3231D">
      <w:r w:rsidRPr="0024213C">
        <w:separator/>
      </w:r>
    </w:p>
  </w:footnote>
  <w:footnote w:type="continuationSeparator" w:id="0">
    <w:p w:rsidR="00A3231D" w:rsidRPr="0024213C" w:rsidRDefault="00A3231D">
      <w:r w:rsidRPr="0024213C">
        <w:continuationSeparator/>
      </w:r>
    </w:p>
  </w:footnote>
  <w:footnote w:id="1">
    <w:p w:rsidR="00147F82" w:rsidRPr="0024213C" w:rsidRDefault="00147F82" w:rsidP="0024213C">
      <w:pPr>
        <w:pStyle w:val="FootnoteText"/>
        <w:ind w:left="567" w:hanging="567"/>
        <w:rPr>
          <w:sz w:val="24"/>
          <w:lang w:val="sl-SI"/>
        </w:rPr>
      </w:pPr>
      <w:r w:rsidRPr="0024213C">
        <w:rPr>
          <w:rStyle w:val="FootnoteReference"/>
          <w:sz w:val="24"/>
          <w:lang w:val="sl-SI"/>
        </w:rPr>
        <w:footnoteRef/>
      </w:r>
      <w:r w:rsidR="0024213C" w:rsidRPr="0024213C">
        <w:rPr>
          <w:sz w:val="24"/>
          <w:lang w:val="sl-SI"/>
        </w:rPr>
        <w:t xml:space="preserve"> </w:t>
      </w:r>
      <w:r w:rsidR="0024213C" w:rsidRPr="0024213C">
        <w:rPr>
          <w:sz w:val="24"/>
          <w:lang w:val="sl-SI"/>
        </w:rPr>
        <w:tab/>
      </w:r>
      <w:r w:rsidRPr="0024213C">
        <w:rPr>
          <w:sz w:val="24"/>
          <w:lang w:val="sl-SI"/>
        </w:rPr>
        <w:t>UL C, C/2023/594, 27.10.2023.</w:t>
      </w:r>
    </w:p>
  </w:footnote>
  <w:footnote w:id="2">
    <w:p w:rsidR="00147F82" w:rsidRPr="0024213C" w:rsidRDefault="00147F82" w:rsidP="0024213C">
      <w:pPr>
        <w:pStyle w:val="FootnoteText"/>
        <w:ind w:left="567" w:hanging="567"/>
        <w:rPr>
          <w:sz w:val="24"/>
          <w:lang w:val="sl-SI"/>
        </w:rPr>
      </w:pPr>
      <w:r w:rsidRPr="0024213C">
        <w:rPr>
          <w:rStyle w:val="FootnoteReference"/>
          <w:sz w:val="24"/>
          <w:lang w:val="sl-SI"/>
        </w:rPr>
        <w:footnoteRef/>
      </w:r>
      <w:r w:rsidR="0024213C" w:rsidRPr="0024213C">
        <w:rPr>
          <w:sz w:val="24"/>
          <w:lang w:val="sl-SI"/>
        </w:rPr>
        <w:t xml:space="preserve"> </w:t>
      </w:r>
      <w:r w:rsidR="0024213C" w:rsidRPr="0024213C">
        <w:rPr>
          <w:sz w:val="24"/>
          <w:lang w:val="sl-SI"/>
        </w:rPr>
        <w:tab/>
      </w:r>
      <w:r w:rsidRPr="0024213C">
        <w:rPr>
          <w:sz w:val="24"/>
          <w:lang w:val="sl-SI"/>
        </w:rPr>
        <w:t>UL C, C/2023/112, 12.10.2023.</w:t>
      </w:r>
    </w:p>
  </w:footnote>
  <w:footnote w:id="3">
    <w:p w:rsidR="00147F82" w:rsidRPr="0024213C" w:rsidRDefault="00147F82" w:rsidP="0024213C">
      <w:pPr>
        <w:pStyle w:val="FootnoteText"/>
        <w:ind w:left="567" w:hanging="567"/>
        <w:rPr>
          <w:sz w:val="24"/>
          <w:lang w:val="sl-SI"/>
        </w:rPr>
      </w:pPr>
      <w:r w:rsidRPr="0024213C">
        <w:rPr>
          <w:rStyle w:val="FootnoteReference"/>
          <w:sz w:val="24"/>
          <w:lang w:val="sl-SI"/>
        </w:rPr>
        <w:footnoteRef/>
      </w:r>
      <w:r w:rsidR="0024213C" w:rsidRPr="0024213C">
        <w:rPr>
          <w:sz w:val="24"/>
          <w:lang w:val="sl-SI"/>
        </w:rPr>
        <w:t xml:space="preserve"> </w:t>
      </w:r>
      <w:r w:rsidR="0024213C" w:rsidRPr="0024213C">
        <w:rPr>
          <w:sz w:val="24"/>
          <w:lang w:val="sl-SI"/>
        </w:rPr>
        <w:tab/>
      </w:r>
      <w:r w:rsidRPr="0024213C">
        <w:rPr>
          <w:sz w:val="24"/>
          <w:lang w:val="sl-SI"/>
        </w:rPr>
        <w:t>UL L 193, 30.7.2018, str. 1.</w:t>
      </w:r>
    </w:p>
  </w:footnote>
  <w:footnote w:id="4">
    <w:p w:rsidR="00147F82" w:rsidRPr="0024213C" w:rsidRDefault="00147F82" w:rsidP="0024213C">
      <w:pPr>
        <w:pStyle w:val="FootnoteText"/>
        <w:ind w:left="567" w:hanging="567"/>
        <w:rPr>
          <w:sz w:val="24"/>
          <w:lang w:val="sl-SI"/>
        </w:rPr>
      </w:pPr>
      <w:r w:rsidRPr="0024213C">
        <w:rPr>
          <w:rStyle w:val="FootnoteReference"/>
          <w:sz w:val="24"/>
          <w:lang w:val="sl-SI"/>
        </w:rPr>
        <w:footnoteRef/>
      </w:r>
      <w:r w:rsidR="0024213C" w:rsidRPr="0024213C">
        <w:rPr>
          <w:sz w:val="24"/>
          <w:lang w:val="sl-SI"/>
        </w:rPr>
        <w:t xml:space="preserve"> </w:t>
      </w:r>
      <w:r w:rsidR="0024213C" w:rsidRPr="0024213C">
        <w:rPr>
          <w:sz w:val="24"/>
          <w:lang w:val="sl-SI"/>
        </w:rPr>
        <w:tab/>
      </w:r>
      <w:r w:rsidRPr="0024213C">
        <w:rPr>
          <w:sz w:val="24"/>
          <w:lang w:val="sl-SI"/>
        </w:rPr>
        <w:t>UL L 41, 15.2.2008, str. 15.</w:t>
      </w:r>
    </w:p>
  </w:footnote>
  <w:footnote w:id="5">
    <w:p w:rsidR="00147F82" w:rsidRPr="0024213C" w:rsidRDefault="00147F82" w:rsidP="0024213C">
      <w:pPr>
        <w:pStyle w:val="FootnoteText"/>
        <w:ind w:left="567" w:hanging="567"/>
        <w:rPr>
          <w:sz w:val="24"/>
          <w:lang w:val="sl-SI"/>
        </w:rPr>
      </w:pPr>
      <w:r w:rsidRPr="0024213C">
        <w:rPr>
          <w:rStyle w:val="FootnoteReference"/>
          <w:sz w:val="24"/>
          <w:lang w:val="sl-SI"/>
        </w:rPr>
        <w:footnoteRef/>
      </w:r>
      <w:r w:rsidR="0024213C" w:rsidRPr="0024213C">
        <w:rPr>
          <w:sz w:val="24"/>
          <w:lang w:val="sl-SI"/>
        </w:rPr>
        <w:t xml:space="preserve"> </w:t>
      </w:r>
      <w:r w:rsidR="0024213C" w:rsidRPr="0024213C">
        <w:rPr>
          <w:sz w:val="24"/>
          <w:lang w:val="sl-SI"/>
        </w:rPr>
        <w:tab/>
      </w:r>
      <w:r w:rsidRPr="0024213C">
        <w:rPr>
          <w:sz w:val="24"/>
          <w:lang w:val="sl-SI"/>
        </w:rPr>
        <w:t>UL C, C/2023/594, 27.10.2023.</w:t>
      </w:r>
    </w:p>
  </w:footnote>
  <w:footnote w:id="6">
    <w:p w:rsidR="00147F82" w:rsidRPr="0024213C" w:rsidRDefault="00147F82" w:rsidP="0024213C">
      <w:pPr>
        <w:pStyle w:val="FootnoteText"/>
        <w:ind w:left="567" w:hanging="567"/>
        <w:rPr>
          <w:sz w:val="24"/>
          <w:lang w:val="sl-SI"/>
        </w:rPr>
      </w:pPr>
      <w:r w:rsidRPr="0024213C">
        <w:rPr>
          <w:rStyle w:val="FootnoteReference"/>
          <w:sz w:val="24"/>
          <w:lang w:val="sl-SI"/>
        </w:rPr>
        <w:footnoteRef/>
      </w:r>
      <w:r w:rsidR="0024213C" w:rsidRPr="0024213C">
        <w:rPr>
          <w:sz w:val="24"/>
          <w:lang w:val="sl-SI"/>
        </w:rPr>
        <w:t xml:space="preserve"> </w:t>
      </w:r>
      <w:r w:rsidR="0024213C" w:rsidRPr="0024213C">
        <w:rPr>
          <w:sz w:val="24"/>
          <w:lang w:val="sl-SI"/>
        </w:rPr>
        <w:tab/>
      </w:r>
      <w:r w:rsidRPr="0024213C">
        <w:rPr>
          <w:sz w:val="24"/>
          <w:lang w:val="sl-SI"/>
        </w:rPr>
        <w:t>UL C, C/2023/112, 12.10.2023.</w:t>
      </w:r>
    </w:p>
  </w:footnote>
  <w:footnote w:id="7">
    <w:p w:rsidR="00147F82" w:rsidRPr="0024213C" w:rsidRDefault="00147F82" w:rsidP="0024213C">
      <w:pPr>
        <w:pStyle w:val="FootnoteText"/>
        <w:ind w:left="567" w:hanging="567"/>
        <w:rPr>
          <w:sz w:val="24"/>
          <w:lang w:val="sl-SI"/>
        </w:rPr>
      </w:pPr>
      <w:r w:rsidRPr="0024213C">
        <w:rPr>
          <w:rStyle w:val="FootnoteReference"/>
          <w:sz w:val="24"/>
          <w:lang w:val="sl-SI"/>
        </w:rPr>
        <w:footnoteRef/>
      </w:r>
      <w:r w:rsidR="0024213C" w:rsidRPr="0024213C">
        <w:rPr>
          <w:sz w:val="24"/>
          <w:lang w:val="sl-SI"/>
        </w:rPr>
        <w:t xml:space="preserve"> </w:t>
      </w:r>
      <w:r w:rsidR="0024213C" w:rsidRPr="0024213C">
        <w:rPr>
          <w:sz w:val="24"/>
          <w:lang w:val="sl-SI"/>
        </w:rPr>
        <w:tab/>
      </w:r>
      <w:r w:rsidRPr="0024213C">
        <w:rPr>
          <w:sz w:val="24"/>
          <w:lang w:val="sl-SI"/>
        </w:rPr>
        <w:t>UL L 193, 30.7.2018, str. 1.</w:t>
      </w:r>
    </w:p>
  </w:footnote>
  <w:footnote w:id="8">
    <w:p w:rsidR="00147F82" w:rsidRPr="0024213C" w:rsidRDefault="00147F82" w:rsidP="0024213C">
      <w:pPr>
        <w:pStyle w:val="FootnoteText"/>
        <w:ind w:left="567" w:hanging="567"/>
        <w:rPr>
          <w:sz w:val="24"/>
          <w:lang w:val="sl-SI"/>
        </w:rPr>
      </w:pPr>
      <w:r w:rsidRPr="0024213C">
        <w:rPr>
          <w:rStyle w:val="FootnoteReference"/>
          <w:sz w:val="24"/>
          <w:lang w:val="sl-SI"/>
        </w:rPr>
        <w:footnoteRef/>
      </w:r>
      <w:r w:rsidR="0024213C" w:rsidRPr="0024213C">
        <w:rPr>
          <w:sz w:val="24"/>
          <w:lang w:val="sl-SI"/>
        </w:rPr>
        <w:t xml:space="preserve"> </w:t>
      </w:r>
      <w:r w:rsidR="0024213C" w:rsidRPr="0024213C">
        <w:rPr>
          <w:sz w:val="24"/>
          <w:lang w:val="sl-SI"/>
        </w:rPr>
        <w:tab/>
      </w:r>
      <w:r w:rsidRPr="0024213C">
        <w:rPr>
          <w:sz w:val="24"/>
          <w:lang w:val="sl-SI"/>
        </w:rPr>
        <w:t>UL L 41, 15.2.2008, str. 15.</w:t>
      </w:r>
    </w:p>
  </w:footnote>
  <w:footnote w:id="9">
    <w:p w:rsidR="00147F82" w:rsidRPr="0024213C" w:rsidRDefault="00147F82" w:rsidP="00584A8A">
      <w:pPr>
        <w:pStyle w:val="FootnoteText"/>
        <w:ind w:left="567" w:hanging="567"/>
        <w:rPr>
          <w:sz w:val="24"/>
          <w:lang w:val="sl-SI"/>
        </w:rPr>
      </w:pPr>
      <w:r w:rsidRPr="0024213C">
        <w:rPr>
          <w:rStyle w:val="FootnoteReference"/>
          <w:sz w:val="24"/>
          <w:lang w:val="sl-SI"/>
        </w:rPr>
        <w:footnoteRef/>
      </w:r>
      <w:r w:rsidR="0024213C" w:rsidRPr="0024213C">
        <w:rPr>
          <w:sz w:val="24"/>
          <w:lang w:val="sl-SI"/>
        </w:rPr>
        <w:t xml:space="preserve"> </w:t>
      </w:r>
      <w:r w:rsidR="0024213C" w:rsidRPr="0024213C">
        <w:rPr>
          <w:sz w:val="24"/>
          <w:lang w:val="sl-SI"/>
        </w:rPr>
        <w:tab/>
      </w:r>
      <w:r w:rsidRPr="0024213C">
        <w:rPr>
          <w:sz w:val="24"/>
          <w:lang w:val="sl-SI"/>
        </w:rPr>
        <w:t>Sprejeta besedila, P9_TA(2024)0</w:t>
      </w:r>
      <w:r w:rsidR="00584A8A">
        <w:rPr>
          <w:sz w:val="24"/>
          <w:lang w:val="sl-SI"/>
        </w:rPr>
        <w:t>280</w:t>
      </w:r>
      <w:r w:rsidRPr="0024213C">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213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213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213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8/2024"/>
    <w:docVar w:name="dvlangue" w:val="SL"/>
    <w:docVar w:name="dvnumam" w:val="0"/>
    <w:docVar w:name="dvpe" w:val="753.529"/>
    <w:docVar w:name="dvrapporteur" w:val="Poročevalec: "/>
    <w:docVar w:name="dvtitre" w:val="1. Sklep Evropskega parlamenta z dne 11. aprila 2024 o razrešnici glede izvrševanja proračuna Agencije za oskrbo Euratom za proračunsko leto 2022(2023/2161(DEC))"/>
  </w:docVars>
  <w:rsids>
    <w:rsidRoot w:val="00A3231D"/>
    <w:rsid w:val="00002272"/>
    <w:rsid w:val="00064002"/>
    <w:rsid w:val="000677B9"/>
    <w:rsid w:val="000831BA"/>
    <w:rsid w:val="000A42CC"/>
    <w:rsid w:val="000E7DD9"/>
    <w:rsid w:val="0010095E"/>
    <w:rsid w:val="00125B37"/>
    <w:rsid w:val="00147F82"/>
    <w:rsid w:val="00187494"/>
    <w:rsid w:val="001F32AE"/>
    <w:rsid w:val="0024213C"/>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4A8A"/>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14FF"/>
    <w:rsid w:val="00A1687D"/>
    <w:rsid w:val="00A3231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1537"/>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44C9B9"/>
  <w15:chartTrackingRefBased/>
  <w15:docId w15:val="{2A8C55FB-9009-471E-8C50-3D7363E6A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47F8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47F82"/>
    <w:pPr>
      <w:spacing w:before="480" w:after="240"/>
    </w:pPr>
  </w:style>
  <w:style w:type="paragraph" w:customStyle="1" w:styleId="PageHeading">
    <w:name w:val="PageHeading"/>
    <w:basedOn w:val="Normal"/>
    <w:rsid w:val="00147F82"/>
    <w:pPr>
      <w:keepNext/>
      <w:spacing w:after="480"/>
      <w:jc w:val="center"/>
    </w:pPr>
    <w:rPr>
      <w:rFonts w:ascii="Arial" w:hAnsi="Arial" w:cs="Arial"/>
      <w:b/>
    </w:rPr>
  </w:style>
  <w:style w:type="paragraph" w:customStyle="1" w:styleId="NormalBold">
    <w:name w:val="NormalBold"/>
    <w:basedOn w:val="Normal"/>
    <w:rsid w:val="00147F82"/>
    <w:rPr>
      <w:b/>
    </w:rPr>
  </w:style>
  <w:style w:type="paragraph" w:customStyle="1" w:styleId="NormalHanging12a">
    <w:name w:val="NormalHanging12a"/>
    <w:basedOn w:val="Normal"/>
    <w:link w:val="NormalHanging12aChar"/>
    <w:rsid w:val="00147F82"/>
    <w:pPr>
      <w:spacing w:after="240"/>
      <w:ind w:left="567" w:hanging="567"/>
    </w:pPr>
  </w:style>
  <w:style w:type="paragraph" w:customStyle="1" w:styleId="NormalCenter12a">
    <w:name w:val="NormalCenter12a"/>
    <w:basedOn w:val="Normal"/>
    <w:rsid w:val="00147F82"/>
    <w:pPr>
      <w:spacing w:after="240"/>
      <w:jc w:val="center"/>
    </w:pPr>
  </w:style>
  <w:style w:type="paragraph" w:styleId="Header">
    <w:name w:val="header"/>
    <w:basedOn w:val="Normal"/>
    <w:link w:val="HeaderChar"/>
    <w:rsid w:val="00147F82"/>
    <w:pPr>
      <w:tabs>
        <w:tab w:val="center" w:pos="4513"/>
        <w:tab w:val="right" w:pos="9026"/>
      </w:tabs>
    </w:pPr>
  </w:style>
  <w:style w:type="character" w:customStyle="1" w:styleId="HeaderChar">
    <w:name w:val="Header Char"/>
    <w:basedOn w:val="DefaultParagraphFont"/>
    <w:link w:val="Header"/>
    <w:rsid w:val="00147F82"/>
    <w:rPr>
      <w:sz w:val="24"/>
      <w:lang w:val="sl-SI"/>
    </w:rPr>
  </w:style>
  <w:style w:type="paragraph" w:customStyle="1" w:styleId="EPFooter">
    <w:name w:val="EPFooter"/>
    <w:basedOn w:val="Normal"/>
    <w:rsid w:val="00147F82"/>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147F82"/>
    <w:rPr>
      <w:sz w:val="24"/>
      <w:lang w:val="sl-SI"/>
    </w:rPr>
  </w:style>
  <w:style w:type="paragraph" w:styleId="Footer">
    <w:name w:val="footer"/>
    <w:basedOn w:val="Normal"/>
    <w:link w:val="FooterChar"/>
    <w:rsid w:val="00D11537"/>
    <w:pPr>
      <w:tabs>
        <w:tab w:val="center" w:pos="4513"/>
        <w:tab w:val="right" w:pos="9026"/>
      </w:tabs>
    </w:pPr>
  </w:style>
  <w:style w:type="character" w:customStyle="1" w:styleId="FooterChar">
    <w:name w:val="Footer Char"/>
    <w:basedOn w:val="DefaultParagraphFont"/>
    <w:link w:val="Footer"/>
    <w:rsid w:val="00D11537"/>
    <w:rPr>
      <w:sz w:val="24"/>
      <w:lang w:val="sl-SI"/>
    </w:rPr>
  </w:style>
  <w:style w:type="paragraph" w:styleId="BalloonText">
    <w:name w:val="Balloon Text"/>
    <w:basedOn w:val="Normal"/>
    <w:link w:val="BalloonTextChar"/>
    <w:rsid w:val="009C14FF"/>
    <w:rPr>
      <w:rFonts w:ascii="Segoe UI" w:hAnsi="Segoe UI" w:cs="Segoe UI"/>
      <w:sz w:val="18"/>
      <w:szCs w:val="18"/>
    </w:rPr>
  </w:style>
  <w:style w:type="character" w:customStyle="1" w:styleId="BalloonTextChar">
    <w:name w:val="Balloon Text Char"/>
    <w:basedOn w:val="DefaultParagraphFont"/>
    <w:link w:val="BalloonText"/>
    <w:rsid w:val="009C14FF"/>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685119-C47B-414B-ACA1-75D6B3D03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2110</Words>
  <Characters>12670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2024-04-11T13:41:00Z</dcterms:created>
  <dcterms:modified xsi:type="dcterms:W3CDTF">2024-04-11T13:41:00Z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A9-0108/2024</vt:lpwstr>
  </property>
  <property fmtid="{D5CDD505-2E9C-101B-9397-08002B2CF9AE}" pid="4" name="&lt;Type&gt;">
    <vt:lpwstr>RR</vt:lpwstr>
  </property>
</Properties>
</file>