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0161" w:rsidTr="0010095E">
        <w:trPr>
          <w:trHeight w:hRule="exact" w:val="1418"/>
        </w:trPr>
        <w:tc>
          <w:tcPr>
            <w:tcW w:w="6804" w:type="dxa"/>
            <w:shd w:val="clear" w:color="auto" w:fill="auto"/>
            <w:vAlign w:val="center"/>
          </w:tcPr>
          <w:p w:rsidR="00751A4A" w:rsidRPr="00200161" w:rsidRDefault="004F7D74" w:rsidP="0010095E">
            <w:pPr>
              <w:pStyle w:val="EPName"/>
            </w:pPr>
            <w:r w:rsidRPr="00200161">
              <w:t>Europaparlamentet</w:t>
            </w:r>
          </w:p>
          <w:p w:rsidR="00751A4A" w:rsidRPr="00200161" w:rsidRDefault="00817416" w:rsidP="00756632">
            <w:pPr>
              <w:pStyle w:val="EPTerm"/>
              <w:rPr>
                <w:rStyle w:val="HideTWBExt"/>
                <w:noProof w:val="0"/>
                <w:vanish w:val="0"/>
                <w:color w:val="auto"/>
              </w:rPr>
            </w:pPr>
            <w:r w:rsidRPr="00200161">
              <w:t>2019-2024</w:t>
            </w:r>
          </w:p>
        </w:tc>
        <w:tc>
          <w:tcPr>
            <w:tcW w:w="2268" w:type="dxa"/>
            <w:shd w:val="clear" w:color="auto" w:fill="auto"/>
          </w:tcPr>
          <w:p w:rsidR="00751A4A" w:rsidRPr="00200161" w:rsidRDefault="00187494" w:rsidP="0010095E">
            <w:pPr>
              <w:pStyle w:val="EPLogo"/>
            </w:pPr>
            <w:r w:rsidRPr="002001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0161" w:rsidRDefault="00D058B8" w:rsidP="004C5D52">
      <w:pPr>
        <w:pStyle w:val="LineTop"/>
      </w:pPr>
    </w:p>
    <w:p w:rsidR="00680577" w:rsidRPr="00200161" w:rsidRDefault="004F7D74" w:rsidP="00680577">
      <w:pPr>
        <w:pStyle w:val="EPBodyTA1"/>
      </w:pPr>
      <w:r w:rsidRPr="00200161">
        <w:t>ANTAGNA TEXTER</w:t>
      </w:r>
    </w:p>
    <w:p w:rsidR="00D058B8" w:rsidRPr="00200161" w:rsidRDefault="00D058B8" w:rsidP="00D058B8">
      <w:pPr>
        <w:pStyle w:val="LineBottom"/>
      </w:pPr>
    </w:p>
    <w:p w:rsidR="004F7D74" w:rsidRPr="00200161" w:rsidRDefault="004F7D74" w:rsidP="004F7D74">
      <w:pPr>
        <w:pStyle w:val="ATHeading1"/>
      </w:pPr>
      <w:bookmarkStart w:id="0" w:name="TANumber"/>
      <w:r w:rsidRPr="00200161">
        <w:t>P9_TA(2024)0</w:t>
      </w:r>
      <w:bookmarkEnd w:id="0"/>
      <w:r w:rsidR="00200161" w:rsidRPr="00200161">
        <w:t>259</w:t>
      </w:r>
    </w:p>
    <w:p w:rsidR="004F7D74" w:rsidRPr="00200161" w:rsidRDefault="004F7D74" w:rsidP="004F7D74">
      <w:pPr>
        <w:pStyle w:val="ATHeading2"/>
      </w:pPr>
      <w:bookmarkStart w:id="1" w:name="title"/>
      <w:r w:rsidRPr="00200161">
        <w:t>Ansvarsfrihet 2022: Euratoms försörjningsbyrå</w:t>
      </w:r>
      <w:bookmarkEnd w:id="1"/>
    </w:p>
    <w:p w:rsidR="004F7D74" w:rsidRPr="00200161" w:rsidRDefault="004F7D74" w:rsidP="004F7D74">
      <w:pPr>
        <w:rPr>
          <w:i/>
          <w:vanish/>
        </w:rPr>
      </w:pPr>
      <w:r w:rsidRPr="00200161">
        <w:rPr>
          <w:i/>
        </w:rPr>
        <w:fldChar w:fldCharType="begin"/>
      </w:r>
      <w:r w:rsidRPr="00200161">
        <w:rPr>
          <w:i/>
        </w:rPr>
        <w:instrText xml:space="preserve"> TC"(</w:instrText>
      </w:r>
      <w:bookmarkStart w:id="2" w:name="DocNumber"/>
      <w:r w:rsidRPr="00200161">
        <w:rPr>
          <w:i/>
        </w:rPr>
        <w:instrText>A9-0108/2024</w:instrText>
      </w:r>
      <w:bookmarkEnd w:id="2"/>
      <w:r w:rsidRPr="00200161">
        <w:rPr>
          <w:i/>
        </w:rPr>
        <w:instrText xml:space="preserve"> - Föredragande: Petri Sarvamaa)"\l3 \n&gt; \* MERGEFORMAT </w:instrText>
      </w:r>
      <w:r w:rsidRPr="00200161">
        <w:rPr>
          <w:i/>
        </w:rPr>
        <w:fldChar w:fldCharType="end"/>
      </w:r>
    </w:p>
    <w:p w:rsidR="004F7D74" w:rsidRPr="00200161" w:rsidRDefault="004F7D74" w:rsidP="004F7D74">
      <w:pPr>
        <w:rPr>
          <w:vanish/>
        </w:rPr>
      </w:pPr>
      <w:bookmarkStart w:id="3" w:name="Commission"/>
      <w:r w:rsidRPr="00200161">
        <w:rPr>
          <w:vanish/>
        </w:rPr>
        <w:t>Budgetkontrollutskottet</w:t>
      </w:r>
      <w:bookmarkEnd w:id="3"/>
    </w:p>
    <w:p w:rsidR="004F7D74" w:rsidRPr="00200161" w:rsidRDefault="004F7D74" w:rsidP="004F7D74">
      <w:pPr>
        <w:rPr>
          <w:vanish/>
        </w:rPr>
      </w:pPr>
      <w:bookmarkStart w:id="4" w:name="PE"/>
      <w:r w:rsidRPr="00200161">
        <w:rPr>
          <w:vanish/>
        </w:rPr>
        <w:t>PE753.529</w:t>
      </w:r>
      <w:bookmarkEnd w:id="4"/>
    </w:p>
    <w:p w:rsidR="004F7D74" w:rsidRPr="00200161" w:rsidRDefault="00CA68F3" w:rsidP="004F7D74">
      <w:pPr>
        <w:pStyle w:val="ATHeading3"/>
      </w:pPr>
      <w:bookmarkStart w:id="5" w:name="Sujet"/>
      <w:r w:rsidRPr="00200161">
        <w:t>1. E</w:t>
      </w:r>
      <w:r w:rsidR="004F7D74" w:rsidRPr="00200161">
        <w:t>uropa</w:t>
      </w:r>
      <w:r w:rsidRPr="00200161">
        <w:t>parlamentets beslut av den 11 april</w:t>
      </w:r>
      <w:r w:rsidR="004F7D74" w:rsidRPr="00200161">
        <w:t xml:space="preserve"> 2024 om ansvarsfrihet för genomförandet av budgeten för Euratoms försörjningsbyrå för budgetåret 2022</w:t>
      </w:r>
      <w:bookmarkEnd w:id="5"/>
      <w:r w:rsidR="004F7D74" w:rsidRPr="00200161">
        <w:t xml:space="preserve"> </w:t>
      </w:r>
      <w:bookmarkStart w:id="6" w:name="References"/>
      <w:r w:rsidR="004F7D74" w:rsidRPr="00200161">
        <w:t>(2023/2161(DEC))</w:t>
      </w:r>
      <w:bookmarkEnd w:id="6"/>
    </w:p>
    <w:p w:rsidR="00375C33" w:rsidRPr="00200161" w:rsidRDefault="00375C33" w:rsidP="00375C33">
      <w:pPr>
        <w:pStyle w:val="EPComma"/>
      </w:pPr>
      <w:bookmarkStart w:id="7" w:name="TextBodyBegin"/>
      <w:bookmarkStart w:id="8" w:name="_Toc86200285"/>
      <w:bookmarkStart w:id="9" w:name="_Toc26759888"/>
      <w:bookmarkEnd w:id="7"/>
      <w:r w:rsidRPr="00200161">
        <w:rPr>
          <w:i/>
          <w:iCs/>
        </w:rPr>
        <w:t>Europaparlamentet fattar detta beslut</w:t>
      </w:r>
    </w:p>
    <w:p w:rsidR="00375C33" w:rsidRPr="00200161" w:rsidRDefault="00375C33" w:rsidP="00375C33">
      <w:pPr>
        <w:pStyle w:val="NormalHanging12a"/>
      </w:pPr>
      <w:r w:rsidRPr="00200161">
        <w:t>–</w:t>
      </w:r>
      <w:r w:rsidRPr="00200161">
        <w:tab/>
        <w:t>med beaktande av den slutliga årsredovisningen för Euratoms försörjningsbyrå för budgetåret 2022,</w:t>
      </w:r>
    </w:p>
    <w:p w:rsidR="00375C33" w:rsidRPr="00200161" w:rsidRDefault="00375C33" w:rsidP="00375C33">
      <w:pPr>
        <w:pStyle w:val="NormalHanging12a"/>
      </w:pPr>
      <w:r w:rsidRPr="00200161">
        <w:t>–</w:t>
      </w:r>
      <w:r w:rsidRPr="00200161">
        <w:tab/>
        <w:t>med beaktande av revisionsrättens årsrapport om EU:s byråer för budgetåret 2022, med byråernas svar</w:t>
      </w:r>
      <w:r w:rsidRPr="00200161">
        <w:rPr>
          <w:rStyle w:val="FootnoteReference"/>
        </w:rPr>
        <w:footnoteReference w:id="1"/>
      </w:r>
      <w:r w:rsidRPr="00200161">
        <w:t>,</w:t>
      </w:r>
    </w:p>
    <w:p w:rsidR="00375C33" w:rsidRPr="00200161" w:rsidRDefault="00375C33" w:rsidP="00375C33">
      <w:pPr>
        <w:pStyle w:val="NormalHanging12a"/>
      </w:pPr>
      <w:r w:rsidRPr="00200161">
        <w:t>–</w:t>
      </w:r>
      <w:r w:rsidRPr="00200161">
        <w:tab/>
        <w:t>med beaktande av förklaringen om räkenskapernas tillförlitlighet och de underliggande transaktionernas laglighet och korrekthet</w:t>
      </w:r>
      <w:r w:rsidRPr="00200161">
        <w:rPr>
          <w:rStyle w:val="FootnoteReference"/>
        </w:rPr>
        <w:footnoteReference w:id="2"/>
      </w:r>
      <w:r w:rsidRPr="00200161">
        <w:t>, som avgetts av revisionsrätten för budgetåret 2022 i enlighet med artikel 287 i fördraget om Europeiska unionens funktionssätt,</w:t>
      </w:r>
    </w:p>
    <w:p w:rsidR="00375C33" w:rsidRPr="00200161" w:rsidRDefault="00375C33" w:rsidP="00375C33">
      <w:pPr>
        <w:pStyle w:val="NormalHanging12a"/>
      </w:pPr>
      <w:r w:rsidRPr="00200161">
        <w:t>–</w:t>
      </w:r>
      <w:r w:rsidRPr="00200161">
        <w:tab/>
        <w:t>med beaktande av rådets rekommendation av den 22 februari 2024 om att bevilja byrån ansvarsfrihet för genomförandet av budgeten för budgetåret 2022 (</w:t>
      </w:r>
      <w:r w:rsidR="00017A38" w:rsidRPr="00200161">
        <w:t>06180</w:t>
      </w:r>
      <w:r w:rsidRPr="00200161">
        <w:t>/2024 – C9</w:t>
      </w:r>
      <w:r w:rsidRPr="00200161">
        <w:noBreakHyphen/>
      </w:r>
      <w:r w:rsidR="00017A38" w:rsidRPr="00200161">
        <w:t>0099</w:t>
      </w:r>
      <w:r w:rsidRPr="00200161">
        <w:t>/2024),</w:t>
      </w:r>
    </w:p>
    <w:p w:rsidR="00375C33" w:rsidRPr="00200161" w:rsidRDefault="00375C33" w:rsidP="00375C33">
      <w:pPr>
        <w:pStyle w:val="NormalHanging12a"/>
      </w:pPr>
      <w:r w:rsidRPr="00200161">
        <w:t>–</w:t>
      </w:r>
      <w:r w:rsidRPr="00200161">
        <w:tab/>
        <w:t>med beaktande av artikel 319 i fördraget om Europeiska unionens funktionssätt,</w:t>
      </w:r>
    </w:p>
    <w:p w:rsidR="00375C33" w:rsidRPr="00200161" w:rsidRDefault="00375C33" w:rsidP="00375C33">
      <w:pPr>
        <w:pStyle w:val="NormalHanging12a"/>
      </w:pPr>
      <w:r w:rsidRPr="00200161">
        <w:t>–</w:t>
      </w:r>
      <w:r w:rsidRPr="00200161">
        <w:tab/>
        <w:t>med beaktande av artikel 106a i fördraget om upprättandet av Europeiska atomenergigemenskapen,</w:t>
      </w:r>
    </w:p>
    <w:p w:rsidR="00375C33" w:rsidRPr="00200161" w:rsidRDefault="00375C33" w:rsidP="00375C33">
      <w:pPr>
        <w:pStyle w:val="NormalHanging12a"/>
      </w:pPr>
      <w:r w:rsidRPr="00200161">
        <w:t>–</w:t>
      </w:r>
      <w:r w:rsidRPr="00200161">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200161">
        <w:rPr>
          <w:rStyle w:val="FootnoteReference"/>
        </w:rPr>
        <w:footnoteReference w:id="3"/>
      </w:r>
      <w:r w:rsidRPr="00200161">
        <w:t>, särskilt artikel 68,</w:t>
      </w:r>
    </w:p>
    <w:p w:rsidR="00375C33" w:rsidRPr="00200161" w:rsidRDefault="00375C33" w:rsidP="00375C33">
      <w:pPr>
        <w:pStyle w:val="NormalHanging12a"/>
      </w:pPr>
      <w:r w:rsidRPr="00200161">
        <w:lastRenderedPageBreak/>
        <w:t>–</w:t>
      </w:r>
      <w:r w:rsidRPr="00200161">
        <w:tab/>
        <w:t>med beaktande av rådets beslut 2008/114/EG, Euratom av den 12 februari 2008 om stadgar för Euratoms försörjningsbyrå</w:t>
      </w:r>
      <w:r w:rsidRPr="00200161">
        <w:rPr>
          <w:rStyle w:val="FootnoteReference"/>
        </w:rPr>
        <w:footnoteReference w:id="4"/>
      </w:r>
      <w:r w:rsidRPr="00200161">
        <w:t>, särskilt artikel 8 i bilagan,</w:t>
      </w:r>
    </w:p>
    <w:p w:rsidR="00375C33" w:rsidRPr="00200161" w:rsidRDefault="00375C33" w:rsidP="00375C33">
      <w:pPr>
        <w:pStyle w:val="NormalHanging12a"/>
      </w:pPr>
      <w:r w:rsidRPr="00200161">
        <w:t>–</w:t>
      </w:r>
      <w:r w:rsidRPr="00200161">
        <w:tab/>
        <w:t>med beaktande av artikel 100 och bilaga V i arbetsordningen,</w:t>
      </w:r>
    </w:p>
    <w:p w:rsidR="00375C33" w:rsidRPr="00200161" w:rsidRDefault="00375C33" w:rsidP="00375C33">
      <w:pPr>
        <w:pStyle w:val="NormalHanging12a"/>
      </w:pPr>
      <w:r w:rsidRPr="00200161">
        <w:t>–</w:t>
      </w:r>
      <w:r w:rsidRPr="00200161">
        <w:tab/>
        <w:t>med beaktande av betänkandet från budgetkontrollutskottet (A9-0108/2024).</w:t>
      </w:r>
    </w:p>
    <w:p w:rsidR="00375C33" w:rsidRPr="00200161" w:rsidRDefault="00375C33" w:rsidP="00375C33">
      <w:pPr>
        <w:pStyle w:val="NormalHanging12a"/>
      </w:pPr>
      <w:r w:rsidRPr="00200161">
        <w:t>1.</w:t>
      </w:r>
      <w:r w:rsidRPr="00200161">
        <w:tab/>
        <w:t>Europaparlamentet beviljar verkställande generaldirektören för Euratoms försörjningsbyrå ansvarsfrihet för genomförandet av byråns budget för budgetåret 2022.</w:t>
      </w:r>
    </w:p>
    <w:p w:rsidR="00375C33" w:rsidRPr="00200161" w:rsidRDefault="00375C33" w:rsidP="00375C33">
      <w:pPr>
        <w:pStyle w:val="NormalHanging12a"/>
      </w:pPr>
      <w:r w:rsidRPr="00200161">
        <w:t>2.</w:t>
      </w:r>
      <w:r w:rsidRPr="00200161">
        <w:tab/>
        <w:t>Europaparlamentet redovisar sina iakttagelser i resolutionen nedan.</w:t>
      </w:r>
    </w:p>
    <w:p w:rsidR="00375C33" w:rsidRPr="00200161" w:rsidRDefault="00375C33" w:rsidP="00375C33">
      <w:pPr>
        <w:pStyle w:val="NormalHanging12a"/>
      </w:pPr>
      <w:r w:rsidRPr="00200161">
        <w:t>3.</w:t>
      </w:r>
      <w:r w:rsidRPr="00200161">
        <w:tab/>
        <w:t xml:space="preserve">Europaparlamentet uppdrar åt talmannen att översända detta beslut och den resolution som utgör en del av beslutet till verkställande generaldirektören för Euratoms försörjningsbyrå, rådet, kommissionen och revisionsrätten samt att se till att de offentliggörs i </w:t>
      </w:r>
      <w:r w:rsidRPr="00200161">
        <w:rPr>
          <w:i/>
          <w:iCs/>
        </w:rPr>
        <w:t>Europeiska unionens officiella tidning</w:t>
      </w:r>
      <w:r w:rsidRPr="00200161">
        <w:t xml:space="preserve"> (L-serien).</w:t>
      </w:r>
    </w:p>
    <w:p w:rsidR="00375C33" w:rsidRPr="00200161" w:rsidRDefault="00375C33" w:rsidP="00375C33"/>
    <w:p w:rsidR="00375C33" w:rsidRPr="00200161" w:rsidRDefault="00375C33" w:rsidP="00375C33">
      <w:pPr>
        <w:widowControl/>
        <w:rPr>
          <w:rFonts w:ascii="Arial" w:hAnsi="Arial" w:cs="Arial"/>
          <w:b/>
        </w:rPr>
        <w:sectPr w:rsidR="00375C33" w:rsidRPr="00200161" w:rsidSect="00680C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75C33" w:rsidRPr="00200161" w:rsidRDefault="00CA68F3" w:rsidP="00CA68F3">
      <w:pPr>
        <w:pStyle w:val="ATHeading3"/>
      </w:pPr>
      <w:r w:rsidRPr="00200161">
        <w:t xml:space="preserve">2. Europaparlamentets beslut av den 11 april 2024 </w:t>
      </w:r>
      <w:r w:rsidR="00375C33" w:rsidRPr="00200161">
        <w:t>om avslutande av räkenskaperna för Euratoms försörjningsbyrå för budgetåret 2022</w:t>
      </w:r>
      <w:r w:rsidRPr="00200161">
        <w:t xml:space="preserve"> </w:t>
      </w:r>
      <w:r w:rsidR="00375C33" w:rsidRPr="00200161">
        <w:t>(2023/2161(DEC))</w:t>
      </w:r>
    </w:p>
    <w:p w:rsidR="00375C33" w:rsidRPr="00200161" w:rsidRDefault="00375C33" w:rsidP="00375C33">
      <w:pPr>
        <w:pStyle w:val="EPComma"/>
      </w:pPr>
      <w:r w:rsidRPr="00200161">
        <w:rPr>
          <w:i/>
          <w:iCs/>
        </w:rPr>
        <w:t>Europaparlamentet fattar detta beslut</w:t>
      </w:r>
    </w:p>
    <w:p w:rsidR="00375C33" w:rsidRPr="00200161" w:rsidRDefault="00375C33" w:rsidP="00375C33">
      <w:pPr>
        <w:pStyle w:val="NormalHanging12a"/>
      </w:pPr>
      <w:r w:rsidRPr="00200161">
        <w:t>–</w:t>
      </w:r>
      <w:r w:rsidRPr="00200161">
        <w:tab/>
        <w:t>med beaktande av den slutliga årsredovisningen för Euratoms försörjningsbyrå för budgetåret 2022,</w:t>
      </w:r>
    </w:p>
    <w:p w:rsidR="00375C33" w:rsidRPr="00200161" w:rsidRDefault="00375C33" w:rsidP="00375C33">
      <w:pPr>
        <w:pStyle w:val="NormalHanging12a"/>
      </w:pPr>
      <w:r w:rsidRPr="00200161">
        <w:t>–</w:t>
      </w:r>
      <w:r w:rsidRPr="00200161">
        <w:tab/>
        <w:t>med beaktande av revisionsrättens årsrapport om EU:s byråer för budgetåret 2022, med byråernas svar</w:t>
      </w:r>
      <w:r w:rsidRPr="00200161">
        <w:rPr>
          <w:rStyle w:val="FootnoteReference"/>
        </w:rPr>
        <w:footnoteReference w:id="5"/>
      </w:r>
      <w:r w:rsidRPr="00200161">
        <w:t>,</w:t>
      </w:r>
    </w:p>
    <w:p w:rsidR="00375C33" w:rsidRPr="00200161" w:rsidRDefault="00375C33" w:rsidP="00375C33">
      <w:pPr>
        <w:pStyle w:val="NormalHanging12a"/>
      </w:pPr>
      <w:r w:rsidRPr="00200161">
        <w:t>–</w:t>
      </w:r>
      <w:r w:rsidRPr="00200161">
        <w:tab/>
        <w:t>med beaktande av förklaringen om räkenskapernas tillförlitlighet och de underliggande transaktionernas laglighet och korrekthet</w:t>
      </w:r>
      <w:r w:rsidRPr="00200161">
        <w:rPr>
          <w:rStyle w:val="FootnoteReference"/>
        </w:rPr>
        <w:footnoteReference w:id="6"/>
      </w:r>
      <w:r w:rsidRPr="00200161">
        <w:t>, som avgetts av revisionsrätten för budgetåret 2022 i enlighet med artikel 287 i fördraget om Europeiska unionens funktionssätt,</w:t>
      </w:r>
    </w:p>
    <w:p w:rsidR="00375C33" w:rsidRPr="00200161" w:rsidRDefault="00375C33" w:rsidP="00375C33">
      <w:pPr>
        <w:pStyle w:val="NormalHanging12a"/>
      </w:pPr>
      <w:r w:rsidRPr="00200161">
        <w:t>–</w:t>
      </w:r>
      <w:r w:rsidRPr="00200161">
        <w:tab/>
        <w:t>med beaktande av rådets rekommendation av den 22 februari 2024 om att bevilja byrån ansvarsfrihet för genomförandet av budgeten för budgetåret 2022 (</w:t>
      </w:r>
      <w:r w:rsidR="00017A38" w:rsidRPr="00200161">
        <w:t>06180</w:t>
      </w:r>
      <w:r w:rsidRPr="00200161">
        <w:t>/2024 – C9</w:t>
      </w:r>
      <w:r w:rsidRPr="00200161">
        <w:noBreakHyphen/>
      </w:r>
      <w:r w:rsidR="00017A38" w:rsidRPr="00200161">
        <w:t>0099</w:t>
      </w:r>
      <w:r w:rsidRPr="00200161">
        <w:t>/2024),</w:t>
      </w:r>
    </w:p>
    <w:p w:rsidR="00375C33" w:rsidRPr="00200161" w:rsidRDefault="00375C33" w:rsidP="00375C33">
      <w:pPr>
        <w:pStyle w:val="NormalHanging12a"/>
      </w:pPr>
      <w:r w:rsidRPr="00200161">
        <w:t>–</w:t>
      </w:r>
      <w:r w:rsidRPr="00200161">
        <w:tab/>
        <w:t>med beaktande av artikel 319 i fördraget om Europeiska unionens funktionssätt,</w:t>
      </w:r>
    </w:p>
    <w:p w:rsidR="00375C33" w:rsidRPr="00200161" w:rsidRDefault="00375C33" w:rsidP="00375C33">
      <w:pPr>
        <w:pStyle w:val="NormalHanging12a"/>
      </w:pPr>
      <w:r w:rsidRPr="00200161">
        <w:t>–</w:t>
      </w:r>
      <w:r w:rsidRPr="00200161">
        <w:tab/>
        <w:t>med beaktande av artikel 106a i fördraget om upprättandet av Europeiska atomenergigemenskapen,</w:t>
      </w:r>
    </w:p>
    <w:p w:rsidR="00375C33" w:rsidRPr="00200161" w:rsidRDefault="00375C33" w:rsidP="00375C33">
      <w:pPr>
        <w:pStyle w:val="NormalHanging12a"/>
      </w:pPr>
      <w:r w:rsidRPr="00200161">
        <w:t>–</w:t>
      </w:r>
      <w:r w:rsidRPr="00200161">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200161">
        <w:rPr>
          <w:rStyle w:val="FootnoteReference"/>
        </w:rPr>
        <w:footnoteReference w:id="7"/>
      </w:r>
      <w:r w:rsidRPr="00200161">
        <w:t>, särskilt artikel 68,</w:t>
      </w:r>
    </w:p>
    <w:p w:rsidR="00375C33" w:rsidRPr="00200161" w:rsidRDefault="00375C33" w:rsidP="00375C33">
      <w:pPr>
        <w:pStyle w:val="NormalHanging12a"/>
      </w:pPr>
      <w:r w:rsidRPr="00200161">
        <w:t>–</w:t>
      </w:r>
      <w:r w:rsidRPr="00200161">
        <w:tab/>
        <w:t>med beaktande av rådets beslut 2008/114/EG, Euratom av den 12 februari 2008 om stadgar för Euratoms försörjningsbyrå</w:t>
      </w:r>
      <w:r w:rsidRPr="00200161">
        <w:rPr>
          <w:rStyle w:val="FootnoteReference"/>
        </w:rPr>
        <w:footnoteReference w:id="8"/>
      </w:r>
      <w:r w:rsidRPr="00200161">
        <w:t>, särskilt artikel 8 i bilagan,</w:t>
      </w:r>
    </w:p>
    <w:p w:rsidR="00375C33" w:rsidRPr="00200161" w:rsidRDefault="00375C33" w:rsidP="00375C33">
      <w:pPr>
        <w:pStyle w:val="NormalHanging12a"/>
      </w:pPr>
      <w:r w:rsidRPr="00200161">
        <w:t>–</w:t>
      </w:r>
      <w:r w:rsidRPr="00200161">
        <w:tab/>
        <w:t>med beaktande av artikel 100 och bilaga V i arbetsordningen,</w:t>
      </w:r>
    </w:p>
    <w:p w:rsidR="00375C33" w:rsidRPr="00200161" w:rsidRDefault="00375C33" w:rsidP="00375C33">
      <w:pPr>
        <w:pStyle w:val="NormalHanging12a"/>
      </w:pPr>
      <w:r w:rsidRPr="00200161">
        <w:t>–</w:t>
      </w:r>
      <w:r w:rsidRPr="00200161">
        <w:tab/>
        <w:t>med beaktande av betänkandet från budgetkontrollutskottet (A9-0108/2024).</w:t>
      </w:r>
    </w:p>
    <w:p w:rsidR="00375C33" w:rsidRPr="00200161" w:rsidRDefault="00375C33" w:rsidP="00375C33">
      <w:pPr>
        <w:pStyle w:val="NormalHanging12a"/>
      </w:pPr>
      <w:r w:rsidRPr="00200161">
        <w:t>1.</w:t>
      </w:r>
      <w:r w:rsidRPr="00200161">
        <w:tab/>
        <w:t>Europaparlamentet godkänner avslutandet av räkenskaperna för Euratoms försörjningsbyrå för budgetåret 2022.</w:t>
      </w:r>
    </w:p>
    <w:p w:rsidR="00375C33" w:rsidRPr="00200161" w:rsidRDefault="00375C33" w:rsidP="00375C33">
      <w:pPr>
        <w:pStyle w:val="NormalHanging12a"/>
        <w:keepNext/>
        <w:keepLines/>
        <w:widowControl/>
      </w:pPr>
      <w:r w:rsidRPr="00200161">
        <w:t>2.</w:t>
      </w:r>
      <w:r w:rsidRPr="00200161">
        <w:tab/>
        <w:t xml:space="preserve">Europaparlamentet uppdrar åt talmannen att översända detta beslut till verkställande generaldirektören för Euratoms försörjningsbyrå, rådet, kommissionen och revisionsrätten samt att se till att det offentliggörs i </w:t>
      </w:r>
      <w:r w:rsidRPr="00200161">
        <w:rPr>
          <w:i/>
          <w:iCs/>
        </w:rPr>
        <w:t>Europeiska unionens officiella tidning</w:t>
      </w:r>
      <w:r w:rsidRPr="00200161">
        <w:t xml:space="preserve"> (L-serien).</w:t>
      </w:r>
    </w:p>
    <w:p w:rsidR="00375C33" w:rsidRPr="00200161" w:rsidRDefault="00375C33" w:rsidP="00375C33"/>
    <w:p w:rsidR="00375C33" w:rsidRPr="00200161" w:rsidRDefault="00375C33" w:rsidP="00375C33">
      <w:pPr>
        <w:widowControl/>
        <w:rPr>
          <w:rFonts w:ascii="Arial" w:hAnsi="Arial" w:cs="Arial"/>
          <w:b/>
        </w:rPr>
        <w:sectPr w:rsidR="00375C33" w:rsidRPr="00200161" w:rsidSect="00680C4E">
          <w:footnotePr>
            <w:numRestart w:val="eachPage"/>
          </w:footnotePr>
          <w:endnotePr>
            <w:numFmt w:val="decimal"/>
          </w:endnotePr>
          <w:pgSz w:w="11906" w:h="16838"/>
          <w:pgMar w:top="1134" w:right="1418" w:bottom="1418" w:left="1418" w:header="567" w:footer="567" w:gutter="0"/>
          <w:cols w:space="720"/>
          <w:docGrid w:linePitch="326"/>
        </w:sectPr>
      </w:pPr>
    </w:p>
    <w:bookmarkEnd w:id="8"/>
    <w:bookmarkEnd w:id="9"/>
    <w:p w:rsidR="00375C33" w:rsidRPr="00200161" w:rsidRDefault="00200161" w:rsidP="00CA68F3">
      <w:pPr>
        <w:pStyle w:val="ATHeading3"/>
      </w:pPr>
      <w:r w:rsidRPr="00200161">
        <w:t>3</w:t>
      </w:r>
      <w:r w:rsidR="00CA68F3" w:rsidRPr="00200161">
        <w:t>. Europaparlamentets resolution av den 11 april 2024</w:t>
      </w:r>
      <w:r w:rsidR="00017A38" w:rsidRPr="00200161">
        <w:t xml:space="preserve"> </w:t>
      </w:r>
      <w:r w:rsidR="00375C33" w:rsidRPr="00200161">
        <w:t>med de iakttagelser som utgör en del av beslutet om ansvarsfrihet för genomförandet av budgeten för Euratoms försörjningsbyrå för budgetåret 2022</w:t>
      </w:r>
      <w:r w:rsidR="00CA68F3" w:rsidRPr="00200161">
        <w:t xml:space="preserve"> </w:t>
      </w:r>
      <w:r w:rsidR="00375C33" w:rsidRPr="00200161">
        <w:t>(2023/2161(DEC))</w:t>
      </w:r>
    </w:p>
    <w:p w:rsidR="00375C33" w:rsidRPr="00200161" w:rsidRDefault="00375C33" w:rsidP="00375C33">
      <w:pPr>
        <w:pStyle w:val="EPComma"/>
      </w:pPr>
      <w:r w:rsidRPr="00200161">
        <w:rPr>
          <w:i/>
          <w:iCs/>
        </w:rPr>
        <w:t>Europaparlamentet utfärdar denna resolution</w:t>
      </w:r>
      <w:bookmarkStart w:id="10" w:name="_GoBack"/>
      <w:bookmarkEnd w:id="10"/>
    </w:p>
    <w:p w:rsidR="00375C33" w:rsidRPr="00200161" w:rsidRDefault="00375C33" w:rsidP="00375C33">
      <w:pPr>
        <w:pStyle w:val="NormalHanging12a"/>
      </w:pPr>
      <w:r w:rsidRPr="00200161">
        <w:t>–</w:t>
      </w:r>
      <w:r w:rsidRPr="00200161">
        <w:tab/>
        <w:t>med beaktande av sitt beslut om ansvarsfrihet för genomförandet av budgeten för Euratoms försörjningsbyrå (</w:t>
      </w:r>
      <w:r w:rsidRPr="00200161">
        <w:rPr>
          <w:i/>
          <w:iCs/>
        </w:rPr>
        <w:t>byrån</w:t>
      </w:r>
      <w:r w:rsidRPr="00200161">
        <w:t>) för budgetåret 2022,</w:t>
      </w:r>
    </w:p>
    <w:p w:rsidR="00375C33" w:rsidRPr="00200161" w:rsidRDefault="00375C33" w:rsidP="00375C33">
      <w:pPr>
        <w:pStyle w:val="NormalHanging12a"/>
      </w:pPr>
      <w:r w:rsidRPr="00200161">
        <w:t>–</w:t>
      </w:r>
      <w:r w:rsidRPr="00200161">
        <w:tab/>
        <w:t>med beaktande av artikel 100 och bilaga V i arbetsordningen,</w:t>
      </w:r>
    </w:p>
    <w:p w:rsidR="00375C33" w:rsidRPr="00200161" w:rsidRDefault="00375C33" w:rsidP="00375C33">
      <w:pPr>
        <w:pStyle w:val="NormalHanging12a"/>
      </w:pPr>
      <w:r w:rsidRPr="00200161">
        <w:t>–</w:t>
      </w:r>
      <w:r w:rsidRPr="00200161">
        <w:tab/>
        <w:t>med beaktande av betänkandet från budgetkontrollutskottet (A9-0108/2024), och av följande skäl:</w:t>
      </w:r>
    </w:p>
    <w:p w:rsidR="00375C33" w:rsidRPr="00200161" w:rsidRDefault="00375C33" w:rsidP="00375C33">
      <w:pPr>
        <w:spacing w:after="240"/>
        <w:ind w:left="567" w:hanging="567"/>
        <w:rPr>
          <w:szCs w:val="24"/>
        </w:rPr>
      </w:pPr>
      <w:r w:rsidRPr="00200161">
        <w:t>A.</w:t>
      </w:r>
      <w:r w:rsidRPr="00200161">
        <w:tab/>
        <w:t>Enligt inkomst- och utgiftsberäkningen för byrån uppgick den slutliga budgeten för budgetåret 2022 till 167 000 EUR, vilket innebär en minskning med 20,48 % jämfört med 2021 (210 000 EUR). Byråns budget kommer helt och hållet från unionens budget.</w:t>
      </w:r>
    </w:p>
    <w:p w:rsidR="00375C33" w:rsidRPr="00200161" w:rsidRDefault="00375C33" w:rsidP="00375C33">
      <w:pPr>
        <w:spacing w:after="240"/>
        <w:ind w:left="567" w:hanging="567"/>
        <w:rPr>
          <w:szCs w:val="24"/>
        </w:rPr>
      </w:pPr>
      <w:r w:rsidRPr="00200161">
        <w:t>B.</w:t>
      </w:r>
      <w:r w:rsidRPr="00200161">
        <w:tab/>
        <w:t>Revisionsrätten förklarar i sin rapport om byråns årsredovisning för budgetåret 2022 att man har fått rimliga garantier för att byråns räkenskaper är tillförlitliga och att de underliggande transaktionerna är lagliga och korrekta.</w:t>
      </w:r>
    </w:p>
    <w:p w:rsidR="00375C33" w:rsidRPr="00200161" w:rsidRDefault="00375C33" w:rsidP="00375C33">
      <w:pPr>
        <w:spacing w:after="240"/>
        <w:ind w:left="567" w:hanging="567"/>
        <w:rPr>
          <w:szCs w:val="24"/>
        </w:rPr>
      </w:pPr>
      <w:r w:rsidRPr="00200161">
        <w:t>C.</w:t>
      </w:r>
      <w:r w:rsidRPr="00200161">
        <w:tab/>
        <w:t>När det gäller byråns interna kontrollsystem rapporterades inga problem som krävde korrigerande åtgärder för 2022, och det finns inte heller några pågående eller ej genomförda korrigerande åtgärder från tidigare års revisioner och bedömningar.</w:t>
      </w:r>
    </w:p>
    <w:p w:rsidR="00375C33" w:rsidRPr="00200161" w:rsidRDefault="00375C33" w:rsidP="00375C33">
      <w:pPr>
        <w:spacing w:after="240"/>
        <w:ind w:left="567" w:hanging="567"/>
        <w:rPr>
          <w:b/>
          <w:i/>
          <w:szCs w:val="24"/>
        </w:rPr>
      </w:pPr>
      <w:r w:rsidRPr="00200161">
        <w:rPr>
          <w:b/>
          <w:i/>
        </w:rPr>
        <w:t>Budgetförvaltning och ekonomisk förvaltning</w:t>
      </w:r>
    </w:p>
    <w:p w:rsidR="00375C33" w:rsidRPr="00200161" w:rsidRDefault="00375C33" w:rsidP="00375C33">
      <w:pPr>
        <w:spacing w:after="240"/>
        <w:ind w:left="567" w:hanging="567"/>
        <w:rPr>
          <w:szCs w:val="24"/>
        </w:rPr>
      </w:pPr>
      <w:r w:rsidRPr="00200161">
        <w:t>1.</w:t>
      </w:r>
      <w:r w:rsidRPr="00200161">
        <w:tab/>
        <w:t>Europaparlamentet noterar att insatserna för uppföljning av budgeten under budgetåret 2022 resulterade i ett genomförande av åtagandebemyndigandena för det innevarande året på 96,88 %, vilket utgör en liten minskning med 2,88 % jämfört med 2021, och noterar att genomförandegraden för betalningsbemyndigandena för det innevarande året var 34,81 %, vilket är en minskning med 16,4 % jämfört med 2021.</w:t>
      </w:r>
    </w:p>
    <w:p w:rsidR="00375C33" w:rsidRPr="00200161" w:rsidRDefault="00375C33" w:rsidP="00375C33">
      <w:pPr>
        <w:spacing w:after="240"/>
        <w:ind w:left="567" w:hanging="567"/>
        <w:rPr>
          <w:szCs w:val="24"/>
        </w:rPr>
      </w:pPr>
      <w:r w:rsidRPr="00200161">
        <w:t>2.</w:t>
      </w:r>
      <w:r w:rsidRPr="00200161">
        <w:tab/>
        <w:t>Europaparlamentet noterar att en stor del av byråns utgifter täcks av kommissionen, inklusive lönerna på uppskattningsvis 1 937 817 EUR, lokal- och it-kostnaderna på uppskattningsvis 467 708 EUR och it-systemet Noemi (Nuclear Observatory and ESA Management of Information) på uppskattningsvis 84 644 EUR. Parlamentet noterar dessutom att dessa utgifter ingår i kommissionens årsredovisning och bidrar positivt till byråns administrativa kapacitet.</w:t>
      </w:r>
    </w:p>
    <w:p w:rsidR="00375C33" w:rsidRPr="00200161" w:rsidRDefault="00375C33" w:rsidP="00375C33">
      <w:pPr>
        <w:keepNext/>
        <w:keepLines/>
        <w:widowControl/>
        <w:spacing w:after="240"/>
        <w:ind w:left="567" w:hanging="567"/>
        <w:rPr>
          <w:b/>
          <w:i/>
          <w:szCs w:val="24"/>
        </w:rPr>
      </w:pPr>
      <w:r w:rsidRPr="00200161">
        <w:rPr>
          <w:b/>
          <w:i/>
        </w:rPr>
        <w:t>Verksamhetsresultat</w:t>
      </w:r>
    </w:p>
    <w:p w:rsidR="00375C33" w:rsidRPr="00200161" w:rsidRDefault="00375C33" w:rsidP="00375C33">
      <w:pPr>
        <w:pStyle w:val="NormalHanging12a"/>
        <w:keepNext/>
        <w:keepLines/>
        <w:widowControl/>
      </w:pPr>
      <w:r w:rsidRPr="00200161">
        <w:t>3.</w:t>
      </w:r>
      <w:r w:rsidRPr="00200161">
        <w:tab/>
        <w:t>Europaparlamentet betonar att 2022 präglades av Rysslands invasion av Ukraina, vilket väckte EU:s oro för energitryggheten i allmänhet och undergrävde i synnerhet unionens försörjningstrygghet för kärnmaterial och kärnbränsle och förvärrade beroendeproblem. Parlamentet konstaterar att många kärnkraftverk i unionen är beroende av ryska leverantörer av bränsle, och att unionens allmännyttiga tjänster som helhet till 20–30 % är beroende av ryska leveranser av kärnmaterial och tjänster avseende bränslecykeln. Parlamentet konstaterar att unionen, med tanke på att de stora betalningarna för energiimport bidrar till att stödja Rysslands handlingar, har beslutat att minska sitt beroende av Ryssland inom olika sektorer och konstaterar att kärnkraftsmarknaden, med tanke på dess unika egenskaper, också kan komma att ändras i framtiden som en del av denna bredare omställning. Parlamentet uppmanar byrån att rapportera till den ansvarsfrihetsbeviljande myndigheten om hur den har minskat unionens beroende av ryskt kärnbränsle sedan 2022, särskilt sedan krigets början då kärnkraftsindustrin undantogs från sanktioner och hur minskningen och diversifieringen påverkade kostnaderna.</w:t>
      </w:r>
    </w:p>
    <w:p w:rsidR="00375C33" w:rsidRPr="00200161" w:rsidRDefault="00375C33" w:rsidP="00375C33">
      <w:pPr>
        <w:spacing w:after="240"/>
        <w:ind w:left="567" w:hanging="567"/>
      </w:pPr>
      <w:r w:rsidRPr="00200161">
        <w:t>4.</w:t>
      </w:r>
      <w:r w:rsidRPr="00200161">
        <w:tab/>
        <w:t>Europaparlamentet noterar med tillfredsställelse att byrån ägnade särskild uppmärksamhet åt att se över avtal med risk för beroende av Ryssland, vilket inbegriper en grundlig analys av klausuler, teknisk information, leveranskedjor, tillgång till alternativa bränslen och de allmännyttiga tjänsternas operativa oberoende i fråga om befintliga bränslelager. Parlamentet lovordar att byrån vidtog åtgärder för att förenkla förfarandet för inlämning av kontrakt samtidigt som en hög säkerhetsnivå upprätthölls, och att särskilda säkra it-verktyg underlättade slutförande och inlämning på distans. Parlamentet konstaterar att dessa insatser ledde till att antalet elektroniskt undertecknade akter som överensstämmer med bestämmelserna om identifiering av elektroniska transaktioner på den inre marknaden ökade under 2022.</w:t>
      </w:r>
    </w:p>
    <w:p w:rsidR="00375C33" w:rsidRPr="00200161" w:rsidRDefault="00375C33" w:rsidP="00375C33">
      <w:pPr>
        <w:spacing w:after="240"/>
        <w:ind w:left="567" w:hanging="567"/>
        <w:rPr>
          <w:szCs w:val="24"/>
        </w:rPr>
      </w:pPr>
      <w:r w:rsidRPr="00200161">
        <w:t>5.</w:t>
      </w:r>
      <w:r w:rsidRPr="00200161">
        <w:tab/>
        <w:t>Europaparlamentet noterar att byrån, i linje med sina strategiska mål och kommissionens politik, strävade efter att distribuera försörjningskällor i kärnbränslecykeln till elproduktion och annan användning, vilket bidrar till en trygg försörjning på medellång och lång sikt.</w:t>
      </w:r>
    </w:p>
    <w:p w:rsidR="00375C33" w:rsidRPr="00200161" w:rsidRDefault="00375C33" w:rsidP="00375C33">
      <w:pPr>
        <w:spacing w:after="240"/>
        <w:ind w:left="567" w:hanging="567"/>
        <w:rPr>
          <w:szCs w:val="24"/>
        </w:rPr>
      </w:pPr>
      <w:r w:rsidRPr="00200161">
        <w:t>6.</w:t>
      </w:r>
      <w:r w:rsidRPr="00200161">
        <w:tab/>
        <w:t>Europaparlamentet konstaterar att byrån ansvarar för att övervaka marknaden för att identifiera trender som kan påverka unionens försörjningstrygghet när det gäller kärnmaterial och kärntjänster. Parlamentet noterar dessutom att byrån har offentliggjort en marknadsanalys i sin årsrapport, tillhandahållit information om unionens kärnenergimarknader och de globala kärnenergimarknaderna och delat information och kunskap med andra internationella organisationer för marknadsanalys.</w:t>
      </w:r>
    </w:p>
    <w:p w:rsidR="00375C33" w:rsidRPr="00200161" w:rsidRDefault="00375C33" w:rsidP="00375C33">
      <w:pPr>
        <w:pStyle w:val="NormalHanging12a"/>
      </w:pPr>
      <w:r w:rsidRPr="00200161">
        <w:t>7.</w:t>
      </w:r>
      <w:r w:rsidRPr="00200161">
        <w:tab/>
        <w:t>Europaparlamentet välkomnar att byrån under 2022 ledde åtgärderna för att trygga försörjningen av råmaterial till medicinska radioisotoper, efter att ha bidragit till genomförandet av den strategiska agendan för tillämpningar av kärnteknik och radiologisk teknik inom medicin, industri och forskning (Samira), och ledde det europeiska observationsorganet för försörjning av medicinska radioisotoper.</w:t>
      </w:r>
    </w:p>
    <w:p w:rsidR="00375C33" w:rsidRPr="00200161" w:rsidRDefault="00375C33" w:rsidP="00375C33">
      <w:pPr>
        <w:keepNext/>
        <w:keepLines/>
        <w:widowControl/>
        <w:spacing w:after="240"/>
        <w:ind w:left="567" w:hanging="567"/>
        <w:rPr>
          <w:szCs w:val="24"/>
        </w:rPr>
      </w:pPr>
      <w:r w:rsidRPr="00200161">
        <w:t>8.</w:t>
      </w:r>
      <w:r w:rsidRPr="00200161">
        <w:tab/>
        <w:t>Europaparlamentet välkomnar byråns insatser i samarbete med partner och berörda parter för att stärka försörjningstryggheten för kärnmaterial mot bakgrund av Rysslands olagliga och oprovocerade invasion av Ukraina.</w:t>
      </w:r>
    </w:p>
    <w:p w:rsidR="00375C33" w:rsidRPr="00200161" w:rsidRDefault="00375C33" w:rsidP="00375C33">
      <w:pPr>
        <w:spacing w:after="240"/>
        <w:ind w:left="567" w:hanging="567"/>
        <w:rPr>
          <w:b/>
          <w:i/>
          <w:szCs w:val="24"/>
        </w:rPr>
      </w:pPr>
      <w:r w:rsidRPr="00200161">
        <w:rPr>
          <w:b/>
          <w:i/>
        </w:rPr>
        <w:t>Effektivitet och förbättringar</w:t>
      </w:r>
    </w:p>
    <w:p w:rsidR="00375C33" w:rsidRPr="00200161" w:rsidRDefault="00375C33" w:rsidP="00375C33">
      <w:pPr>
        <w:spacing w:after="240"/>
        <w:ind w:left="567" w:hanging="567"/>
        <w:rPr>
          <w:szCs w:val="24"/>
        </w:rPr>
      </w:pPr>
      <w:r w:rsidRPr="00200161">
        <w:t>9.</w:t>
      </w:r>
      <w:r w:rsidRPr="00200161">
        <w:tab/>
        <w:t>Europaparlamentet noterar att byrån har haft ett nära samarbete med kommissionen för att främja diversifieringen av försörjningen. Parlamentet noterar vidare att byrån sedan länge har etablerat förbindelser om kärnenergi med Internationella atomenergiorganet och Kärnenergibyrån inom ramen för Organisationen för ekonomiskt samarbete och utveckling. Parlamentet framhåller de övergripande fördelarna med att samarbeta och anpassa bästa praxis och att gemensamma initiativ för samman olika perspektiv, minskar dubbelarbete, förbättrar lärandet och stärker förbindelserna mellan deltagarna.</w:t>
      </w:r>
    </w:p>
    <w:p w:rsidR="00375C33" w:rsidRPr="00200161" w:rsidRDefault="00375C33" w:rsidP="00375C33">
      <w:pPr>
        <w:spacing w:after="240"/>
        <w:ind w:left="567" w:hanging="567"/>
        <w:rPr>
          <w:szCs w:val="24"/>
        </w:rPr>
      </w:pPr>
      <w:r w:rsidRPr="00200161">
        <w:t>10.</w:t>
      </w:r>
      <w:r w:rsidRPr="00200161">
        <w:tab/>
        <w:t>Europaparlamentet konstaterar att byrån håller på att utveckla it-systemet Noemi för att möjliggöra en fullständig digital behandling av avtal om leverans av kärnbränsle och marknadsinformation i full överensstämmelse med bestämmelserna om skydd av information, och samtidigt arbetar den med att utöka sin analyskapacitet för tillgängliga uppgifter.</w:t>
      </w:r>
    </w:p>
    <w:p w:rsidR="00375C33" w:rsidRPr="00200161" w:rsidRDefault="00375C33" w:rsidP="00375C33">
      <w:pPr>
        <w:spacing w:after="240"/>
        <w:ind w:left="567" w:hanging="567"/>
        <w:rPr>
          <w:szCs w:val="24"/>
        </w:rPr>
      </w:pPr>
      <w:r w:rsidRPr="00200161">
        <w:t>11.</w:t>
      </w:r>
      <w:r w:rsidRPr="00200161">
        <w:tab/>
        <w:t>Europaparlamentet noterar att byrån har gjort ansträngningar för att uppnå effektivitetsvinster och för att omfördela personalresurser till de nya kommande uppgifterna och utmaningarna. Parlamentet noterar att ytterligare effektivitetsvinster endast skulle vara möjliga om man använder synergier och stöd från kommissionen genom tillhandahållande av specialiserade stödfunktioner, utökning av användningen av interna verktyg och ökning av anslagen för utvecklingen av it-systemet Noemi. Parlamentet uppmanar byrån att hitta fler interna förfaranden som skulle kunna effektiviseras genom nya it-verktyg.</w:t>
      </w:r>
    </w:p>
    <w:p w:rsidR="00375C33" w:rsidRPr="00200161" w:rsidRDefault="00375C33" w:rsidP="00375C33">
      <w:pPr>
        <w:pStyle w:val="NormalHanging12a"/>
      </w:pPr>
      <w:r w:rsidRPr="00200161">
        <w:t>12.</w:t>
      </w:r>
      <w:r w:rsidRPr="00200161">
        <w:tab/>
        <w:t>Europaparlamentet påminner om att byrån i högre grad behöver digitalisera den interna driften och förvaltningen, och även skynda på digitaliseringen av förfaranden. Parlamentet betonar att byrån behöver fortsätta att vara proaktiv i detta avseende för att undvika en digital klyfta mellan byråerna. Parlamentet uppmärksammar dock behovet av att vidta alla nödvändiga säkerhetsåtgärder för att undvika att den behandlade informationens onlinesäkerhet äventyras, och insisterar på att det ska vidtas ytterligare åtgärder mot cyberattacker eller infiltreringsförsök som särskilt härrör från Ryssland eller Kina.</w:t>
      </w:r>
    </w:p>
    <w:p w:rsidR="00375C33" w:rsidRPr="00200161" w:rsidRDefault="00375C33" w:rsidP="00375C33">
      <w:pPr>
        <w:spacing w:after="240"/>
        <w:ind w:left="567" w:hanging="567"/>
        <w:rPr>
          <w:b/>
          <w:i/>
          <w:szCs w:val="24"/>
        </w:rPr>
      </w:pPr>
      <w:r w:rsidRPr="00200161">
        <w:rPr>
          <w:b/>
          <w:i/>
        </w:rPr>
        <w:t>Personalpolitik</w:t>
      </w:r>
    </w:p>
    <w:p w:rsidR="00375C33" w:rsidRPr="00200161" w:rsidRDefault="00375C33" w:rsidP="00375C33">
      <w:pPr>
        <w:spacing w:after="240"/>
        <w:ind w:left="567" w:hanging="567"/>
        <w:rPr>
          <w:szCs w:val="24"/>
        </w:rPr>
      </w:pPr>
      <w:r w:rsidRPr="00200161">
        <w:t>13.</w:t>
      </w:r>
      <w:r w:rsidRPr="00200161">
        <w:tab/>
        <w:t>Europaparlamentet noterar att 100 % av tjänsterna i tjänsteförteckningen var tillsatta den 31 december 2022 med 17 fasta tjänster, 8 handläggartjänster, 7 assistenttjänster och 2 tjänster som assistent/kontorspersonal. Parlamentet noterar dessutom att det högre antalet handläggare än vad som är tillåtet beror på en uppgradering av en assistenttjänst som beviljades av kommissionen.</w:t>
      </w:r>
    </w:p>
    <w:p w:rsidR="00375C33" w:rsidRPr="00200161" w:rsidRDefault="00375C33" w:rsidP="00375C33">
      <w:pPr>
        <w:keepNext/>
        <w:keepLines/>
        <w:widowControl/>
        <w:spacing w:after="240"/>
        <w:ind w:left="567" w:hanging="567"/>
        <w:rPr>
          <w:szCs w:val="24"/>
        </w:rPr>
      </w:pPr>
      <w:r w:rsidRPr="00200161">
        <w:t>14.</w:t>
      </w:r>
      <w:r w:rsidRPr="00200161">
        <w:tab/>
        <w:t>Europaparlamentet noterar byråns svårigheter med att hitta assistenter i lägre lönegrader, med tanke på den specialiserade profil som krävs och de tillhörande lönenivåerna i förhållande till levnadskostnaderna i Luxemburg. Parlamentet noterar dock att byrån trots sina ansträngningar rekryterade 2 tillfälligt anställda på fasta tjänster (1 assistent och 1 assistent/kontorspersonal) under 2022.</w:t>
      </w:r>
    </w:p>
    <w:p w:rsidR="00375C33" w:rsidRPr="00200161" w:rsidRDefault="00375C33" w:rsidP="00375C33">
      <w:pPr>
        <w:spacing w:after="240"/>
        <w:ind w:left="567" w:hanging="567"/>
        <w:rPr>
          <w:szCs w:val="24"/>
        </w:rPr>
      </w:pPr>
      <w:r w:rsidRPr="00200161">
        <w:t>15.</w:t>
      </w:r>
      <w:r w:rsidRPr="00200161">
        <w:tab/>
        <w:t>Europaparlamentet noterar att byrån rapporterade en könsfördelning för all personal på 59 % kvinnor och 41 % män 2022, vilket visar på en politik för lika möjligheter.</w:t>
      </w:r>
    </w:p>
    <w:p w:rsidR="00375C33" w:rsidRPr="00200161" w:rsidRDefault="00375C33" w:rsidP="00375C33">
      <w:pPr>
        <w:pStyle w:val="NormalHanging12a"/>
      </w:pPr>
      <w:r w:rsidRPr="00200161">
        <w:t>16.</w:t>
      </w:r>
      <w:r w:rsidRPr="00200161">
        <w:tab/>
        <w:t>Europaparlamentet påminner om vikten av att utveckla en långsiktig personalpolitik som hanterar balansen mellan arbete och privatliv, livslång vägledning och erbjudande av särskilda utbildningsmöjligheter för karriärutveckling, jämn könsfördelning på alla personalnivåer, distansarbete, rätten att inte vara uppkopplad, förstärkt geografisk balans för att få till stånd en lämplig representation från samtliga medlemsstater samt rekrytering och integrering av personer med funktionsnedsättning liksom främjande av likabehandling av och lika möjligheter för dem.</w:t>
      </w:r>
    </w:p>
    <w:p w:rsidR="00375C33" w:rsidRPr="00200161" w:rsidRDefault="00375C33" w:rsidP="00375C33">
      <w:pPr>
        <w:spacing w:after="240"/>
        <w:ind w:left="567" w:hanging="567"/>
        <w:rPr>
          <w:b/>
          <w:i/>
          <w:szCs w:val="24"/>
        </w:rPr>
      </w:pPr>
      <w:r w:rsidRPr="00200161">
        <w:rPr>
          <w:b/>
          <w:i/>
        </w:rPr>
        <w:t>Upphandling</w:t>
      </w:r>
    </w:p>
    <w:p w:rsidR="00375C33" w:rsidRPr="00200161" w:rsidRDefault="00375C33" w:rsidP="00375C33">
      <w:pPr>
        <w:spacing w:after="240"/>
        <w:ind w:left="567" w:hanging="567"/>
        <w:rPr>
          <w:rFonts w:eastAsia="Calibri"/>
          <w:szCs w:val="24"/>
        </w:rPr>
      </w:pPr>
      <w:r w:rsidRPr="00200161">
        <w:t>17.</w:t>
      </w:r>
      <w:r w:rsidRPr="00200161">
        <w:tab/>
        <w:t>Europaparlamentet noterar utifrån revisionsrättens rapport iakttagelsen att byrån systematiskt har tilldelat kontrakt till låga belopp (under 15 000 EUR) utan att utfärda motsvarande utvärderingsrapporter och tilldelningsbeslut, vilket strider mot punkt 30.3 och 30.4 i bilaga I till budgetförordningen. Parlamentet noterar vidare utifrån byråns svar att byrån kommer att ta hänsyn till rekommendationen och kommer att ge lämplig vägledning till all personal som arbetar med upphandling och ekonomisk förvaltning. Parlamentet uppmanar byrån att förbättra sina förfaranden för offentlig upphandling för att säkerställa att de fullt ut följer gällande regler och ger bästa möjliga valuta för pengarna.</w:t>
      </w:r>
    </w:p>
    <w:p w:rsidR="00375C33" w:rsidRPr="00200161" w:rsidRDefault="00375C33" w:rsidP="00375C33">
      <w:pPr>
        <w:spacing w:after="240"/>
        <w:ind w:left="567" w:hanging="567"/>
        <w:rPr>
          <w:b/>
          <w:i/>
          <w:szCs w:val="24"/>
        </w:rPr>
      </w:pPr>
      <w:r w:rsidRPr="00200161">
        <w:rPr>
          <w:b/>
          <w:i/>
        </w:rPr>
        <w:t>Övriga kommentarer</w:t>
      </w:r>
    </w:p>
    <w:p w:rsidR="00375C33" w:rsidRPr="00200161" w:rsidRDefault="00375C33" w:rsidP="00375C33">
      <w:pPr>
        <w:spacing w:after="240"/>
        <w:ind w:left="567" w:hanging="567"/>
        <w:rPr>
          <w:szCs w:val="24"/>
        </w:rPr>
      </w:pPr>
      <w:r w:rsidRPr="00200161">
        <w:t>18.</w:t>
      </w:r>
      <w:r w:rsidRPr="00200161">
        <w:tab/>
        <w:t>Europaparlamentet noterar att byrån har stärkt säkerheten när det gäller tillträde till sina lokaler, och att all personal och alla externa uppdragstagare har säkerhetsgodkännande.</w:t>
      </w:r>
    </w:p>
    <w:p w:rsidR="00375C33" w:rsidRPr="00200161" w:rsidRDefault="00375C33" w:rsidP="00375C33">
      <w:pPr>
        <w:spacing w:after="240"/>
        <w:ind w:left="567" w:hanging="567"/>
        <w:rPr>
          <w:szCs w:val="24"/>
        </w:rPr>
      </w:pPr>
      <w:r w:rsidRPr="00200161">
        <w:t>19.</w:t>
      </w:r>
      <w:r w:rsidRPr="00200161">
        <w:tab/>
        <w:t>Europaparlamentet noterar att it-systemet Noemi genomgick en sårbarhetsbedömning, vilket ska upprepas efter varje utvecklingsfas eller efter att alla rekommendationer har genomförts.</w:t>
      </w:r>
    </w:p>
    <w:p w:rsidR="00375C33" w:rsidRPr="00200161" w:rsidRDefault="00375C33" w:rsidP="00375C33">
      <w:pPr>
        <w:spacing w:after="240"/>
        <w:ind w:left="567" w:hanging="567"/>
        <w:rPr>
          <w:szCs w:val="24"/>
        </w:rPr>
      </w:pPr>
      <w:r w:rsidRPr="00200161">
        <w:t>20.</w:t>
      </w:r>
      <w:r w:rsidRPr="00200161">
        <w:tab/>
        <w:t>Europaparlamentet noterar med tillfredsställelse att byrån deltog i World Nuclear Symposium i London i september 2022, där det gav ett tydligt budskap till deltagarna, som bestod av de främsta ledarna för kärnkraftsindustrin, experter och chefer, om behovet av att ta itu med riskerna i samband med den nya marknadsstrukturen. Parlamentet noterar vidare att byråns marknadsanalys och marknadsutsikter presenterades vid säkerhetsforumet i Warszawa och vid den globala kärnbränslecykeln samt vid den första internationella konferensen om kärnenergilagstiftning och vid European Research Reactor Conference. Parlamentet noterar dessutom att byrån har bidragit till evenemangen vid European Nuclear Society.</w:t>
      </w:r>
    </w:p>
    <w:p w:rsidR="00375C33" w:rsidRPr="00200161" w:rsidRDefault="00375C33" w:rsidP="00375C33">
      <w:pPr>
        <w:keepNext/>
        <w:keepLines/>
        <w:widowControl/>
        <w:spacing w:after="240"/>
        <w:ind w:left="567" w:hanging="567"/>
        <w:rPr>
          <w:szCs w:val="24"/>
        </w:rPr>
      </w:pPr>
      <w:r w:rsidRPr="00200161">
        <w:t>21.</w:t>
      </w:r>
      <w:r w:rsidRPr="00200161">
        <w:tab/>
        <w:t>Europaparlamentet noterar att byrån inte utfärdar någon miljöredovisning och inte har genomfört miljölednings- och miljörevisionsordningen (Emas). Parlamentet uppmuntrar byrån att rapportera om sin klimat-, energi- och miljöprestanda och att dessutom genomföra Emas.</w:t>
      </w:r>
    </w:p>
    <w:p w:rsidR="00375C33" w:rsidRPr="00200161" w:rsidRDefault="00375C33" w:rsidP="00375C33">
      <w:pPr>
        <w:pStyle w:val="NormalCenter12a"/>
      </w:pPr>
      <w:r w:rsidRPr="00200161">
        <w:t>°</w:t>
      </w:r>
    </w:p>
    <w:p w:rsidR="00375C33" w:rsidRPr="00200161" w:rsidRDefault="00375C33" w:rsidP="00375C33">
      <w:pPr>
        <w:pStyle w:val="NormalCenter12a"/>
      </w:pPr>
      <w:r w:rsidRPr="00200161">
        <w:t>°</w:t>
      </w:r>
      <w:r w:rsidRPr="00200161">
        <w:tab/>
        <w:t>°</w:t>
      </w:r>
    </w:p>
    <w:p w:rsidR="00375C33" w:rsidRPr="00200161" w:rsidRDefault="00375C33" w:rsidP="00375C33">
      <w:pPr>
        <w:pStyle w:val="NormalHanging12a"/>
        <w:widowControl/>
      </w:pPr>
      <w:r w:rsidRPr="00200161">
        <w:t>22.</w:t>
      </w:r>
      <w:r w:rsidRPr="00200161">
        <w:tab/>
        <w:t xml:space="preserve">När det gäller andra övergripande iakttagelser som utgör en del av beslutet om ansvarsfrihet hänvisar Europaparlamentet till sin resolution av den </w:t>
      </w:r>
      <w:r w:rsidR="00CA68F3" w:rsidRPr="00200161">
        <w:t>11 april 2024</w:t>
      </w:r>
      <w:r w:rsidRPr="00200161">
        <w:rPr>
          <w:vertAlign w:val="superscript"/>
        </w:rPr>
        <w:footnoteReference w:id="9"/>
      </w:r>
      <w:r w:rsidRPr="00200161">
        <w:t xml:space="preserve"> om byråernas verksamhetsresultat, ekonomiska förvaltning och kontroll.</w:t>
      </w:r>
    </w:p>
    <w:p w:rsidR="00E365E1" w:rsidRPr="00200161" w:rsidRDefault="00E365E1" w:rsidP="004F7D74">
      <w:bookmarkStart w:id="11" w:name="TextBodyEnd"/>
      <w:bookmarkEnd w:id="11"/>
    </w:p>
    <w:sectPr w:rsidR="00E365E1" w:rsidRPr="00200161" w:rsidSect="00680C4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D74" w:rsidRPr="00680C4E" w:rsidRDefault="004F7D74">
      <w:r w:rsidRPr="00680C4E">
        <w:separator/>
      </w:r>
    </w:p>
  </w:endnote>
  <w:endnote w:type="continuationSeparator" w:id="0">
    <w:p w:rsidR="004F7D74" w:rsidRPr="00680C4E" w:rsidRDefault="004F7D74">
      <w:r w:rsidRPr="00680C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33" w:rsidRPr="00680C4E" w:rsidRDefault="00375C33" w:rsidP="00FC6007">
    <w:pPr>
      <w:pStyle w:val="EPFooter"/>
    </w:pPr>
    <w:r w:rsidRPr="00680C4E">
      <w:t>PE</w:t>
    </w:r>
    <w:r w:rsidRPr="00680C4E">
      <w:rPr>
        <w:rStyle w:val="HideTWBExt"/>
      </w:rPr>
      <w:t>&lt;NoPE&gt;</w:t>
    </w:r>
    <w:r w:rsidRPr="00680C4E">
      <w:t>753.529</w:t>
    </w:r>
    <w:r w:rsidRPr="00680C4E">
      <w:rPr>
        <w:rStyle w:val="HideTWBExt"/>
      </w:rPr>
      <w:t>&lt;/NoPE&gt;&lt;Version&gt;</w:t>
    </w:r>
    <w:r w:rsidRPr="00680C4E">
      <w:t>v02-00</w:t>
    </w:r>
    <w:r w:rsidRPr="00680C4E">
      <w:rPr>
        <w:rStyle w:val="HideTWBExt"/>
      </w:rPr>
      <w:t>&lt;/Version&gt;</w:t>
    </w:r>
    <w:r w:rsidRPr="00680C4E">
      <w:tab/>
    </w:r>
    <w:r w:rsidRPr="00680C4E">
      <w:fldChar w:fldCharType="begin"/>
    </w:r>
    <w:r w:rsidRPr="00680C4E">
      <w:instrText xml:space="preserve"> PAGE  \* MERGEFORMAT </w:instrText>
    </w:r>
    <w:r w:rsidRPr="00680C4E">
      <w:fldChar w:fldCharType="separate"/>
    </w:r>
    <w:r w:rsidR="00680C4E" w:rsidRPr="00680C4E">
      <w:rPr>
        <w:noProof/>
      </w:rPr>
      <w:t>2</w:t>
    </w:r>
    <w:r w:rsidRPr="00680C4E">
      <w:fldChar w:fldCharType="end"/>
    </w:r>
    <w:r w:rsidRPr="00680C4E">
      <w:t>/</w:t>
    </w:r>
    <w:r w:rsidR="00200161">
      <w:fldChar w:fldCharType="begin"/>
    </w:r>
    <w:r w:rsidR="00200161">
      <w:instrText xml:space="preserve"> NUMPAGES  \* MERGEFORMAT </w:instrText>
    </w:r>
    <w:r w:rsidR="00200161">
      <w:fldChar w:fldCharType="separate"/>
    </w:r>
    <w:r w:rsidR="00680C4E" w:rsidRPr="00680C4E">
      <w:rPr>
        <w:noProof/>
      </w:rPr>
      <w:t>3</w:t>
    </w:r>
    <w:r w:rsidR="00200161">
      <w:rPr>
        <w:noProof/>
      </w:rPr>
      <w:fldChar w:fldCharType="end"/>
    </w:r>
    <w:r w:rsidRPr="00680C4E">
      <w:tab/>
    </w:r>
    <w:r w:rsidRPr="00680C4E">
      <w:rPr>
        <w:rStyle w:val="HideTWBExt"/>
      </w:rPr>
      <w:t>&lt;PathFdR&gt;</w:t>
    </w:r>
    <w:r w:rsidRPr="00680C4E">
      <w:t>RR\1298833SV.docx</w:t>
    </w:r>
    <w:r w:rsidRPr="00680C4E">
      <w:rPr>
        <w:rStyle w:val="HideTWBExt"/>
      </w:rPr>
      <w:t>&lt;/PathFdR&gt;</w:t>
    </w:r>
  </w:p>
  <w:p w:rsidR="00375C33" w:rsidRPr="00680C4E" w:rsidRDefault="00375C33" w:rsidP="00FC6007">
    <w:pPr>
      <w:pStyle w:val="EPFooter2"/>
    </w:pPr>
    <w:r w:rsidRPr="00680C4E">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33" w:rsidRPr="00680C4E" w:rsidRDefault="00375C33" w:rsidP="00FC60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33" w:rsidRPr="00680C4E" w:rsidRDefault="00375C33" w:rsidP="00FC6007">
    <w:pPr>
      <w:pStyle w:val="EPFooter"/>
    </w:pPr>
    <w:r w:rsidRPr="00680C4E">
      <w:rPr>
        <w:rStyle w:val="HideTWBExt"/>
      </w:rPr>
      <w:t>&lt;PathFdR&gt;</w:t>
    </w:r>
    <w:r w:rsidRPr="00680C4E">
      <w:t>RR\1298833SV.docx</w:t>
    </w:r>
    <w:r w:rsidRPr="00680C4E">
      <w:rPr>
        <w:rStyle w:val="HideTWBExt"/>
      </w:rPr>
      <w:t>&lt;/PathFdR&gt;</w:t>
    </w:r>
    <w:r w:rsidRPr="00680C4E">
      <w:tab/>
    </w:r>
    <w:r w:rsidRPr="00680C4E">
      <w:tab/>
      <w:t>PE</w:t>
    </w:r>
    <w:r w:rsidRPr="00680C4E">
      <w:rPr>
        <w:rStyle w:val="HideTWBExt"/>
      </w:rPr>
      <w:t>&lt;NoPE&gt;</w:t>
    </w:r>
    <w:r w:rsidRPr="00680C4E">
      <w:t>753.529</w:t>
    </w:r>
    <w:r w:rsidRPr="00680C4E">
      <w:rPr>
        <w:rStyle w:val="HideTWBExt"/>
      </w:rPr>
      <w:t>&lt;/NoPE&gt;&lt;Version&gt;</w:t>
    </w:r>
    <w:r w:rsidRPr="00680C4E">
      <w:t>v02-00</w:t>
    </w:r>
    <w:r w:rsidRPr="00680C4E">
      <w:rPr>
        <w:rStyle w:val="HideTWBExt"/>
      </w:rPr>
      <w:t>&lt;/Version&gt;</w:t>
    </w:r>
  </w:p>
  <w:p w:rsidR="00375C33" w:rsidRPr="00680C4E" w:rsidRDefault="00375C33" w:rsidP="00FC6007">
    <w:pPr>
      <w:pStyle w:val="EPFooter2"/>
    </w:pPr>
    <w:r w:rsidRPr="00680C4E">
      <w:t>SV</w:t>
    </w:r>
    <w:r w:rsidRPr="00680C4E">
      <w:tab/>
    </w:r>
    <w:r w:rsidRPr="00680C4E">
      <w:rPr>
        <w:b w:val="0"/>
        <w:i/>
        <w:color w:val="C0C0C0"/>
        <w:sz w:val="22"/>
      </w:rPr>
      <w:t>Förenade i mångfalden</w:t>
    </w:r>
    <w:r w:rsidRPr="00680C4E">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4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4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D74" w:rsidRPr="00680C4E" w:rsidRDefault="004F7D74">
      <w:r w:rsidRPr="00680C4E">
        <w:separator/>
      </w:r>
    </w:p>
  </w:footnote>
  <w:footnote w:type="continuationSeparator" w:id="0">
    <w:p w:rsidR="004F7D74" w:rsidRPr="00680C4E" w:rsidRDefault="004F7D74">
      <w:r w:rsidRPr="00680C4E">
        <w:continuationSeparator/>
      </w:r>
    </w:p>
  </w:footnote>
  <w:footnote w:id="1">
    <w:p w:rsidR="00375C33" w:rsidRPr="00200161" w:rsidRDefault="00375C33" w:rsidP="00680C4E">
      <w:pPr>
        <w:pStyle w:val="FootnoteText"/>
        <w:ind w:left="567" w:hanging="567"/>
        <w:rPr>
          <w:sz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C, C/2023/594, 27.10.2023.</w:t>
      </w:r>
    </w:p>
  </w:footnote>
  <w:footnote w:id="2">
    <w:p w:rsidR="00375C33" w:rsidRPr="00200161" w:rsidRDefault="00375C33" w:rsidP="00680C4E">
      <w:pPr>
        <w:pStyle w:val="FootnoteText"/>
        <w:ind w:left="567" w:hanging="567"/>
        <w:rPr>
          <w:sz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C, C/2023/112, 12.10.2023.</w:t>
      </w:r>
    </w:p>
  </w:footnote>
  <w:footnote w:id="3">
    <w:p w:rsidR="00375C33" w:rsidRPr="00200161" w:rsidRDefault="00375C33" w:rsidP="00680C4E">
      <w:pPr>
        <w:pStyle w:val="FootnoteText"/>
        <w:ind w:left="567" w:hanging="567"/>
        <w:rPr>
          <w:sz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L 193, 30.7.2018, s. 1.</w:t>
      </w:r>
    </w:p>
  </w:footnote>
  <w:footnote w:id="4">
    <w:p w:rsidR="00375C33" w:rsidRPr="00200161" w:rsidRDefault="00375C33" w:rsidP="00680C4E">
      <w:pPr>
        <w:pStyle w:val="FootnoteText"/>
        <w:ind w:left="567" w:hanging="567"/>
        <w:rPr>
          <w:sz w:val="24"/>
          <w:szCs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L 41, 15.2.2008, s. 15.</w:t>
      </w:r>
    </w:p>
  </w:footnote>
  <w:footnote w:id="5">
    <w:p w:rsidR="00375C33" w:rsidRPr="00200161" w:rsidRDefault="00375C33" w:rsidP="00680C4E">
      <w:pPr>
        <w:pStyle w:val="FootnoteText"/>
        <w:ind w:left="567" w:hanging="567"/>
        <w:rPr>
          <w:sz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C, C/2023/594, 27.10.2023.</w:t>
      </w:r>
    </w:p>
  </w:footnote>
  <w:footnote w:id="6">
    <w:p w:rsidR="00375C33" w:rsidRPr="00200161" w:rsidRDefault="00375C33" w:rsidP="00680C4E">
      <w:pPr>
        <w:pStyle w:val="FootnoteText"/>
        <w:ind w:left="567" w:hanging="567"/>
        <w:rPr>
          <w:sz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C, C/2023/112, 12.10.2023.</w:t>
      </w:r>
    </w:p>
  </w:footnote>
  <w:footnote w:id="7">
    <w:p w:rsidR="00375C33" w:rsidRPr="00200161" w:rsidRDefault="00375C33" w:rsidP="00680C4E">
      <w:pPr>
        <w:pStyle w:val="FootnoteText"/>
        <w:ind w:left="567" w:hanging="567"/>
        <w:rPr>
          <w:sz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L 193, 30.7.2018, s. 1.</w:t>
      </w:r>
    </w:p>
  </w:footnote>
  <w:footnote w:id="8">
    <w:p w:rsidR="00375C33" w:rsidRPr="00200161" w:rsidRDefault="00375C33" w:rsidP="00680C4E">
      <w:pPr>
        <w:pStyle w:val="FootnoteText"/>
        <w:ind w:left="567" w:hanging="567"/>
        <w:rPr>
          <w:sz w:val="24"/>
          <w:szCs w:val="24"/>
        </w:rPr>
      </w:pPr>
      <w:r w:rsidRPr="00200161">
        <w:rPr>
          <w:rStyle w:val="FootnoteReference"/>
          <w:sz w:val="24"/>
          <w:lang w:val="sv-SE"/>
        </w:rPr>
        <w:footnoteRef/>
      </w:r>
      <w:r w:rsidR="00680C4E" w:rsidRPr="00200161">
        <w:rPr>
          <w:sz w:val="24"/>
        </w:rPr>
        <w:t xml:space="preserve"> </w:t>
      </w:r>
      <w:r w:rsidR="00680C4E" w:rsidRPr="00200161">
        <w:rPr>
          <w:sz w:val="24"/>
        </w:rPr>
        <w:tab/>
      </w:r>
      <w:r w:rsidRPr="00200161">
        <w:rPr>
          <w:sz w:val="24"/>
        </w:rPr>
        <w:t>EUT L 41, 15.2.2008, s. 15.</w:t>
      </w:r>
    </w:p>
  </w:footnote>
  <w:footnote w:id="9">
    <w:p w:rsidR="00375C33" w:rsidRPr="00680C4E" w:rsidRDefault="00375C33" w:rsidP="00680C4E">
      <w:pPr>
        <w:pStyle w:val="FootnoteText"/>
        <w:ind w:left="567" w:hanging="567"/>
        <w:rPr>
          <w:sz w:val="24"/>
          <w:lang w:val="sv-SE"/>
        </w:rPr>
      </w:pPr>
      <w:r w:rsidRPr="00200161">
        <w:rPr>
          <w:rStyle w:val="FootnoteReference"/>
          <w:sz w:val="24"/>
          <w:lang w:val="sv-SE"/>
        </w:rPr>
        <w:footnoteRef/>
      </w:r>
      <w:r w:rsidR="00680C4E" w:rsidRPr="00200161">
        <w:rPr>
          <w:sz w:val="24"/>
          <w:lang w:val="sv-SE"/>
        </w:rPr>
        <w:t xml:space="preserve"> </w:t>
      </w:r>
      <w:r w:rsidR="00680C4E" w:rsidRPr="00200161">
        <w:rPr>
          <w:sz w:val="24"/>
          <w:lang w:val="sv-SE"/>
        </w:rPr>
        <w:tab/>
      </w:r>
      <w:r w:rsidRPr="00200161">
        <w:rPr>
          <w:sz w:val="24"/>
          <w:lang w:val="sv-SE"/>
        </w:rPr>
        <w:t>Antagna texter, P9_TA(2024)</w:t>
      </w:r>
      <w:r w:rsidR="00200161" w:rsidRPr="00200161">
        <w:rPr>
          <w:sz w:val="24"/>
          <w:lang w:val="sv-SE"/>
        </w:rPr>
        <w:t>0280</w:t>
      </w:r>
      <w:r w:rsidRPr="00200161">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33" w:rsidRPr="00680C4E" w:rsidRDefault="00375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33" w:rsidRPr="00680C4E" w:rsidRDefault="00375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33" w:rsidRPr="00680C4E" w:rsidRDefault="00375C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4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4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SV"/>
    <w:docVar w:name="dvnumam" w:val="0"/>
    <w:docVar w:name="dvpe" w:val="753.529"/>
    <w:docVar w:name="dvrapporteur" w:val="Föredragande: "/>
    <w:docVar w:name="dvtitre" w:val="Europaparlamentets beslut av den xx xx 2024 om ansvarsfrihet för genomförandet av budgeten för Euratoms försörjningsbyrå för budgetåret 2022(2023/2161(DEC))"/>
  </w:docVars>
  <w:rsids>
    <w:rsidRoot w:val="004F7D74"/>
    <w:rsid w:val="00002272"/>
    <w:rsid w:val="00017A38"/>
    <w:rsid w:val="00064002"/>
    <w:rsid w:val="000677B9"/>
    <w:rsid w:val="000831BA"/>
    <w:rsid w:val="000A42CC"/>
    <w:rsid w:val="000E7DD9"/>
    <w:rsid w:val="0010095E"/>
    <w:rsid w:val="00125B37"/>
    <w:rsid w:val="00187494"/>
    <w:rsid w:val="001F32AE"/>
    <w:rsid w:val="00200161"/>
    <w:rsid w:val="002767FF"/>
    <w:rsid w:val="002B18FE"/>
    <w:rsid w:val="002B5493"/>
    <w:rsid w:val="00343214"/>
    <w:rsid w:val="00361C00"/>
    <w:rsid w:val="00375C33"/>
    <w:rsid w:val="00395FA1"/>
    <w:rsid w:val="003E15D4"/>
    <w:rsid w:val="00411CCE"/>
    <w:rsid w:val="0041666E"/>
    <w:rsid w:val="00421060"/>
    <w:rsid w:val="00471C19"/>
    <w:rsid w:val="004867E3"/>
    <w:rsid w:val="00494A28"/>
    <w:rsid w:val="004C0004"/>
    <w:rsid w:val="004C5D52"/>
    <w:rsid w:val="004F7D74"/>
    <w:rsid w:val="0050519A"/>
    <w:rsid w:val="005072A1"/>
    <w:rsid w:val="00514517"/>
    <w:rsid w:val="00545827"/>
    <w:rsid w:val="00560270"/>
    <w:rsid w:val="005C2568"/>
    <w:rsid w:val="006037C0"/>
    <w:rsid w:val="006631B6"/>
    <w:rsid w:val="00680577"/>
    <w:rsid w:val="00680C4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8F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86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1A460"/>
  <w15:chartTrackingRefBased/>
  <w15:docId w15:val="{41F3E9F0-B149-46AF-9107-B80F31F57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5C3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75C33"/>
    <w:pPr>
      <w:spacing w:before="480" w:after="240"/>
    </w:pPr>
  </w:style>
  <w:style w:type="paragraph" w:customStyle="1" w:styleId="PageHeading">
    <w:name w:val="PageHeading"/>
    <w:basedOn w:val="Normal"/>
    <w:rsid w:val="00375C33"/>
    <w:pPr>
      <w:keepNext/>
      <w:spacing w:after="480"/>
      <w:jc w:val="center"/>
    </w:pPr>
    <w:rPr>
      <w:rFonts w:ascii="Arial" w:hAnsi="Arial" w:cs="Arial"/>
      <w:b/>
    </w:rPr>
  </w:style>
  <w:style w:type="paragraph" w:customStyle="1" w:styleId="NormalBold">
    <w:name w:val="NormalBold"/>
    <w:basedOn w:val="Normal"/>
    <w:rsid w:val="00375C33"/>
    <w:rPr>
      <w:b/>
    </w:rPr>
  </w:style>
  <w:style w:type="paragraph" w:customStyle="1" w:styleId="NormalHanging12a">
    <w:name w:val="NormalHanging12a"/>
    <w:basedOn w:val="Normal"/>
    <w:link w:val="NormalHanging12aChar"/>
    <w:rsid w:val="00375C33"/>
    <w:pPr>
      <w:spacing w:after="240"/>
      <w:ind w:left="567" w:hanging="567"/>
    </w:pPr>
  </w:style>
  <w:style w:type="paragraph" w:customStyle="1" w:styleId="NormalCenter12a">
    <w:name w:val="NormalCenter12a"/>
    <w:basedOn w:val="Normal"/>
    <w:rsid w:val="00375C33"/>
    <w:pPr>
      <w:spacing w:after="240"/>
      <w:jc w:val="center"/>
    </w:pPr>
  </w:style>
  <w:style w:type="paragraph" w:styleId="Header">
    <w:name w:val="header"/>
    <w:basedOn w:val="Normal"/>
    <w:link w:val="HeaderChar"/>
    <w:rsid w:val="00375C33"/>
    <w:pPr>
      <w:tabs>
        <w:tab w:val="center" w:pos="4513"/>
        <w:tab w:val="right" w:pos="9026"/>
      </w:tabs>
    </w:pPr>
  </w:style>
  <w:style w:type="character" w:customStyle="1" w:styleId="HeaderChar">
    <w:name w:val="Header Char"/>
    <w:basedOn w:val="DefaultParagraphFont"/>
    <w:link w:val="Header"/>
    <w:rsid w:val="00375C33"/>
    <w:rPr>
      <w:sz w:val="24"/>
      <w:lang w:val="sv-SE"/>
    </w:rPr>
  </w:style>
  <w:style w:type="paragraph" w:customStyle="1" w:styleId="EPFooter">
    <w:name w:val="EPFooter"/>
    <w:basedOn w:val="Normal"/>
    <w:rsid w:val="00375C3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75C33"/>
    <w:rPr>
      <w:sz w:val="24"/>
      <w:lang w:val="sv-SE"/>
    </w:rPr>
  </w:style>
  <w:style w:type="paragraph" w:styleId="BalloonText">
    <w:name w:val="Balloon Text"/>
    <w:basedOn w:val="Normal"/>
    <w:link w:val="BalloonTextChar"/>
    <w:rsid w:val="00CA68F3"/>
    <w:rPr>
      <w:rFonts w:ascii="Segoe UI" w:hAnsi="Segoe UI" w:cs="Segoe UI"/>
      <w:sz w:val="18"/>
      <w:szCs w:val="18"/>
    </w:rPr>
  </w:style>
  <w:style w:type="character" w:customStyle="1" w:styleId="BalloonTextChar">
    <w:name w:val="Balloon Text Char"/>
    <w:basedOn w:val="DefaultParagraphFont"/>
    <w:link w:val="BalloonText"/>
    <w:rsid w:val="00CA68F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DA91-C6FE-47B9-9C58-7131E79B5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2435</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2024-04-11T16:19:00Z</dcterms:created>
  <dcterms:modified xsi:type="dcterms:W3CDTF">2024-04-11T16:19:00Z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A9-0108/2024</vt:lpwstr>
  </property>
  <property fmtid="{D5CDD505-2E9C-101B-9397-08002B2CF9AE}" pid="4" name="&lt;Type&gt;">
    <vt:lpwstr>RR</vt:lpwstr>
  </property>
</Properties>
</file>