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3C5D" w:rsidTr="0010095E">
        <w:trPr>
          <w:trHeight w:hRule="exact" w:val="1418"/>
        </w:trPr>
        <w:tc>
          <w:tcPr>
            <w:tcW w:w="6804" w:type="dxa"/>
            <w:shd w:val="clear" w:color="auto" w:fill="auto"/>
            <w:vAlign w:val="center"/>
          </w:tcPr>
          <w:p w:rsidR="00751A4A" w:rsidRPr="008B3C5D" w:rsidRDefault="00DC5B0F" w:rsidP="0010095E">
            <w:pPr>
              <w:pStyle w:val="EPName"/>
            </w:pPr>
            <w:r>
              <w:t>Е</w:t>
            </w:r>
            <w:r w:rsidRPr="008B3C5D">
              <w:t>вропейски</w:t>
            </w:r>
            <w:r w:rsidR="003D1704" w:rsidRPr="008B3C5D">
              <w:t xml:space="preserve"> парламент</w:t>
            </w:r>
          </w:p>
          <w:p w:rsidR="00751A4A" w:rsidRPr="008B3C5D" w:rsidRDefault="00DC5B0F" w:rsidP="00756632">
            <w:pPr>
              <w:pStyle w:val="EPTerm"/>
              <w:rPr>
                <w:rStyle w:val="HideTWBExt"/>
                <w:noProof w:val="0"/>
                <w:vanish w:val="0"/>
                <w:color w:val="auto"/>
              </w:rPr>
            </w:pPr>
            <w:r>
              <w:t>2019 – </w:t>
            </w:r>
            <w:r w:rsidR="00817416" w:rsidRPr="008B3C5D">
              <w:t>2024</w:t>
            </w:r>
          </w:p>
        </w:tc>
        <w:tc>
          <w:tcPr>
            <w:tcW w:w="2268" w:type="dxa"/>
            <w:shd w:val="clear" w:color="auto" w:fill="auto"/>
          </w:tcPr>
          <w:p w:rsidR="00751A4A" w:rsidRPr="008B3C5D" w:rsidRDefault="00187494" w:rsidP="0010095E">
            <w:pPr>
              <w:pStyle w:val="EPLogo"/>
            </w:pPr>
            <w:r w:rsidRPr="008B3C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3C5D" w:rsidRDefault="00D058B8" w:rsidP="004C5D52">
      <w:pPr>
        <w:pStyle w:val="LineTop"/>
      </w:pPr>
    </w:p>
    <w:p w:rsidR="00680577" w:rsidRPr="008B3C5D" w:rsidRDefault="003D1704" w:rsidP="00680577">
      <w:pPr>
        <w:pStyle w:val="EPBodyTA1"/>
      </w:pPr>
      <w:r w:rsidRPr="008B3C5D">
        <w:t>ПРИЕТИ ТЕКСТОВЕ</w:t>
      </w:r>
    </w:p>
    <w:p w:rsidR="00D058B8" w:rsidRPr="008B3C5D" w:rsidRDefault="00D058B8" w:rsidP="00D058B8">
      <w:pPr>
        <w:pStyle w:val="LineBottom"/>
      </w:pPr>
    </w:p>
    <w:p w:rsidR="003D1704" w:rsidRPr="008B3C5D" w:rsidRDefault="003D1704" w:rsidP="003D1704">
      <w:pPr>
        <w:pStyle w:val="ATHeading1"/>
      </w:pPr>
      <w:bookmarkStart w:id="0" w:name="TANumber"/>
      <w:r w:rsidRPr="008B3C5D">
        <w:t>P9_TA(2024)0</w:t>
      </w:r>
      <w:r w:rsidR="00020F57">
        <w:rPr>
          <w:lang w:val="en-GB"/>
        </w:rPr>
        <w:t>26</w:t>
      </w:r>
      <w:r w:rsidRPr="008B3C5D">
        <w:t>0</w:t>
      </w:r>
      <w:bookmarkStart w:id="1" w:name="_GoBack"/>
      <w:bookmarkEnd w:id="0"/>
      <w:bookmarkEnd w:id="1"/>
    </w:p>
    <w:p w:rsidR="003D1704" w:rsidRPr="008B3C5D" w:rsidRDefault="003D1704" w:rsidP="003D1704">
      <w:pPr>
        <w:pStyle w:val="ATHeading2"/>
      </w:pPr>
      <w:bookmarkStart w:id="2" w:name="title"/>
      <w:r w:rsidRPr="008B3C5D">
        <w:t>Освобождаване от отговорност във връзка с изпълнението на бюджета за 2022 г.: Агенция на Европейския съюз за сътрудничество в областта на правоприлагането (Европол)</w:t>
      </w:r>
      <w:bookmarkEnd w:id="2"/>
    </w:p>
    <w:p w:rsidR="003D1704" w:rsidRPr="008B3C5D" w:rsidRDefault="003D1704" w:rsidP="003D1704">
      <w:pPr>
        <w:rPr>
          <w:i/>
          <w:vanish/>
        </w:rPr>
      </w:pPr>
      <w:r w:rsidRPr="008B3C5D">
        <w:rPr>
          <w:i/>
        </w:rPr>
        <w:fldChar w:fldCharType="begin"/>
      </w:r>
      <w:r w:rsidRPr="008B3C5D">
        <w:rPr>
          <w:i/>
        </w:rPr>
        <w:instrText xml:space="preserve"> TC"(</w:instrText>
      </w:r>
      <w:bookmarkStart w:id="3" w:name="DocNumber"/>
      <w:r w:rsidRPr="008B3C5D">
        <w:rPr>
          <w:i/>
        </w:rPr>
        <w:instrText>A9-0119/2024</w:instrText>
      </w:r>
      <w:bookmarkEnd w:id="3"/>
      <w:r w:rsidRPr="008B3C5D">
        <w:rPr>
          <w:i/>
        </w:rPr>
        <w:instrText xml:space="preserve"> - Докладчик: Петри Сарвама)"\l3 \n&gt; \* MERGEFORMAT </w:instrText>
      </w:r>
      <w:r w:rsidRPr="008B3C5D">
        <w:rPr>
          <w:i/>
        </w:rPr>
        <w:fldChar w:fldCharType="end"/>
      </w:r>
    </w:p>
    <w:p w:rsidR="003D1704" w:rsidRPr="008B3C5D" w:rsidRDefault="003D1704" w:rsidP="003D1704">
      <w:pPr>
        <w:rPr>
          <w:vanish/>
        </w:rPr>
      </w:pPr>
      <w:bookmarkStart w:id="4" w:name="Commission"/>
      <w:r w:rsidRPr="008B3C5D">
        <w:rPr>
          <w:vanish/>
        </w:rPr>
        <w:t>Комисия по бюджетен контрол</w:t>
      </w:r>
      <w:bookmarkEnd w:id="4"/>
    </w:p>
    <w:p w:rsidR="003D1704" w:rsidRPr="008B3C5D" w:rsidRDefault="003D1704" w:rsidP="003D1704">
      <w:pPr>
        <w:rPr>
          <w:vanish/>
        </w:rPr>
      </w:pPr>
      <w:bookmarkStart w:id="5" w:name="PE"/>
      <w:r w:rsidRPr="008B3C5D">
        <w:rPr>
          <w:vanish/>
        </w:rPr>
        <w:t>PE753.540</w:t>
      </w:r>
      <w:bookmarkEnd w:id="5"/>
    </w:p>
    <w:p w:rsidR="003D1704" w:rsidRPr="008B3C5D" w:rsidRDefault="00975365" w:rsidP="00DC5B0F">
      <w:pPr>
        <w:pStyle w:val="ATHeading3"/>
      </w:pPr>
      <w:bookmarkStart w:id="6" w:name="Sujet"/>
      <w:r>
        <w:t xml:space="preserve">1. </w:t>
      </w:r>
      <w:r w:rsidR="003D1704" w:rsidRPr="008B3C5D">
        <w:t xml:space="preserve">Решение на Европейския парламент от </w:t>
      </w:r>
      <w:r>
        <w:t>11 април</w:t>
      </w:r>
      <w:r w:rsidRPr="008B3C5D">
        <w:t xml:space="preserve"> </w:t>
      </w:r>
      <w:r w:rsidR="003D1704" w:rsidRPr="008B3C5D">
        <w:t>2024 г. относно освобождаването от отговорност във връзка с изпълнението на бюджета на Агенцията на Европейския съюз за сътрудничество в областта на правоприлагането (Европол) за финансовата 2022 година</w:t>
      </w:r>
      <w:bookmarkEnd w:id="6"/>
      <w:r w:rsidR="003D1704" w:rsidRPr="008B3C5D">
        <w:t xml:space="preserve"> </w:t>
      </w:r>
      <w:bookmarkStart w:id="7" w:name="References"/>
      <w:r w:rsidR="003D1704" w:rsidRPr="008B3C5D">
        <w:t>(2023/2169(DEC))</w:t>
      </w:r>
      <w:bookmarkEnd w:id="7"/>
    </w:p>
    <w:p w:rsidR="00981621" w:rsidRPr="008B3C5D" w:rsidRDefault="00981621" w:rsidP="00981621">
      <w:pPr>
        <w:pStyle w:val="EPComma"/>
      </w:pPr>
      <w:bookmarkStart w:id="8" w:name="TextBodyBegin"/>
      <w:bookmarkEnd w:id="8"/>
      <w:r w:rsidRPr="008B3C5D">
        <w:rPr>
          <w:i/>
        </w:rPr>
        <w:t>Европейският парламент</w:t>
      </w:r>
      <w:r w:rsidRPr="008B3C5D">
        <w:t>,</w:t>
      </w:r>
    </w:p>
    <w:p w:rsidR="00981621" w:rsidRPr="008B3C5D" w:rsidRDefault="00981621" w:rsidP="00981621">
      <w:pPr>
        <w:pStyle w:val="NormalHanging12a"/>
      </w:pPr>
      <w:r w:rsidRPr="008B3C5D">
        <w:t>–</w:t>
      </w:r>
      <w:r w:rsidRPr="008B3C5D">
        <w:tab/>
        <w:t>като взе предвид окончателните годишни отчети на Агенцията на Европейския съюз за сътрудничество в областта на правоприлагането (Европол) за финансовата 2022 година,</w:t>
      </w:r>
    </w:p>
    <w:p w:rsidR="00981621" w:rsidRPr="008B3C5D" w:rsidRDefault="00981621" w:rsidP="00981621">
      <w:pPr>
        <w:pStyle w:val="NormalHanging12a"/>
      </w:pPr>
      <w:r w:rsidRPr="008B3C5D">
        <w:t>–</w:t>
      </w:r>
      <w:r w:rsidRPr="008B3C5D">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8B3C5D">
        <w:rPr>
          <w:rStyle w:val="FootnoteReference"/>
        </w:rPr>
        <w:footnoteReference w:id="1"/>
      </w:r>
      <w:r w:rsidRPr="008B3C5D">
        <w:t>,</w:t>
      </w:r>
    </w:p>
    <w:p w:rsidR="00981621" w:rsidRPr="008B3C5D" w:rsidRDefault="00981621" w:rsidP="00981621">
      <w:pPr>
        <w:pStyle w:val="NormalHanging12a"/>
      </w:pPr>
      <w:r w:rsidRPr="008B3C5D">
        <w:t>–</w:t>
      </w:r>
      <w:r w:rsidRPr="008B3C5D">
        <w:tab/>
        <w:t>като взе предвид декларацията за достоверност</w:t>
      </w:r>
      <w:r w:rsidRPr="008B3C5D">
        <w:rPr>
          <w:rStyle w:val="FootnoteReference"/>
        </w:rPr>
        <w:footnoteReference w:id="2"/>
      </w:r>
      <w:r w:rsidRPr="008B3C5D">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981621" w:rsidRPr="008B3C5D" w:rsidRDefault="00981621" w:rsidP="00981621">
      <w:pPr>
        <w:pStyle w:val="NormalHanging12a"/>
      </w:pPr>
      <w:r w:rsidRPr="008B3C5D">
        <w:t>–</w:t>
      </w:r>
      <w:r w:rsidRPr="008B3C5D">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AA1892" w:rsidRPr="00C43448">
        <w:t>0</w:t>
      </w:r>
      <w:r w:rsidR="00AA1892">
        <w:t>6180</w:t>
      </w:r>
      <w:r w:rsidRPr="008B3C5D">
        <w:t>/2024 – C9</w:t>
      </w:r>
      <w:r w:rsidRPr="008B3C5D">
        <w:noBreakHyphen/>
      </w:r>
      <w:r w:rsidR="00AA1892">
        <w:t>0107</w:t>
      </w:r>
      <w:r w:rsidRPr="008B3C5D">
        <w:t>/2024),</w:t>
      </w:r>
    </w:p>
    <w:p w:rsidR="00981621" w:rsidRPr="008B3C5D" w:rsidRDefault="00981621" w:rsidP="00981621">
      <w:pPr>
        <w:pStyle w:val="NormalHanging12a"/>
      </w:pPr>
      <w:r w:rsidRPr="008B3C5D">
        <w:t>–</w:t>
      </w:r>
      <w:r w:rsidRPr="008B3C5D">
        <w:tab/>
        <w:t>като взе предвид член 319 от Договора за функционирането на Европейския съюз,</w:t>
      </w:r>
    </w:p>
    <w:p w:rsidR="00981621" w:rsidRPr="008B3C5D" w:rsidRDefault="00981621" w:rsidP="00981621">
      <w:pPr>
        <w:pStyle w:val="NormalHanging12a"/>
      </w:pPr>
      <w:r w:rsidRPr="008B3C5D">
        <w:t>–</w:t>
      </w:r>
      <w:r w:rsidRPr="008B3C5D">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w:t>
      </w:r>
      <w:r w:rsidRPr="008B3C5D">
        <w:lastRenderedPageBreak/>
        <w:t>за отмяна на Регламент (ЕС, Евратом) № 966/2012</w:t>
      </w:r>
      <w:r w:rsidRPr="008B3C5D">
        <w:rPr>
          <w:rStyle w:val="FootnoteReference"/>
        </w:rPr>
        <w:footnoteReference w:id="3"/>
      </w:r>
      <w:r w:rsidRPr="008B3C5D">
        <w:t>, и по-специално член 70 от него,</w:t>
      </w:r>
    </w:p>
    <w:p w:rsidR="00981621" w:rsidRPr="008B3C5D" w:rsidRDefault="00981621" w:rsidP="00981621">
      <w:pPr>
        <w:pStyle w:val="NormalHanging12a"/>
      </w:pPr>
      <w:r w:rsidRPr="008B3C5D">
        <w:t>–</w:t>
      </w:r>
      <w:r w:rsidRPr="008B3C5D">
        <w:tab/>
        <w:t>като взе предвид Регламент (ЕС) 2016/794 на Европейския парламент и на Съвета от 11 май 2016 г. относно Агенцията на Европейския съюз за сътрудничество в областта на правоприлагането (Европол) и за замяна и отмяна на решения 2009/371/ПВР, 2009/934/ПВР, 2009/935/ПВР, 2009/936/ПВР и 2009/968/ПВР на Съвета</w:t>
      </w:r>
      <w:r w:rsidRPr="008B3C5D">
        <w:rPr>
          <w:rStyle w:val="FootnoteReference"/>
        </w:rPr>
        <w:footnoteReference w:id="4"/>
      </w:r>
      <w:r w:rsidRPr="008B3C5D">
        <w:t>, и по-специално член 60 от него,</w:t>
      </w:r>
    </w:p>
    <w:p w:rsidR="00981621" w:rsidRPr="008B3C5D" w:rsidRDefault="00981621" w:rsidP="00981621">
      <w:pPr>
        <w:pStyle w:val="NormalHanging12a"/>
      </w:pPr>
      <w:r w:rsidRPr="008B3C5D">
        <w:t>–</w:t>
      </w:r>
      <w:r w:rsidRPr="008B3C5D">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8B3C5D">
        <w:rPr>
          <w:rStyle w:val="FootnoteReference"/>
        </w:rPr>
        <w:footnoteReference w:id="5"/>
      </w:r>
      <w:r w:rsidRPr="008B3C5D">
        <w:t>, и по-специално член 105 от него,</w:t>
      </w:r>
    </w:p>
    <w:p w:rsidR="00981621" w:rsidRPr="008B3C5D" w:rsidRDefault="00981621" w:rsidP="00981621">
      <w:pPr>
        <w:pStyle w:val="NormalHanging12a"/>
      </w:pPr>
      <w:r w:rsidRPr="008B3C5D">
        <w:t>–</w:t>
      </w:r>
      <w:r w:rsidRPr="008B3C5D">
        <w:tab/>
        <w:t>като взе предвид член 100 и приложение V към своя Правилник за дейността,</w:t>
      </w:r>
    </w:p>
    <w:p w:rsidR="00981621" w:rsidRPr="008B3C5D" w:rsidRDefault="00981621" w:rsidP="00981621">
      <w:pPr>
        <w:pStyle w:val="NormalHanging12a"/>
      </w:pPr>
      <w:r w:rsidRPr="008B3C5D">
        <w:t>–</w:t>
      </w:r>
      <w:r w:rsidRPr="008B3C5D">
        <w:tab/>
        <w:t>като взе предвид становището на комисията по граждански свободи, правосъдие и вътрешни работи,</w:t>
      </w:r>
    </w:p>
    <w:p w:rsidR="00981621" w:rsidRPr="008B3C5D" w:rsidRDefault="00981621" w:rsidP="00981621">
      <w:pPr>
        <w:pStyle w:val="NormalHanging12a"/>
      </w:pPr>
      <w:r w:rsidRPr="008B3C5D">
        <w:t>–</w:t>
      </w:r>
      <w:r w:rsidRPr="008B3C5D">
        <w:tab/>
        <w:t>като взе предвид доклада на комисията по бюджетен контрол (A9-0119/2024),</w:t>
      </w:r>
    </w:p>
    <w:p w:rsidR="00981621" w:rsidRPr="008B3C5D" w:rsidRDefault="00981621" w:rsidP="00981621">
      <w:pPr>
        <w:pStyle w:val="NormalHanging12a"/>
      </w:pPr>
      <w:r w:rsidRPr="008B3C5D">
        <w:t>1.</w:t>
      </w:r>
      <w:r w:rsidRPr="008B3C5D">
        <w:tab/>
        <w:t>освобождава от отговорност изпълнителния директор на Агенцията на Европейския съюз за сътрудничество в областта на правоприлагането (Европол) във връзка с изпълнението на бюджета на Агенцията за финансовата 2022 година;</w:t>
      </w:r>
    </w:p>
    <w:p w:rsidR="00981621" w:rsidRPr="008B3C5D" w:rsidRDefault="00981621" w:rsidP="00981621">
      <w:pPr>
        <w:pStyle w:val="NormalHanging12a"/>
      </w:pPr>
      <w:r w:rsidRPr="008B3C5D">
        <w:t>2.</w:t>
      </w:r>
      <w:r w:rsidRPr="008B3C5D">
        <w:tab/>
        <w:t>представя своите забележки в резолюцията по-долу;</w:t>
      </w:r>
    </w:p>
    <w:p w:rsidR="00981621" w:rsidRPr="008B3C5D" w:rsidRDefault="00981621" w:rsidP="00981621">
      <w:pPr>
        <w:pStyle w:val="NormalHanging12a"/>
      </w:pPr>
      <w:r w:rsidRPr="008B3C5D">
        <w:t>3.</w:t>
      </w:r>
      <w:r w:rsidRPr="008B3C5D">
        <w:tab/>
        <w:t xml:space="preserve">възлага на своя председател да предаде настоящото решение, както и резолюцията, която е неразделна част от него, съответно на изпълнителния директор на Агенцията на Европейския съюз за сътрудничество в областта на правоприлагането (Европол), на Съвета, Комисията и Сметната палата и да осигури публикуването им в </w:t>
      </w:r>
      <w:r w:rsidRPr="008B3C5D">
        <w:rPr>
          <w:i/>
        </w:rPr>
        <w:t>Официален вестник на Европейския съюз</w:t>
      </w:r>
      <w:r w:rsidRPr="008B3C5D">
        <w:t xml:space="preserve"> (серия L).</w:t>
      </w:r>
    </w:p>
    <w:p w:rsidR="00981621" w:rsidRPr="008B3C5D" w:rsidRDefault="00981621" w:rsidP="00981621"/>
    <w:p w:rsidR="00981621" w:rsidRPr="008B3C5D" w:rsidRDefault="00981621" w:rsidP="00981621">
      <w:pPr>
        <w:widowControl/>
        <w:rPr>
          <w:rFonts w:ascii="Arial" w:hAnsi="Arial" w:cs="Arial"/>
          <w:b/>
        </w:rPr>
        <w:sectPr w:rsidR="00981621" w:rsidRPr="008B3C5D" w:rsidSect="008B3C5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981621" w:rsidRPr="008B3C5D" w:rsidRDefault="00981621" w:rsidP="00DC5B0F">
      <w:pPr>
        <w:pStyle w:val="ATHeading3"/>
      </w:pPr>
      <w:bookmarkStart w:id="9" w:name="_Toc146794872"/>
      <w:bookmarkStart w:id="10" w:name="_Toc161854256"/>
      <w:r w:rsidRPr="008B3C5D">
        <w:lastRenderedPageBreak/>
        <w:t xml:space="preserve">2. </w:t>
      </w:r>
      <w:r w:rsidR="00DC5B0F" w:rsidRPr="008B3C5D">
        <w:t>Решение на Европейския парламент</w:t>
      </w:r>
      <w:bookmarkEnd w:id="9"/>
      <w:bookmarkEnd w:id="10"/>
      <w:r w:rsidR="00975365" w:rsidRPr="008B3C5D">
        <w:t xml:space="preserve"> от </w:t>
      </w:r>
      <w:r w:rsidR="00975365">
        <w:t>11 април</w:t>
      </w:r>
      <w:r w:rsidR="00975365" w:rsidRPr="008B3C5D">
        <w:t xml:space="preserve"> 2024 г.</w:t>
      </w:r>
      <w:r w:rsidR="00DC5B0F">
        <w:t xml:space="preserve"> </w:t>
      </w:r>
      <w:r w:rsidRPr="008B3C5D">
        <w:t>относно приключването на сметките на Агенцията на Европейския съюз за сътрудничество в областта на правоприлагането (Европол) за финансовата 2022 година</w:t>
      </w:r>
      <w:r w:rsidR="00DC5B0F">
        <w:t xml:space="preserve"> </w:t>
      </w:r>
      <w:r w:rsidRPr="008B3C5D">
        <w:t>(2023/2169(DEC))</w:t>
      </w:r>
    </w:p>
    <w:p w:rsidR="00981621" w:rsidRPr="008B3C5D" w:rsidRDefault="00981621" w:rsidP="00981621">
      <w:pPr>
        <w:pStyle w:val="EPComma"/>
      </w:pPr>
      <w:r w:rsidRPr="008B3C5D">
        <w:rPr>
          <w:i/>
        </w:rPr>
        <w:t>Европейският парламент</w:t>
      </w:r>
      <w:r w:rsidRPr="008B3C5D">
        <w:t>,</w:t>
      </w:r>
    </w:p>
    <w:p w:rsidR="00981621" w:rsidRPr="008B3C5D" w:rsidRDefault="00981621" w:rsidP="00981621">
      <w:pPr>
        <w:pStyle w:val="NormalHanging12a"/>
      </w:pPr>
      <w:r w:rsidRPr="008B3C5D">
        <w:t>–</w:t>
      </w:r>
      <w:r w:rsidRPr="008B3C5D">
        <w:tab/>
        <w:t>като взе предвид окончателните годишни отчети на Агенцията на Европейския съюз за сътрудничество в областта на правоприлагането (Европол) за финансовата 2022 година,</w:t>
      </w:r>
    </w:p>
    <w:p w:rsidR="00981621" w:rsidRPr="008B3C5D" w:rsidRDefault="00981621" w:rsidP="00981621">
      <w:pPr>
        <w:pStyle w:val="NormalHanging12a"/>
      </w:pPr>
      <w:r w:rsidRPr="008B3C5D">
        <w:t>–</w:t>
      </w:r>
      <w:r w:rsidRPr="008B3C5D">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8B3C5D">
        <w:rPr>
          <w:rStyle w:val="FootnoteReference"/>
        </w:rPr>
        <w:footnoteReference w:id="6"/>
      </w:r>
      <w:r w:rsidRPr="008B3C5D">
        <w:t>,</w:t>
      </w:r>
    </w:p>
    <w:p w:rsidR="00981621" w:rsidRPr="008B3C5D" w:rsidRDefault="00981621" w:rsidP="00981621">
      <w:pPr>
        <w:pStyle w:val="NormalHanging12a"/>
      </w:pPr>
      <w:r w:rsidRPr="008B3C5D">
        <w:t>–</w:t>
      </w:r>
      <w:r w:rsidRPr="008B3C5D">
        <w:tab/>
        <w:t>като взе предвид декларацията за достоверност</w:t>
      </w:r>
      <w:r w:rsidRPr="008B3C5D">
        <w:rPr>
          <w:rStyle w:val="FootnoteReference"/>
        </w:rPr>
        <w:footnoteReference w:id="7"/>
      </w:r>
      <w:r w:rsidRPr="008B3C5D">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981621" w:rsidRPr="008B3C5D" w:rsidRDefault="00981621" w:rsidP="00981621">
      <w:pPr>
        <w:pStyle w:val="NormalHanging12a"/>
      </w:pPr>
      <w:r w:rsidRPr="008B3C5D">
        <w:t>–</w:t>
      </w:r>
      <w:r w:rsidRPr="008B3C5D">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AA1892" w:rsidRPr="00C43448">
        <w:t>0</w:t>
      </w:r>
      <w:r w:rsidR="00AA1892">
        <w:t>6180</w:t>
      </w:r>
      <w:r w:rsidRPr="008B3C5D">
        <w:t>/2024 – C9</w:t>
      </w:r>
      <w:r w:rsidRPr="008B3C5D">
        <w:noBreakHyphen/>
      </w:r>
      <w:r w:rsidR="00AA1892">
        <w:t>0107</w:t>
      </w:r>
      <w:r w:rsidRPr="008B3C5D">
        <w:t>/2024),</w:t>
      </w:r>
    </w:p>
    <w:p w:rsidR="00981621" w:rsidRPr="008B3C5D" w:rsidRDefault="00981621" w:rsidP="00981621">
      <w:pPr>
        <w:pStyle w:val="NormalHanging12a"/>
      </w:pPr>
      <w:r w:rsidRPr="008B3C5D">
        <w:t>–</w:t>
      </w:r>
      <w:r w:rsidRPr="008B3C5D">
        <w:tab/>
        <w:t>като взе предвид член 319 от Договора за функционирането на Европейския съюз,</w:t>
      </w:r>
    </w:p>
    <w:p w:rsidR="00981621" w:rsidRPr="008B3C5D" w:rsidRDefault="00981621" w:rsidP="00981621">
      <w:pPr>
        <w:pStyle w:val="NormalHanging12a"/>
      </w:pPr>
      <w:r w:rsidRPr="008B3C5D">
        <w:t>–</w:t>
      </w:r>
      <w:r w:rsidRPr="008B3C5D">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8B3C5D">
        <w:rPr>
          <w:rStyle w:val="FootnoteReference"/>
        </w:rPr>
        <w:footnoteReference w:id="8"/>
      </w:r>
      <w:r w:rsidRPr="008B3C5D">
        <w:t>, и по-специално член 70 от него,</w:t>
      </w:r>
    </w:p>
    <w:p w:rsidR="00981621" w:rsidRPr="008B3C5D" w:rsidRDefault="00981621" w:rsidP="00981621">
      <w:pPr>
        <w:pStyle w:val="NormalHanging12a"/>
      </w:pPr>
      <w:r w:rsidRPr="008B3C5D">
        <w:t>–</w:t>
      </w:r>
      <w:r w:rsidRPr="008B3C5D">
        <w:tab/>
        <w:t>като взе предвид Регламент (ЕС) 2016/794 на Европейския парламент и на Съвета от 11 май 2016 г. относно Агенцията на Европейския съюз за сътрудничество в областта на правоприлагането (Европол) и за замяна и отмяна на решения 2009/371/ПВР, 2009/934/ПВР, 2009/935/ПВР, 2009/936/ПВР и 2009/968/ПВР на Съвета</w:t>
      </w:r>
      <w:r w:rsidRPr="008B3C5D">
        <w:rPr>
          <w:rStyle w:val="FootnoteReference"/>
        </w:rPr>
        <w:footnoteReference w:id="9"/>
      </w:r>
      <w:r w:rsidRPr="008B3C5D">
        <w:t>, и по-специално член 60 от него,</w:t>
      </w:r>
    </w:p>
    <w:p w:rsidR="00981621" w:rsidRPr="008B3C5D" w:rsidRDefault="00981621" w:rsidP="00981621">
      <w:pPr>
        <w:pStyle w:val="NormalHanging12a"/>
      </w:pPr>
      <w:r w:rsidRPr="008B3C5D">
        <w:t>–</w:t>
      </w:r>
      <w:r w:rsidRPr="008B3C5D">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8B3C5D">
        <w:rPr>
          <w:rStyle w:val="FootnoteReference"/>
        </w:rPr>
        <w:footnoteReference w:id="10"/>
      </w:r>
      <w:r w:rsidRPr="008B3C5D">
        <w:t>, и по-специално член 105 от него,</w:t>
      </w:r>
    </w:p>
    <w:p w:rsidR="00981621" w:rsidRPr="008B3C5D" w:rsidRDefault="00981621" w:rsidP="00981621">
      <w:pPr>
        <w:pStyle w:val="NormalHanging12a"/>
      </w:pPr>
      <w:r w:rsidRPr="008B3C5D">
        <w:t>–</w:t>
      </w:r>
      <w:r w:rsidRPr="008B3C5D">
        <w:tab/>
        <w:t>като взе предвид член 100 и приложение V към своя Правилник за дейността,</w:t>
      </w:r>
    </w:p>
    <w:p w:rsidR="00981621" w:rsidRPr="008B3C5D" w:rsidRDefault="00981621" w:rsidP="00981621">
      <w:pPr>
        <w:pStyle w:val="NormalHanging12a"/>
      </w:pPr>
      <w:r w:rsidRPr="008B3C5D">
        <w:lastRenderedPageBreak/>
        <w:t>–</w:t>
      </w:r>
      <w:r w:rsidRPr="008B3C5D">
        <w:tab/>
        <w:t>като взе предвид становището на комисията по граждански свободи, правосъдие и вътрешни работи,</w:t>
      </w:r>
    </w:p>
    <w:p w:rsidR="00981621" w:rsidRPr="008B3C5D" w:rsidRDefault="00981621" w:rsidP="00981621">
      <w:pPr>
        <w:pStyle w:val="NormalHanging12a"/>
      </w:pPr>
      <w:r w:rsidRPr="008B3C5D">
        <w:t>–</w:t>
      </w:r>
      <w:r w:rsidRPr="008B3C5D">
        <w:tab/>
        <w:t>като взе предвид доклада на комисията по бюджетен контрол (A9-0119/2024),</w:t>
      </w:r>
    </w:p>
    <w:p w:rsidR="00981621" w:rsidRPr="008B3C5D" w:rsidRDefault="00981621" w:rsidP="00981621">
      <w:pPr>
        <w:pStyle w:val="NormalHanging12a"/>
      </w:pPr>
      <w:r w:rsidRPr="008B3C5D">
        <w:t>1.</w:t>
      </w:r>
      <w:r w:rsidRPr="008B3C5D">
        <w:tab/>
        <w:t>одобрява приключването на сметките на Агенцията на Европейския съюз за сътрудничество в областта на правоприлагането (Европол) за финансовата 2022 година;</w:t>
      </w:r>
    </w:p>
    <w:p w:rsidR="00981621" w:rsidRPr="008B3C5D" w:rsidRDefault="00981621" w:rsidP="00981621">
      <w:pPr>
        <w:pStyle w:val="NormalHanging12a"/>
      </w:pPr>
      <w:r w:rsidRPr="008B3C5D">
        <w:t>2.</w:t>
      </w:r>
      <w:r w:rsidRPr="008B3C5D">
        <w:tab/>
        <w:t xml:space="preserve">възлага на своя председател да предаде настоящото решение съответно на изпълнителния директор на Агенцията на Европейския съюз за сътрудничество в областта на правоприлагането (Европол), на Съвета, Комисията и Сметната палата и да осигури публикуването му в </w:t>
      </w:r>
      <w:r w:rsidRPr="008B3C5D">
        <w:rPr>
          <w:i/>
        </w:rPr>
        <w:t>Официален вестник на Европейския съюз</w:t>
      </w:r>
      <w:r w:rsidRPr="008B3C5D">
        <w:t xml:space="preserve"> (серия L).</w:t>
      </w:r>
    </w:p>
    <w:p w:rsidR="00981621" w:rsidRPr="008B3C5D" w:rsidRDefault="00981621" w:rsidP="00981621"/>
    <w:p w:rsidR="00981621" w:rsidRPr="008B3C5D" w:rsidRDefault="00981621" w:rsidP="00981621">
      <w:pPr>
        <w:widowControl/>
        <w:rPr>
          <w:rFonts w:ascii="Arial" w:hAnsi="Arial" w:cs="Arial"/>
          <w:b/>
        </w:rPr>
        <w:sectPr w:rsidR="00981621" w:rsidRPr="008B3C5D" w:rsidSect="008B3C5D">
          <w:footnotePr>
            <w:numRestart w:val="eachPage"/>
          </w:footnotePr>
          <w:endnotePr>
            <w:numFmt w:val="decimal"/>
          </w:endnotePr>
          <w:pgSz w:w="11906" w:h="16838"/>
          <w:pgMar w:top="1134" w:right="1418" w:bottom="1418" w:left="1418" w:header="567" w:footer="567" w:gutter="0"/>
          <w:cols w:space="720"/>
          <w:docGrid w:linePitch="326"/>
        </w:sectPr>
      </w:pPr>
    </w:p>
    <w:p w:rsidR="00981621" w:rsidRPr="008B3C5D" w:rsidRDefault="00981621" w:rsidP="00DC5B0F">
      <w:pPr>
        <w:pStyle w:val="ATHeading3"/>
      </w:pPr>
      <w:bookmarkStart w:id="11" w:name="_Toc146794873"/>
      <w:bookmarkStart w:id="12" w:name="_Toc161854257"/>
      <w:r w:rsidRPr="008B3C5D">
        <w:lastRenderedPageBreak/>
        <w:t xml:space="preserve">3. </w:t>
      </w:r>
      <w:r w:rsidR="00DC5B0F" w:rsidRPr="008B3C5D">
        <w:t>Резолюция на Европейския парламент</w:t>
      </w:r>
      <w:r w:rsidR="00975365" w:rsidRPr="008B3C5D">
        <w:t xml:space="preserve"> от </w:t>
      </w:r>
      <w:r w:rsidR="00975365">
        <w:t>11 април</w:t>
      </w:r>
      <w:r w:rsidR="00975365" w:rsidRPr="008B3C5D">
        <w:t xml:space="preserve"> 2024 г.</w:t>
      </w:r>
      <w:r w:rsidRPr="008B3C5D">
        <w:t>,</w:t>
      </w:r>
      <w:bookmarkEnd w:id="11"/>
      <w:bookmarkEnd w:id="12"/>
      <w:r w:rsidR="00DC5B0F">
        <w:t xml:space="preserve"> </w:t>
      </w:r>
      <w:r w:rsidRPr="008B3C5D">
        <w:t>съдържащ</w:t>
      </w:r>
      <w:r w:rsidR="00975365">
        <w:t>а</w:t>
      </w:r>
      <w:r w:rsidRPr="008B3C5D">
        <w:t xml:space="preserve"> забележките, които са неразделна част от решението за освобождаване от отговорност във връзка с изпълнението на бюджета на Агенцията на Европейския съюз за сътрудничество в областта на правоприлагането (Европол) за финансовата 2022 година</w:t>
      </w:r>
      <w:r w:rsidR="00DC5B0F">
        <w:t xml:space="preserve"> </w:t>
      </w:r>
      <w:r w:rsidRPr="008B3C5D">
        <w:t>(2023/2169(DEC))</w:t>
      </w:r>
    </w:p>
    <w:p w:rsidR="00981621" w:rsidRPr="008B3C5D" w:rsidRDefault="00981621" w:rsidP="00981621">
      <w:pPr>
        <w:pStyle w:val="EPComma"/>
      </w:pPr>
      <w:r w:rsidRPr="008B3C5D">
        <w:rPr>
          <w:i/>
        </w:rPr>
        <w:t>Европейският парламент</w:t>
      </w:r>
      <w:r w:rsidRPr="008B3C5D">
        <w:t>,</w:t>
      </w:r>
    </w:p>
    <w:p w:rsidR="00981621" w:rsidRPr="008B3C5D" w:rsidRDefault="00981621" w:rsidP="00981621">
      <w:pPr>
        <w:pStyle w:val="NormalHanging12a"/>
      </w:pPr>
      <w:r w:rsidRPr="008B3C5D">
        <w:t>–</w:t>
      </w:r>
      <w:r w:rsidRPr="008B3C5D">
        <w:tab/>
        <w:t>като взе предвид своето решение за освобождаване от отговорност във връзка с изпълнението на бюджета на Агенцията на Европейския съюз за сътрудничество в областта на правоприлагането (Европол) за финансовата 2022 година,</w:t>
      </w:r>
    </w:p>
    <w:p w:rsidR="00981621" w:rsidRPr="008B3C5D" w:rsidRDefault="00981621" w:rsidP="00981621">
      <w:pPr>
        <w:pStyle w:val="NormalHanging12a"/>
      </w:pPr>
      <w:r w:rsidRPr="008B3C5D">
        <w:t>–</w:t>
      </w:r>
      <w:r w:rsidRPr="008B3C5D">
        <w:tab/>
        <w:t>като взе предвид член 100 и приложение V към своя Правилник за дейността,</w:t>
      </w:r>
    </w:p>
    <w:p w:rsidR="00981621" w:rsidRPr="008B3C5D" w:rsidRDefault="00981621" w:rsidP="00981621">
      <w:pPr>
        <w:pStyle w:val="NormalHanging12a"/>
      </w:pPr>
      <w:r w:rsidRPr="008B3C5D">
        <w:t>–</w:t>
      </w:r>
      <w:r w:rsidRPr="008B3C5D">
        <w:tab/>
        <w:t>като взе предвид становището на комисията по граждански свободи, правосъдие и вътрешни работи,</w:t>
      </w:r>
    </w:p>
    <w:p w:rsidR="00981621" w:rsidRPr="008B3C5D" w:rsidRDefault="00981621" w:rsidP="00981621">
      <w:pPr>
        <w:pStyle w:val="NormalHanging12a"/>
      </w:pPr>
      <w:r w:rsidRPr="008B3C5D">
        <w:t>–</w:t>
      </w:r>
      <w:r w:rsidRPr="008B3C5D">
        <w:tab/>
        <w:t>като взе предвид доклада на комисията по бюджетен контрол (A9-0119/2024),</w:t>
      </w:r>
    </w:p>
    <w:p w:rsidR="00981621" w:rsidRPr="008B3C5D" w:rsidRDefault="00981621" w:rsidP="00981621">
      <w:pPr>
        <w:pStyle w:val="Normal12Hanging"/>
        <w:widowControl/>
        <w:rPr>
          <w:szCs w:val="24"/>
        </w:rPr>
      </w:pPr>
      <w:r w:rsidRPr="008B3C5D">
        <w:t>А.</w:t>
      </w:r>
      <w:r w:rsidRPr="008B3C5D">
        <w:tab/>
        <w:t>като има предвид, че според отчета за приходите и разходите</w:t>
      </w:r>
      <w:r w:rsidRPr="008B3C5D">
        <w:rPr>
          <w:szCs w:val="24"/>
          <w:vertAlign w:val="superscript"/>
        </w:rPr>
        <w:footnoteReference w:id="11"/>
      </w:r>
      <w:r w:rsidRPr="008B3C5D">
        <w:t xml:space="preserve"> на Агенцията на Европейския съюз за сътрудничество в областта на правоприлагането (Европол) („Агенцията“) нейният окончателен бюджет за финансовата 2022 година възлиза на 197 759 722 EUR, което представлява увеличение с 10,91% спрямо 2021 г.; като има предвид, че бюджетът на Агенцията се осигурява основно от бюджета на Съюза;</w:t>
      </w:r>
    </w:p>
    <w:p w:rsidR="00981621" w:rsidRPr="008B3C5D" w:rsidRDefault="00981621" w:rsidP="00981621">
      <w:pPr>
        <w:pStyle w:val="Normal12Hanging"/>
        <w:widowControl/>
        <w:rPr>
          <w:szCs w:val="24"/>
        </w:rPr>
      </w:pPr>
      <w:r w:rsidRPr="008B3C5D">
        <w:t>Б.</w:t>
      </w:r>
      <w:r w:rsidRPr="008B3C5D">
        <w:tab/>
        <w:t>като има предвид, че в своя доклад относно годишните отчети на Агенцията на Европейския съюз за сътрудничество в областта на правоприлагането (Европол) за финансовата 2022 година („доклада на Палатата“) Сметната палата („Палатата“) заявява, че е получила достатъчна увереност, че годишните отчети на Агенцията са надеждни и че свързаните с тях операции са законосъобразни и редовни;</w:t>
      </w:r>
    </w:p>
    <w:p w:rsidR="00981621" w:rsidRPr="008B3C5D" w:rsidRDefault="00981621" w:rsidP="00981621">
      <w:pPr>
        <w:pStyle w:val="Normal12Hanging"/>
        <w:widowControl/>
        <w:rPr>
          <w:b/>
          <w:i/>
          <w:szCs w:val="24"/>
        </w:rPr>
      </w:pPr>
      <w:r w:rsidRPr="008B3C5D">
        <w:rPr>
          <w:b/>
          <w:i/>
        </w:rPr>
        <w:t>Бюджетно и финансово управление</w:t>
      </w:r>
    </w:p>
    <w:p w:rsidR="00981621" w:rsidRPr="008B3C5D" w:rsidRDefault="00981621" w:rsidP="00981621">
      <w:pPr>
        <w:pStyle w:val="NormalHanging12a"/>
      </w:pPr>
      <w:r w:rsidRPr="008B3C5D">
        <w:t>1.</w:t>
      </w:r>
      <w:r w:rsidRPr="008B3C5D">
        <w:tab/>
        <w:t>отбелязва, че усилията за контрол на бюджета са довели до степен на изпълнение на бюджетните кредити за поети задължения от 96,62% през 2022 г., което представлява намаление с 2,10% спрямо 2021 г.; отбелязва, че степента на изпълнение на бюджетните кредити за плащания за текущата година е 79,73%, което представлява намаление с 3,78% спрямо 2021 г.; приветства усилията на Агенцията за допълнително намаляване на забавянията на нейните плащания от 32,8% през 2020 г. и 7,8% през 2021 г. на 7,2% през 2022 г.;</w:t>
      </w:r>
      <w:r w:rsidRPr="008B3C5D">
        <w:rPr>
          <w:b/>
          <w:i/>
        </w:rPr>
        <w:t xml:space="preserve"> </w:t>
      </w:r>
      <w:r w:rsidRPr="008B3C5D">
        <w:t>отбелязва обаче със загриженост, че все още продължава констатацията на Палатата, в която се подчертава, че Агенцията е изправена пред предизвикателства по отношение на просрочените плащания; споделя становището на Палатата, че тази слабост, която продължава да се наблюдава, създава риск за репутацията на Агенцията;</w:t>
      </w:r>
    </w:p>
    <w:p w:rsidR="00981621" w:rsidRPr="008B3C5D" w:rsidRDefault="00981621" w:rsidP="00981621">
      <w:pPr>
        <w:pStyle w:val="Normal12Hanging"/>
        <w:widowControl/>
        <w:rPr>
          <w:szCs w:val="24"/>
        </w:rPr>
      </w:pPr>
      <w:r w:rsidRPr="008B3C5D">
        <w:lastRenderedPageBreak/>
        <w:t>2.</w:t>
      </w:r>
      <w:r w:rsidRPr="008B3C5D">
        <w:tab/>
        <w:t>отбелязва ниската степен на изпълнение (85%) на средствата (C8), пренесени от 2021 г. към 2022 г., което води до неусвоена сума в размер на 3,8 милиона евро бюджетни кредити; отбелязва със загриженост, че бюджетните кредити, свързани с текущия бюджет, пренесени от 2022 г. към 2023 г., са на относително високо равнище от 17%, или 32,5 милиона евро; отбелязва също така възходяща тенденция през последните години (2020—2022 г.) по отношение на излишъка на Агенцията (бюджетен резултат) в края на финансовата година, като за 2022 г. този излишък възлиза на 10,3 милиона евро, което е над два пъти повече от същата цифра през 2021 г. (5,1 милиона евро); отбелязва, че според консолидирания годишен отчет за дейността на Агенцията за 2022 г. (КГОД) и доклада на Агенцията относно последващите действия във връзка с решението на Парламента за освобождаване от отговорност във връзка с изпълнението на бюджета на Агенцията за 2021 г., Агенцията е направила оценка на първопричините за високите равнища на излишък в края на финансовата година и за пренасянето на резултатите от изпълнението на бюджета; отбелязва в този смисъл, че Агенцията също е изготвила план за действие; призовава Агенцията да информира органа по освобождаване от отговорност за напредъка, постигнат по този въпрос;</w:t>
      </w:r>
    </w:p>
    <w:p w:rsidR="00981621" w:rsidRPr="008B3C5D" w:rsidRDefault="00981621" w:rsidP="00981621">
      <w:pPr>
        <w:pStyle w:val="Normal12Hanging"/>
        <w:widowControl/>
        <w:rPr>
          <w:szCs w:val="24"/>
        </w:rPr>
      </w:pPr>
      <w:r w:rsidRPr="008B3C5D">
        <w:t>3.</w:t>
      </w:r>
      <w:r w:rsidRPr="008B3C5D">
        <w:tab/>
        <w:t>отбелязва, че окончателният бюджет на Агенцията за 2022 г. е резултат от първо изменение, отнасящо се до 4,3 милиона евро за вноската на Дания за 2022 г., и второ изменение, отнасящо се до 1,1 милиона евро за споразуменията за финансов принос и споразуменията за нивото на обслужване (СНО);</w:t>
      </w:r>
    </w:p>
    <w:p w:rsidR="00981621" w:rsidRPr="008B3C5D" w:rsidRDefault="00981621" w:rsidP="00981621">
      <w:pPr>
        <w:pStyle w:val="Normal12Hanging"/>
        <w:widowControl/>
        <w:rPr>
          <w:b/>
          <w:i/>
          <w:szCs w:val="24"/>
        </w:rPr>
      </w:pPr>
      <w:r w:rsidRPr="008B3C5D">
        <w:rPr>
          <w:b/>
          <w:i/>
        </w:rPr>
        <w:t>Изпълнение</w:t>
      </w:r>
    </w:p>
    <w:p w:rsidR="00981621" w:rsidRPr="008B3C5D" w:rsidRDefault="00981621" w:rsidP="00981621">
      <w:pPr>
        <w:pStyle w:val="Normal12Hanging"/>
        <w:widowControl/>
        <w:rPr>
          <w:szCs w:val="24"/>
        </w:rPr>
      </w:pPr>
      <w:r w:rsidRPr="008B3C5D">
        <w:t>4.</w:t>
      </w:r>
      <w:r w:rsidRPr="008B3C5D">
        <w:tab/>
        <w:t>отбелязва със задоволство въз основа на КГОД, че Агенцията използва ключови показатели за ефективност и показатели за работната програма, за да прави оценка на добавената стойност, предоставяна от нейната дейност, и други мерки, за да подобри управлението на бюджета си през 2022 г.; отбелязва, че Агенцията е наблюдавала 15 ключови показателя за ефективност (КПЕ) и 56 показателя за работната програма (ПРП); отбелязва, че при 10 КПЕ и 40 ПРП са постигнати или са надхвърлени поставените цели; в този контекст оценява увеличаването на някои КПЕ в сравнение с предходните години във връзка с броя на операциите (2 758) и броя на дните за действие (394), подпомагани от Агенцията, както и броя на търсенията, извършени в EIS (информационната система на Европол) и в QUEST (системата на Европол за търсене) (13 милиона), и броя на проверките в EIS за трансгранични престъпления, свързани с лица (2 339);</w:t>
      </w:r>
    </w:p>
    <w:p w:rsidR="00981621" w:rsidRPr="008B3C5D" w:rsidRDefault="00981621" w:rsidP="00981621">
      <w:pPr>
        <w:pStyle w:val="Normal12Hanging"/>
        <w:widowControl/>
        <w:rPr>
          <w:szCs w:val="24"/>
        </w:rPr>
      </w:pPr>
      <w:r w:rsidRPr="008B3C5D">
        <w:t>5.</w:t>
      </w:r>
      <w:r w:rsidRPr="008B3C5D">
        <w:tab/>
        <w:t xml:space="preserve">приветства Агенцията за нейния значителен напредък в постигането на нейните пет многогодишни стратегически приоритета, определени в стратегията на Европол за 2020+ г.; отбелязва по-специално създаването на звено „Управление на информацията“ (ЗУИ), разработването на стратегия в областта на информационните и комуникационни технологии (ИКТ), която се очаква да помогне за изпълнението на стратегията на Агенцията в областта на управлението на информацията и прилагането на нов модел за икономическа стойност за наблюдение на напредъка в предоставянето на ИКТ; отбелязва, че лабораторията за иновации на Европол стана част от ЗУИ в структура, която се очаква да доведе до по-тясно сътрудничество, което е необходимо при прилагането на преразгледания Регламент за Европол, и създаде хранилището на инструменти на Европол с цел подпомагане на научните изследвания и иновациите в държавите </w:t>
      </w:r>
      <w:r w:rsidRPr="008B3C5D">
        <w:lastRenderedPageBreak/>
        <w:t>членки, насърчаване на обмена на опит и насърчаване на полезните взаимодействия; отбелязва освен това създаването на Звеното за цифрова подкрепа, насочено към ефикасен и ефективен отговор на потребностите от разследване на държавите членки и в рамките на Агенцията, по-специално по отношение на сложни случаи, които изискват подкрепа в областта на цифровата криминалистика;</w:t>
      </w:r>
    </w:p>
    <w:p w:rsidR="00981621" w:rsidRPr="008B3C5D" w:rsidRDefault="00981621" w:rsidP="00981621">
      <w:pPr>
        <w:pStyle w:val="Normal12Hanging"/>
        <w:widowControl/>
      </w:pPr>
      <w:r w:rsidRPr="008B3C5D">
        <w:t>6.</w:t>
      </w:r>
      <w:r w:rsidRPr="008B3C5D">
        <w:tab/>
        <w:t xml:space="preserve">приветства бързата реакция на Агенцията и нейната подкрепа за държавите членки в борбата срещу престъпността след незаконното и </w:t>
      </w:r>
      <w:proofErr w:type="spellStart"/>
      <w:r w:rsidRPr="008B3C5D">
        <w:t>непровокирано</w:t>
      </w:r>
      <w:proofErr w:type="spellEnd"/>
      <w:r w:rsidRPr="008B3C5D">
        <w:t xml:space="preserve"> руско нашествие в Украйна, например чрез разполагане на експерти и гост-служители в подкрепа на местните правоприлагащи органи в държавите, граничещи с Украйна, или чрез подпомагане на финансови разследвания, насочени срещу активи от престъпна дейност, притежавани от физически и юридически лица, санкционирани в контекста на тази война; отбелязва освен това, че през 2022 г. Агенцията е изготвила няколко оценки на заплахите относно потенциалните последици от войната, както и уведомления за ранно предупреждение и разузнавателни данни, например относно трафика на оръжия и трафика на хора; освен това насърчава Агенцията да направи всичко възможно, за да подкрепи действията на Съюза и на държавите членки в тази област; отбелязва, че незаконното военно нашествие причини хуманитарна криза и подтикна голям брой бежанци да избягат от Украйна в Съюза, което означава, че опортюнистичните престъпни мрежи могат да използват това положение, за да подпомогнат престъпните си дейности; освен това подчертава, че разширяването на правомощията на Агенцията по отношение на подкрепата за държавите членки и сътрудничеството с частноправни субекти, трети държави и международни организации ще изисква създаването на допълнителни механизми за вътрешен и външен надзор, за да се гарантират спазването на правото на Съюза и защитата на основните права;</w:t>
      </w:r>
    </w:p>
    <w:p w:rsidR="00981621" w:rsidRPr="008B3C5D" w:rsidRDefault="00981621" w:rsidP="00981621">
      <w:pPr>
        <w:pStyle w:val="Normal12Hanging"/>
        <w:widowControl/>
      </w:pPr>
      <w:r w:rsidRPr="008B3C5D">
        <w:t>7.</w:t>
      </w:r>
      <w:r w:rsidRPr="008B3C5D">
        <w:tab/>
        <w:t xml:space="preserve">отбелязва, че Агенцията продължи да работи в тясно сътрудничество с </w:t>
      </w:r>
      <w:proofErr w:type="spellStart"/>
      <w:r w:rsidRPr="008B3C5D">
        <w:t>eu</w:t>
      </w:r>
      <w:proofErr w:type="spellEnd"/>
      <w:r w:rsidRPr="008B3C5D">
        <w:t>-LISA за установяване на автоматизирани проверки на данните от заявленията за пътуване от Европейската система за информация за пътуванията и разрешаването им (ETIAS) спрямо данните на Европол; отбелязва, че пускането в действие на ETIAS беше отложено за ноември 2023 г. с решение на Съвета; оценява факта, че Агенцията разшири сътрудничеството си с Европейската прокуратура през 2022 г., като до края на годината подкрепи 21 основни операции на Европейската прокуратура в областта на данъчните измами;</w:t>
      </w:r>
    </w:p>
    <w:p w:rsidR="00981621" w:rsidRPr="008B3C5D" w:rsidRDefault="00981621" w:rsidP="00981621">
      <w:pPr>
        <w:pStyle w:val="NormalHanging12a"/>
        <w:widowControl/>
        <w:rPr>
          <w:b/>
          <w:i/>
          <w:szCs w:val="24"/>
        </w:rPr>
      </w:pPr>
      <w:r w:rsidRPr="008B3C5D">
        <w:rPr>
          <w:b/>
          <w:i/>
        </w:rPr>
        <w:t>Ефикасност и успехи</w:t>
      </w:r>
    </w:p>
    <w:p w:rsidR="00981621" w:rsidRPr="008B3C5D" w:rsidRDefault="00981621" w:rsidP="00981621">
      <w:pPr>
        <w:pStyle w:val="Normal12Hanging"/>
        <w:widowControl/>
      </w:pPr>
      <w:r w:rsidRPr="008B3C5D">
        <w:t>8.</w:t>
      </w:r>
      <w:r w:rsidRPr="008B3C5D">
        <w:tab/>
        <w:t>отбелязва със задоволство, че Агенцията е преразгледала своята стратегия за Европол за 2020+ г., като е адаптирала стратегическите си приоритети към настоящите оперативни потребности на държавите членки и към заплахите за сигурността, пред които те са изправени, като по този начин се цели подобряване на резултатите от дейността на Агенцията; отбелязва в този смисъл нов стратегически приоритет за обединяване на съответните партньори за трансгранично сътрудничество и съвместни действия, включително асоциираните към Шенген държави, Интерпол и агенциите на Съюза в областта на правосъдието и вътрешните работи;</w:t>
      </w:r>
    </w:p>
    <w:p w:rsidR="00981621" w:rsidRPr="008B3C5D" w:rsidRDefault="00981621" w:rsidP="00981621">
      <w:pPr>
        <w:pStyle w:val="NormalHanging12a"/>
        <w:widowControl/>
        <w:rPr>
          <w:szCs w:val="24"/>
        </w:rPr>
      </w:pPr>
      <w:r w:rsidRPr="008B3C5D">
        <w:lastRenderedPageBreak/>
        <w:t>9.</w:t>
      </w:r>
      <w:r w:rsidRPr="008B3C5D">
        <w:tab/>
        <w:t xml:space="preserve">отбелязва със задоволство въз основа на отговорите на Агенцията на въпросите на Парламента с искане за писмен отговор, наред с другото, разширените мерки и практики на Агенцията за повишаване на </w:t>
      </w:r>
      <w:r w:rsidR="005F2502">
        <w:t>ефикасността</w:t>
      </w:r>
      <w:r w:rsidR="005F2502" w:rsidRPr="008B3C5D">
        <w:t xml:space="preserve"> </w:t>
      </w:r>
      <w:r w:rsidR="00AA1892">
        <w:t xml:space="preserve">и успехите </w:t>
      </w:r>
      <w:r w:rsidRPr="008B3C5D">
        <w:t>на решенията в областта на ИКТ за основната дейност (вътрешно възлагане вместо възлагане на външни изпълнители), цифровизацията на услугите в областта на човешките ресурси (електронно набиране на персонал, електронно обучение) и инструментите за мониторинг на изпълнението на бюджета, процента на незаетите длъжности, договорните тавани в процедурите за възлагане на обществени поръчки и екологичните показатели, наред с други; приветства Агенцията за прилагането на инструмента за управление на обществените поръчки, както и за споделянето на процедури за възлагане на обществени поръчки с други агенции;</w:t>
      </w:r>
    </w:p>
    <w:p w:rsidR="00981621" w:rsidRPr="008B3C5D" w:rsidRDefault="00981621" w:rsidP="00981621">
      <w:pPr>
        <w:pStyle w:val="NormalHanging12a"/>
        <w:widowControl/>
        <w:rPr>
          <w:szCs w:val="24"/>
        </w:rPr>
      </w:pPr>
      <w:r w:rsidRPr="008B3C5D">
        <w:t>10.</w:t>
      </w:r>
      <w:r w:rsidRPr="008B3C5D">
        <w:tab/>
        <w:t>отбелязва, че вследствие на промяната в планирането на Програмата на Съюза за оперативна съвместимост е било необходимо ново планиране на вътрешните дейности и ресурси на Агенцията, което е довело до необходимост от допълнителен персонал; отбелязва в този контекст постигнато споразумение, съгласно което 25 служители на Европейската агенция за гранична и брегова охрана, считано от 2024 г., ще подкрепят Агенцията при изпълнението на нейните задължения по Програмата на Съюза за оперативна съвместимост; отбелязва също така натиска върху ресурсите на Агенцията, свързан с процедурите за консултации с Европейския надзорен орган по защита на данните (ЕНОЗД), като 25 от служителите на Агенцията са разпределени за дейности във връзка с ЕНОЗД; поздравява Агенцията за тясното ѝ сътрудничество с ЕНОЗД и за изпълнението на неговите препоръки по отношение на използването на различни системи, като например EPRIS, ADEP, SIS, PERCI и QUEST+; отбелязва забележката на Агенцията по отношение на забавянето при разгръщането на PERCI (Платформата на Съюза за незаконно онлайн съдържание) поради въздействието, което становищата на ЕНОЗД и последващите препоръки са оказали върху развития от ключово оперативно значение; приветства Агенцията за назначаването на свой служител по въпросите на основните права, който ще я подпомага при гарантирането на зачитането на основните права във всички нейни дейности и задачи;</w:t>
      </w:r>
    </w:p>
    <w:p w:rsidR="00981621" w:rsidRPr="008B3C5D" w:rsidRDefault="00981621" w:rsidP="00981621">
      <w:pPr>
        <w:pStyle w:val="NormalHanging12a"/>
      </w:pPr>
      <w:r w:rsidRPr="008B3C5D">
        <w:t>11.</w:t>
      </w:r>
      <w:r w:rsidRPr="008B3C5D">
        <w:tab/>
        <w:t>приветства Агенцията за това, че през 2022 г. е получила регистрация по Схемата за управление на околната среда и одитиране (EMAS); освен това приветства Агенцията за използването на критерии за екологосъобразни обществени поръчки, както и за интегрирането на политиката и целите на Агенцията в областта на околната среда в нейните процедури за възлагане на обществени поръчки; отбелязва, че Агенцията е започнала проект за проучване на осъществимостта за разработването на визията на Агенцията в областта на околната среда за 2030 г., за да определи цели за намаляване на емисиите на парникови газове на Агенцията и мерките за подобряване, необходими за постигането на тези цели; призовава Агенцията да информира органа по освобождаване от отговорност относно резултатите от това проучване;</w:t>
      </w:r>
      <w:r w:rsidRPr="008B3C5D">
        <w:rPr>
          <w:b/>
          <w:i/>
        </w:rPr>
        <w:t xml:space="preserve"> </w:t>
      </w:r>
      <w:r w:rsidRPr="008B3C5D">
        <w:t>приканва Агенцията да обмисли прилагането и на междинни устойчиви и енергийно ефективни решения както за своята инфраструктура, така и за вътрешните си процеси, като например засилено използване на цифрови инструменти и управление на документи;</w:t>
      </w:r>
    </w:p>
    <w:p w:rsidR="00981621" w:rsidRPr="008B3C5D" w:rsidRDefault="00981621" w:rsidP="00981621">
      <w:pPr>
        <w:pStyle w:val="Normal12Hanging"/>
        <w:widowControl/>
        <w:rPr>
          <w:b/>
          <w:i/>
          <w:szCs w:val="24"/>
        </w:rPr>
      </w:pPr>
      <w:r w:rsidRPr="008B3C5D">
        <w:rPr>
          <w:b/>
          <w:i/>
        </w:rPr>
        <w:t>Политика относно персонала</w:t>
      </w:r>
    </w:p>
    <w:p w:rsidR="00981621" w:rsidRPr="008B3C5D" w:rsidRDefault="00981621" w:rsidP="00981621">
      <w:pPr>
        <w:pStyle w:val="Normal12Hanging"/>
        <w:widowControl/>
        <w:rPr>
          <w:szCs w:val="24"/>
        </w:rPr>
      </w:pPr>
      <w:r w:rsidRPr="008B3C5D">
        <w:lastRenderedPageBreak/>
        <w:t>12.</w:t>
      </w:r>
      <w:r w:rsidRPr="008B3C5D">
        <w:tab/>
        <w:t>отбелязва, че към 31 декември 2022 г. щатното разписание е изпълнено на 99,41%, като са назначени 682 срочно наети служители от общо 686-те длъжности за тази категория служители, разрешени в рамките на бюджета на Съюза (615 през 2021 г.); отбелязва, че освен това през 2022 г. за Агенцията са работили 236 договорно наети служители (от които 19 длъжности финансирани чрез отпускане на безвъзмездни средства/споразумения) и 55 командировани национални експерти, при съответно 235 и 71 длъжности, разрешени в рамките на бюджета на Съюза; отбелязва също така, че за ограничен период от време са били разпределени 11 допълнителни длъжности за срочно наети служители извън щатното разписание за 2022 г., за да се сведе до минимум броят на незаетите длъжности; отбелязва, че Агенцията прави разграничение между пет категории командировани национални експерти, като четири от категориите не пораждат никакви разходи за бюджета на Агенцията или тези разходи са ограничени, и представляват още 152 лица, с което общият брой на командированите национални експерти достига 207 през 2022 г.; приветства ниския процент незаети длъжности в Агенцията от 0,6% през 2022 г., което е доста под годишната цел за максимален процент незаети длъжности от 2%; отбелязва освен това увеличаването на текучеството в Агенцията от 6,9% през 2021 г. на 9,12% през 2022 г.;</w:t>
      </w:r>
    </w:p>
    <w:p w:rsidR="00981621" w:rsidRPr="008B3C5D" w:rsidRDefault="00981621" w:rsidP="00981621">
      <w:pPr>
        <w:pStyle w:val="NormalHanging12a"/>
      </w:pPr>
      <w:r w:rsidRPr="008B3C5D">
        <w:t>13.</w:t>
      </w:r>
      <w:r w:rsidRPr="008B3C5D">
        <w:tab/>
        <w:t>подчертава, че с оглед на руското нашествие в Украйна през 2022 г. Агенцията е разположила оперативни екипи, съставени от командировани национални експерти (КНЕ), без разходи за тях, в няколко държави членки, като Литва, Словакия, Унгария, Румъния или България, както и в държави партньори като Молдова, като по този начин се увеличава използването на КНЕ без разходи за тях; посочва, че доходите на КНЕ без разходи за тях остават зависими от националните решения и че редица държави членки са решили да не продължават да изплащат заплати, когато възникват такива ситуации, като по този начин ги оставят зависими от сумите, които им се изплащат като дневни надбавки; припомня, че макар дневните надбавки да подлежат на индексиране с корекционния коефициент и да следва да компенсират по-високите разходи за живот, въз основа на данните за инфлацията на всеки 3 години, тези ставки са останали непроменени през последните 6 години; призовава Агенцията да започне диалог по същество с Комисията и компетентните национални органи, за да се гарантира справедливо обезщетение за всички експерти, които работят за Агенцията;</w:t>
      </w:r>
    </w:p>
    <w:p w:rsidR="00981621" w:rsidRPr="008B3C5D" w:rsidRDefault="00981621" w:rsidP="00981621">
      <w:pPr>
        <w:pStyle w:val="NormalHanging12a"/>
      </w:pPr>
      <w:r w:rsidRPr="008B3C5D">
        <w:t>14.</w:t>
      </w:r>
      <w:r w:rsidRPr="008B3C5D">
        <w:tab/>
        <w:t>отбелязва със загриженост разпределението по пол в Агенцията, отчетено за 2022 г. за висшето и средното управленско равнище, където 82% са мъже (28 мъже и 6 жени), за управителния съвет, където 75% са мъже (38 мъже и 13 жени), и за персонала като цяло, където 65% са мъже (556 мъже и 295 жени); признава, че делът на жените (35%), заети в Агенцията през 2022 г., е над средния дял (въз основа на статистическите данни на Евростат за 2021 г.) на жените (21,6%), заети в правоприлагащите органи в Съюза (полицейски служители, професионални съдии и служители в местата за изтърпяване на наказанието лишаване от свобода); припомня, че е важно да се осигури баланс между половете, и призовава Агенцията да взема предвид този аспект при бъдещо набиране и назначение на служители в рамките на висшето и средното си ръководство; изисква Комисията и държавите членки при номинирането на техните членове на Управителния съвет на Агенцията да вземат предвид факта, че е важно да се осигури баланс между половете;</w:t>
      </w:r>
    </w:p>
    <w:p w:rsidR="00981621" w:rsidRPr="008B3C5D" w:rsidRDefault="00981621" w:rsidP="00981621">
      <w:pPr>
        <w:pStyle w:val="NormalHanging12a"/>
      </w:pPr>
      <w:r w:rsidRPr="008B3C5D">
        <w:lastRenderedPageBreak/>
        <w:t>15.</w:t>
      </w:r>
      <w:r w:rsidRPr="008B3C5D">
        <w:tab/>
        <w:t>отбелязва, че през 2022 г. медицинската служба на Агенцията е докладвала три нови случая на професионално изчерпване; отбелязва освен това, че Агенцията е въвела мерки за подобряване на благосъстоянието на своите служители, като например съвети в областта на здравословните условия на труд и начина на живот, график за работа на непълно работно време, насочване към медицински специалисти и съвети към ръководството, подпомагащо членовете на персонала, наред с другото; отбелязва, че Управителният съвет се е съгласил с прилагането, по аналогия по отношение на Агенцията, на Решение С (2022) на Комисията относно работното време и хибридната работа, с което се заменят предишните разпоредби за прилагане относно работното време и относно дистанционната работа, с цел да се осигури рамка, в която работата в офиса и дистанционната работа се считат за равностойни начини на работа; призовава Агенцията да продължи да изследва възможните решения за намаляване на случаите на професионално изчерпване и да докладва на органа по освобождаване от отговорност за постигнатия напредък;</w:t>
      </w:r>
    </w:p>
    <w:p w:rsidR="00981621" w:rsidRPr="008B3C5D" w:rsidRDefault="00981621" w:rsidP="00981621">
      <w:pPr>
        <w:pStyle w:val="NormalHanging12a"/>
      </w:pPr>
      <w:r w:rsidRPr="008B3C5D">
        <w:t>16.</w:t>
      </w:r>
      <w:r w:rsidRPr="008B3C5D">
        <w:tab/>
        <w:t>отбелязва, че според отговорите на Агенцията на въпросите на Парламента с искане за писмен отговор, макар Агенцията да не е приложила Хартата за многообразие и приобщаване, тя е въвела своя собствена стратегия за многообразие и приобщаване; отбелязва освен това, че през 2022 г. Агенцията е преразгледала и приела процедурния наръчник за изпълнението на решението на Управителния съвет относно политиката за защита на личното достойнство и предотвратяване на психическия и сексуалния тормоз; отбелязва, че през периода 2017—2022 г. Агенцията е поискала външен правен съвет по два случая на предполагаем тормоз; отбелязва, че през 2022 г. не са завеждани съдебни дела за тормоз, свързани със служители на Агенцията;</w:t>
      </w:r>
      <w:r w:rsidRPr="008B3C5D">
        <w:rPr>
          <w:b/>
          <w:i/>
        </w:rPr>
        <w:t xml:space="preserve"> </w:t>
      </w:r>
      <w:r w:rsidRPr="008B3C5D">
        <w:t xml:space="preserve">подчертава значението на наличието на стабилни рамки за борба с тормоза, особено в силно стресираща и трудна работна среда; приканва Агенцията да въведе схема за обучение по този въпрос както за </w:t>
      </w:r>
      <w:proofErr w:type="spellStart"/>
      <w:r w:rsidRPr="008B3C5D">
        <w:t>новопостъпилите</w:t>
      </w:r>
      <w:proofErr w:type="spellEnd"/>
      <w:r w:rsidRPr="008B3C5D">
        <w:t xml:space="preserve"> служители, така и за действащите служители;</w:t>
      </w:r>
    </w:p>
    <w:p w:rsidR="00981621" w:rsidRPr="008B3C5D" w:rsidRDefault="00981621" w:rsidP="00981621">
      <w:pPr>
        <w:pStyle w:val="NormalHanging12a"/>
        <w:widowControl/>
        <w:rPr>
          <w:b/>
          <w:i/>
          <w:szCs w:val="24"/>
        </w:rPr>
      </w:pPr>
      <w:r w:rsidRPr="008B3C5D">
        <w:rPr>
          <w:b/>
          <w:i/>
        </w:rPr>
        <w:t>Обществени поръчки</w:t>
      </w:r>
    </w:p>
    <w:p w:rsidR="00981621" w:rsidRPr="008B3C5D" w:rsidRDefault="00981621" w:rsidP="00981621">
      <w:pPr>
        <w:pStyle w:val="NormalHanging12a"/>
        <w:widowControl/>
        <w:rPr>
          <w:szCs w:val="24"/>
        </w:rPr>
      </w:pPr>
      <w:r w:rsidRPr="008B3C5D">
        <w:t>17.</w:t>
      </w:r>
      <w:r w:rsidRPr="008B3C5D">
        <w:tab/>
        <w:t xml:space="preserve">отбелязва констатацията от доклада на Палатата, че през 2022 г. Агенцията е изплатила под формата на отпускане на безвъзмездни средства 3,3 милиона евро за финансиране на дейностите на националните полицейски сили в една държава членка, в т.ч. 1,4 милиона евро като възстановяване на разходите за закупуването на пет плавателни съда и 7% </w:t>
      </w:r>
      <w:proofErr w:type="spellStart"/>
      <w:r w:rsidRPr="008B3C5D">
        <w:t>провизия</w:t>
      </w:r>
      <w:proofErr w:type="spellEnd"/>
      <w:r w:rsidRPr="008B3C5D">
        <w:t xml:space="preserve"> за свързаните с тях режийни разходи, включително ДДС; отбелязва въз основа на оценката на Палатата, че в контекста на член 186, параграф 4, буква в) от Финансовия регламент ДДС за придобиването на плавателните съдове за полицейски обучения не е трябвало да бъде възстановяван, тъй като бенефициентът е публичен орган, регламентиран от публичното право, и извършва дейности като публичен орган, поради което е установено, че част от безвъзмездните средства, възлизаща на 0,2 милиона евро, е неправомерна; отбелязва въз основа на отговора на Агенцията, че с оглед на член 5 от Решение 2008/617/ПВР на Съвета за подобряване на сътрудничеството между звената за специална намеса (ЗСН) на държавите — членки на Съюза, в който се предвижда, че ЗСН осигурява съвместни учения, докато безвъзмездните средства за оперативни разходи са се отнасяли до дейностите на ЗСН, координирани от една държава членка, Агенцията е счела, че съгласно член 186, параграф 4, буква в) от Финансовия регламент и съответните специфични насоки на Комисията относно управлението на безвъзмездните средства ДДС е допустим </w:t>
      </w:r>
      <w:r w:rsidRPr="008B3C5D">
        <w:lastRenderedPageBreak/>
        <w:t>разход, когато не подлежи на възстановяване съгласно приложимото национално законодателство и когато е свързан с обучение, повишаване на осведомеността или подобни дейности в областта на сигурността, с изключение на ДДС, платен от държавите членки, когато действат като публични органи в качеството си на държавни органи, по-специално когато частни дружества не биха могли да предоставят свързаните услуги; отбелязва на последно място, че, що се отнася до бъдещите действия, ангажимента на Агенцията да направи оценка на допустимостта на ДДС при отпускането на безвъзмездни средства за оперативни разходи с оглед на констатациите на Палатата;</w:t>
      </w:r>
    </w:p>
    <w:p w:rsidR="00981621" w:rsidRPr="008B3C5D" w:rsidRDefault="00981621" w:rsidP="00981621">
      <w:pPr>
        <w:pStyle w:val="NormalHanging12a"/>
        <w:widowControl/>
        <w:rPr>
          <w:b/>
          <w:i/>
          <w:szCs w:val="24"/>
        </w:rPr>
      </w:pPr>
      <w:r w:rsidRPr="008B3C5D">
        <w:rPr>
          <w:b/>
          <w:i/>
        </w:rPr>
        <w:t>Предотвратяване и управление на конфликтите на интереси и прозрачност</w:t>
      </w:r>
    </w:p>
    <w:p w:rsidR="00981621" w:rsidRPr="008B3C5D" w:rsidRDefault="00981621" w:rsidP="00981621">
      <w:pPr>
        <w:pStyle w:val="NormalHanging12a"/>
      </w:pPr>
      <w:r w:rsidRPr="008B3C5D">
        <w:t>18.</w:t>
      </w:r>
      <w:r w:rsidRPr="008B3C5D">
        <w:tab/>
        <w:t>отбелязва съществуващите мерки и продължаващите усилия на Агенцията за осигуряване на прозрачност, предотвратяване и управление на конфликтите на интереси и предоставяне на защита за лицата, подаващи сигнали за нередности; отбелязва със задоволство, че декларациите за интереси и автобиографиите на всички членове на Управителния съвет и на висшето ръководство са публикувани на уебсайта на Агенцията;</w:t>
      </w:r>
      <w:r w:rsidRPr="008B3C5D">
        <w:rPr>
          <w:b/>
          <w:i/>
        </w:rPr>
        <w:t xml:space="preserve"> </w:t>
      </w:r>
      <w:r w:rsidRPr="008B3C5D">
        <w:t>призовава Агенцията да обмисли мерки за предотвратяване и на явлението „кадрова въртележка между държавния и частния сектор“;</w:t>
      </w:r>
    </w:p>
    <w:p w:rsidR="00981621" w:rsidRPr="008B3C5D" w:rsidRDefault="00981621" w:rsidP="00981621">
      <w:pPr>
        <w:pStyle w:val="NormalHanging12a"/>
        <w:widowControl/>
        <w:rPr>
          <w:szCs w:val="24"/>
        </w:rPr>
      </w:pPr>
      <w:r w:rsidRPr="008B3C5D">
        <w:t>19.</w:t>
      </w:r>
      <w:r w:rsidRPr="008B3C5D">
        <w:tab/>
        <w:t>отбелязва, че в течение на 2022 г. Агенцията е разгледала шест случая във връзка със ситуации на конфликт на интереси, от които два случая са били във връзка с ролята на консултант в процеса на подбор, един случай във връзка с назначаването на успешен кандидат преди встъпването му в длъжност в Агенцията и два случая, отнасящи се до служители след напускане на службата; отбелязва освен това, че във връзка с тези ситуации са предприети подходящи мерки, включително условни разрешения за работа след напускане на службата; отбелязва, че Агенцията е разгледала един случай на подаване на сигнали за нередности през 2022 г., който е бил приключен без по-нататъшни действия по отношение на потенциално нарушение на професионалните задължения;</w:t>
      </w:r>
    </w:p>
    <w:p w:rsidR="00981621" w:rsidRPr="008B3C5D" w:rsidRDefault="00981621" w:rsidP="00981621">
      <w:pPr>
        <w:pStyle w:val="NormalHanging12a"/>
      </w:pPr>
      <w:r w:rsidRPr="008B3C5D">
        <w:t>20.</w:t>
      </w:r>
      <w:r w:rsidRPr="008B3C5D">
        <w:tab/>
        <w:t>изразява загриженост относно съобщенията в медиите за конфликти на интереси, възникнали сред служителите на Агенцията; отбелязва, че през декември 2023 г. Европейският омбудсман реши да започне проверка, за да проучи как Агенцията е разгледала преместването на двама бивши служители на длъжности, свързани с борбата срещу сексуалното насилие над деца онлайн; отбелязва, че първият служител е постъпил на работа в организацията на основна заинтересована страна в областта на технологиите в началото на 2022 г., а вторият е постъпил на работа в организацията на същата заинтересована страна като член на управителния съвет по-късно същата година; отбелязва отговора, предоставен от Агенцията, и призовава твърденията да бъдат подробно разследвани и резултатите да бъдат докладвани на органа по освобождаване от отговорност във връзка с изпълнението на бюджета;</w:t>
      </w:r>
    </w:p>
    <w:p w:rsidR="00981621" w:rsidRPr="008B3C5D" w:rsidRDefault="00981621" w:rsidP="00981621">
      <w:pPr>
        <w:pStyle w:val="NormalHanging12a"/>
        <w:widowControl/>
        <w:rPr>
          <w:szCs w:val="24"/>
        </w:rPr>
      </w:pPr>
      <w:r w:rsidRPr="008B3C5D">
        <w:rPr>
          <w:b/>
          <w:i/>
        </w:rPr>
        <w:t>Вътрешен контрол</w:t>
      </w:r>
    </w:p>
    <w:p w:rsidR="00981621" w:rsidRPr="008B3C5D" w:rsidRDefault="00981621" w:rsidP="00981621">
      <w:pPr>
        <w:pStyle w:val="Normal12Hanging"/>
        <w:widowControl/>
        <w:rPr>
          <w:szCs w:val="24"/>
        </w:rPr>
      </w:pPr>
      <w:r w:rsidRPr="008B3C5D">
        <w:t>21.</w:t>
      </w:r>
      <w:r w:rsidRPr="008B3C5D">
        <w:tab/>
        <w:t xml:space="preserve">отбелязва забележката от доклада на Палатата, че за периода 2020—2022 г. Агенцията е плащала дневни надбавки на трима нидерландски граждани, наети като командировани национални експерти; отбелязва, че тъй като Агенцията е установена в Нидерландия, тримата командировани национални експерти нямат </w:t>
      </w:r>
      <w:r w:rsidRPr="008B3C5D">
        <w:lastRenderedPageBreak/>
        <w:t>право на тези надбавки съгласно вътрешните правила на Агенцията; отбелязва освен това, че въпреки че през декември 2022 г. Агенцията е спряла плащането на дневни надбавки на тримата командировани национални експерти, Агенцията е решила да не изисква възстановяване на недължимо извършените плащания през този период; отбелязва, че общата сума, свързана с тези плащания, е била 155 553 EUR, от които 90 605 EUR са били изплатени през 2022 г.; изразява загриженост относно недостатъците във връзка с предварителните проверки на Агенцията за период, обхващащ над три години; отбелязва въз основа на отговора на Агенцията на констатацията на Палатата, че Агенцията е подобрила предварителните проверки, за да осигури увереност относно законосъобразността на финансовите права на служителите преди плащането;</w:t>
      </w:r>
    </w:p>
    <w:p w:rsidR="00981621" w:rsidRPr="008B3C5D" w:rsidRDefault="00981621" w:rsidP="00981621">
      <w:pPr>
        <w:pStyle w:val="Normal12Hanging"/>
        <w:widowControl/>
        <w:rPr>
          <w:szCs w:val="24"/>
        </w:rPr>
      </w:pPr>
      <w:r w:rsidRPr="008B3C5D">
        <w:t>22.</w:t>
      </w:r>
      <w:r w:rsidRPr="008B3C5D">
        <w:tab/>
        <w:t>приветства Агенцията за постигнатия напредък в изпълнението на неизпълнените одитни препоръки, като 89% от тези препоръки от критично значение или много важни препоръки са изпълнени през 2022 г.; отбелязва, че към края на 2022 г. седем много важни препоръки (предназначени за изпълнение и приложими) все още не са били изпълнени по отношение на докладите от одити, извършени през 2018 г., 2019 г. и 2021 г.; отбелязва, че Службата за вътрешен одит на Комисията (IAS) е публикувала стратегическия план за вътрешен одит на Агенцията за периода 2022—2024 г., който обхваща три теми, включително одит на координацията и работните договорености с ГД „Миграция и вътрешни работи“, извършен през 2022 г., резултатите от който се очакват през 2023 г.;</w:t>
      </w:r>
    </w:p>
    <w:p w:rsidR="00981621" w:rsidRPr="008B3C5D" w:rsidRDefault="00981621" w:rsidP="00981621">
      <w:pPr>
        <w:pStyle w:val="Normal12Hanging"/>
        <w:widowControl/>
        <w:rPr>
          <w:szCs w:val="24"/>
        </w:rPr>
      </w:pPr>
      <w:r w:rsidRPr="008B3C5D">
        <w:t>23.</w:t>
      </w:r>
      <w:r w:rsidRPr="008B3C5D">
        <w:tab/>
        <w:t>отбелязва заключението от самооценката на Агенцията относно ефективността на нейната система за вътрешен контрол (СВК) както чрез количествени измервания, така и чрез качествени аспекти, включително набор от 76 показателя за вътрешен контрол, че като цяло всички компоненти на СВК са били налице и функционират по интегриран начин и че през 2022 г. не са установени очевидни слабости на вътрешния контрол; отбелязва, че Структурата за вътрешен одит на Агенцията е приключила прегледа на рамката за вътрешен контрол на Агенцията за 2022 г., като е стигнала до заключението, че Агенцията е въвела стабилна система за вътрешен контрол;</w:t>
      </w:r>
    </w:p>
    <w:p w:rsidR="00981621" w:rsidRPr="008B3C5D" w:rsidRDefault="00981621" w:rsidP="00981621">
      <w:pPr>
        <w:pStyle w:val="Normal12Hanging"/>
        <w:widowControl/>
        <w:rPr>
          <w:szCs w:val="24"/>
        </w:rPr>
      </w:pPr>
      <w:r w:rsidRPr="008B3C5D">
        <w:t>24.</w:t>
      </w:r>
      <w:r w:rsidRPr="008B3C5D">
        <w:tab/>
        <w:t xml:space="preserve">отбелязва, че Агенцията е разработила и публикувала политика за управление на риска през 2022 г.; отбелязва освен това, че профилът на корпоративния риск на Агенцията през 2022 г. се е характеризирал с нарастващ мандат и задачи, нарастващо търсене на успешно предоставяне на ключови решения в областта на ИКТ за обработването на лични данни, непрекъснати ответни действия за смекчаване на въздействието върху сигурността и правоприлагането в резултат от войната в Украйна и увеличаване на надзорните и свързаните с тях дейности за контрол (включително по отношение на защитата на данните), наред с другото; приветства Агенцията за приемането през 2022 г. на нейната преразгледана стратегия за борба срещу измамите за периода 2022—2024 г., която отразява принципите, оценката на риска от измами, целите и действията за борба срещу измамите, както и преглед на изпълнението на действията по стратегията за борба срещу измамите за периода 2017—2020 г.; отбелязва, че Европейската служба за борба с измамите е приключила разследване (във връзка с неправилни декларации за командировъчните разходи на един от служителите на Агенцията), чийто доклад е публикуван през 2022 г.; отбелязва, че вземането на решения от страна на Агенцията в този случай все още е на заключителен етап; призовава Агенцията </w:t>
      </w:r>
      <w:r w:rsidRPr="008B3C5D">
        <w:lastRenderedPageBreak/>
        <w:t>да докладва на органа по освобождаване от отговорност за последващите действия и окончателното решение по този случай;</w:t>
      </w:r>
    </w:p>
    <w:p w:rsidR="00981621" w:rsidRPr="008B3C5D" w:rsidRDefault="00981621" w:rsidP="00981621">
      <w:pPr>
        <w:widowControl/>
        <w:spacing w:after="240"/>
        <w:ind w:left="567" w:hanging="567"/>
        <w:rPr>
          <w:b/>
          <w:i/>
          <w:szCs w:val="24"/>
        </w:rPr>
      </w:pPr>
      <w:r w:rsidRPr="008B3C5D">
        <w:rPr>
          <w:b/>
          <w:i/>
        </w:rPr>
        <w:t>Други коментари</w:t>
      </w:r>
    </w:p>
    <w:p w:rsidR="00981621" w:rsidRPr="008B3C5D" w:rsidRDefault="00981621" w:rsidP="00981621">
      <w:pPr>
        <w:pStyle w:val="Normal12Hanging"/>
        <w:widowControl/>
        <w:rPr>
          <w:szCs w:val="24"/>
        </w:rPr>
      </w:pPr>
      <w:r w:rsidRPr="008B3C5D">
        <w:t>25.</w:t>
      </w:r>
      <w:r w:rsidRPr="008B3C5D">
        <w:tab/>
        <w:t xml:space="preserve">отбелязва, че Агенцията е продължила да прилага различни мерки за увеличаване на своето публично и онлайн присъствие чрез стартирането на </w:t>
      </w:r>
      <w:proofErr w:type="spellStart"/>
      <w:r w:rsidRPr="008B3C5D">
        <w:t>подкастова</w:t>
      </w:r>
      <w:proofErr w:type="spellEnd"/>
      <w:r w:rsidRPr="008B3C5D">
        <w:t xml:space="preserve"> поредица, консолидирането на своя уебсайт, организирането на конференции, стартирането на доклади (като например поредицата „</w:t>
      </w:r>
      <w:proofErr w:type="spellStart"/>
      <w:r w:rsidRPr="008B3C5D">
        <w:t>Spotlight</w:t>
      </w:r>
      <w:proofErr w:type="spellEnd"/>
      <w:r w:rsidRPr="008B3C5D">
        <w:t xml:space="preserve"> </w:t>
      </w:r>
      <w:proofErr w:type="spellStart"/>
      <w:r w:rsidRPr="008B3C5D">
        <w:t>Report</w:t>
      </w:r>
      <w:proofErr w:type="spellEnd"/>
      <w:r w:rsidRPr="008B3C5D">
        <w:t>“ и преработения доклад „</w:t>
      </w:r>
      <w:proofErr w:type="spellStart"/>
      <w:r w:rsidRPr="008B3C5D">
        <w:t>In</w:t>
      </w:r>
      <w:proofErr w:type="spellEnd"/>
      <w:r w:rsidRPr="008B3C5D">
        <w:t xml:space="preserve"> </w:t>
      </w:r>
      <w:proofErr w:type="spellStart"/>
      <w:r w:rsidRPr="008B3C5D">
        <w:t>Brief</w:t>
      </w:r>
      <w:proofErr w:type="spellEnd"/>
      <w:r w:rsidRPr="008B3C5D">
        <w:t>“) и присъствието си в социалните медии (с над 1 100 публикации през 2022 г.); отбелязва в този контекст увеличаването на споменаванията в медиите с голямо въздействие и значителното увеличение на показателите на Агенцията в социалните медии през 2022 г. в сравнение с 2021 г.;</w:t>
      </w:r>
    </w:p>
    <w:p w:rsidR="00981621" w:rsidRPr="008B3C5D" w:rsidRDefault="00981621" w:rsidP="00981621">
      <w:pPr>
        <w:pStyle w:val="NormalHanging12a"/>
      </w:pPr>
      <w:r w:rsidRPr="008B3C5D">
        <w:t>26.</w:t>
      </w:r>
      <w:r w:rsidRPr="008B3C5D">
        <w:tab/>
        <w:t>призовава Агенцията да предприеме мерки, за да гарантира пълно спазване на правилата на Съюза за прозрачност, както и на основните права, стандартите за защита на данните и отчетността, включително когато си сътрудничи с други агенции; счита, че оповестяването на срещите и взаимодействията между Агенцията и трети лица е необходимо, за да се гарантира по-голяма прозрачност; във връзка с това приветства назначаването на служител на Агенцията по въпросите на основните права;</w:t>
      </w:r>
    </w:p>
    <w:p w:rsidR="00981621" w:rsidRPr="008B3C5D" w:rsidRDefault="00981621" w:rsidP="00DC5B0F">
      <w:pPr>
        <w:pStyle w:val="NormalHanging12a"/>
      </w:pPr>
      <w:r w:rsidRPr="008B3C5D">
        <w:t>27.</w:t>
      </w:r>
      <w:r w:rsidRPr="008B3C5D">
        <w:tab/>
        <w:t>отбелязва, че на 16 септември 2022 г. Европейският надзорен орган по защита на данните (ЕНОЗД) е поискал от Съда на Европейския съюз да отмени две разпоредби на изменения Регламент за Европол, а именно членове 74а и 74б, като е изтъкнал довода, че те сериозно подкопават правната сигурност за личните данни на физическите лица и застрашават независимостта на ЕНОЗД; отбелязва освен това определението на Общия съд по дело T-578/22 от 6 септември 2023 г., с което жалбата, подадена от ЕНОЗД срещу изменения регламент за Европол, беше обявена за недопустима, и че, що се отнася до последиците от оспорените разпоредби за решението на ЕНОЗД от 3 януари 2022 г., ЕНОЗД не може да се позовава на тях в подкрепа на своето искане; отбелязва, че ЕНОЗД е обжалвал решението по дело T-578/22 и че му е възложено да упражнява надзор за законосъобразност на обработването на лични данни, извършвано от Агенцията съгласно Регламент (ЕС) 2016/794; приветства усилията на Агенцията за изпълнение на препоръките на ЕНОЗД, и по-специално факта, че всички приноси отпреди влизането в сила на изменения Регламент за Европол междувременно са получили категория „субект на данни“ (DSC);</w:t>
      </w:r>
    </w:p>
    <w:p w:rsidR="00981621" w:rsidRDefault="00981621" w:rsidP="00DC5B0F">
      <w:pPr>
        <w:widowControl/>
        <w:tabs>
          <w:tab w:val="left" w:pos="-720"/>
        </w:tabs>
        <w:spacing w:after="240"/>
        <w:ind w:left="567" w:hanging="567"/>
      </w:pPr>
      <w:r w:rsidRPr="008B3C5D">
        <w:t>28.</w:t>
      </w:r>
      <w:r w:rsidRPr="008B3C5D">
        <w:tab/>
        <w:t xml:space="preserve">припомня констатациите в одитния доклад на ЕНОЗД относно Агенцията от 16 декември 2022 г., в който се извършват конкретни проверки на набори от данни на граждани на трети държави, съхранявани от Агенцията; припомня, че ЕНОЗД установи, че общият процес за оценка на информацията, предоставяна от партньорите относно малолетни и непълнолетни лица (включително малолетни и непълнолетни лица на възраст под 15 години), е ясен и добре развит; припомня, че ЕНОЗД откри множество случаи, при които приписването на едно и също ниво на подозрение (по отношение на класификацията) по отношение на данни на малолетни и непълнолетни лица, които очевидно са участвали в относително малозначително нарушение в по-широка рамка на организирана престъпна група, може да не отговаря на прага за „строга пропорционалност“; подчертава, че </w:t>
      </w:r>
      <w:r w:rsidRPr="008B3C5D">
        <w:lastRenderedPageBreak/>
        <w:t>Агенцията има задължението да спазва принципа на „строга пропорционалност“, установен в член 30, параграф 1 от Регламента за Европол;</w:t>
      </w:r>
    </w:p>
    <w:p w:rsidR="00DC5B0F" w:rsidRDefault="00DC5B0F" w:rsidP="00DC5B0F">
      <w:pPr>
        <w:widowControl/>
        <w:tabs>
          <w:tab w:val="left" w:pos="-720"/>
        </w:tabs>
        <w:spacing w:after="240"/>
        <w:jc w:val="center"/>
      </w:pPr>
      <w:r>
        <w:t>°</w:t>
      </w:r>
    </w:p>
    <w:p w:rsidR="00DC5B0F" w:rsidRDefault="00DC5B0F" w:rsidP="00DC5B0F">
      <w:pPr>
        <w:widowControl/>
        <w:tabs>
          <w:tab w:val="left" w:pos="-720"/>
        </w:tabs>
        <w:spacing w:after="240"/>
        <w:jc w:val="center"/>
      </w:pPr>
      <w:r>
        <w:t>°     °</w:t>
      </w:r>
    </w:p>
    <w:p w:rsidR="00981621" w:rsidRPr="008B3C5D" w:rsidRDefault="00981621" w:rsidP="00981621">
      <w:pPr>
        <w:pStyle w:val="NormalHanging12a"/>
      </w:pPr>
      <w:r w:rsidRPr="008B3C5D">
        <w:t>29.</w:t>
      </w:r>
      <w:r w:rsidRPr="008B3C5D">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975365">
        <w:t>11 април 2024 г.</w:t>
      </w:r>
      <w:r w:rsidRPr="008B3C5D">
        <w:rPr>
          <w:rStyle w:val="FootnoteReference"/>
        </w:rPr>
        <w:footnoteReference w:id="12"/>
      </w:r>
      <w:r w:rsidRPr="008B3C5D">
        <w:t xml:space="preserve">  относно резултатите от дейността, финансовото управление и контрола на агенциите.</w:t>
      </w:r>
    </w:p>
    <w:p w:rsidR="00E365E1" w:rsidRPr="008B3C5D" w:rsidRDefault="00E365E1" w:rsidP="003D1704">
      <w:bookmarkStart w:id="13" w:name="TextBodyEnd"/>
      <w:bookmarkEnd w:id="13"/>
    </w:p>
    <w:sectPr w:rsidR="00E365E1" w:rsidRPr="008B3C5D" w:rsidSect="008B3C5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704" w:rsidRPr="008B3C5D" w:rsidRDefault="003D1704">
      <w:r w:rsidRPr="008B3C5D">
        <w:separator/>
      </w:r>
    </w:p>
  </w:endnote>
  <w:endnote w:type="continuationSeparator" w:id="0">
    <w:p w:rsidR="003D1704" w:rsidRPr="008B3C5D" w:rsidRDefault="003D1704">
      <w:r w:rsidRPr="008B3C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621" w:rsidRPr="008B3C5D" w:rsidRDefault="00981621" w:rsidP="00F23BE6">
    <w:pPr>
      <w:pStyle w:val="EPFooter"/>
    </w:pPr>
    <w:r w:rsidRPr="008B3C5D">
      <w:t>PE</w:t>
    </w:r>
    <w:r w:rsidRPr="008B3C5D">
      <w:rPr>
        <w:rStyle w:val="HideTWBExt"/>
      </w:rPr>
      <w:t>&lt;NoPE&gt;</w:t>
    </w:r>
    <w:r w:rsidRPr="008B3C5D">
      <w:t>753.540</w:t>
    </w:r>
    <w:r w:rsidRPr="008B3C5D">
      <w:rPr>
        <w:rStyle w:val="HideTWBExt"/>
      </w:rPr>
      <w:t>&lt;/NoPE&gt;&lt;Version&gt;</w:t>
    </w:r>
    <w:r w:rsidRPr="008B3C5D">
      <w:t>v02-00</w:t>
    </w:r>
    <w:r w:rsidRPr="008B3C5D">
      <w:rPr>
        <w:rStyle w:val="HideTWBExt"/>
      </w:rPr>
      <w:t>&lt;/Version&gt;</w:t>
    </w:r>
    <w:r w:rsidRPr="008B3C5D">
      <w:tab/>
    </w:r>
    <w:r w:rsidRPr="008B3C5D">
      <w:fldChar w:fldCharType="begin"/>
    </w:r>
    <w:r w:rsidRPr="008B3C5D">
      <w:instrText xml:space="preserve"> PAGE  \* MERGEFORMAT </w:instrText>
    </w:r>
    <w:r w:rsidRPr="008B3C5D">
      <w:fldChar w:fldCharType="separate"/>
    </w:r>
    <w:r w:rsidR="008B3C5D" w:rsidRPr="008B3C5D">
      <w:rPr>
        <w:noProof/>
      </w:rPr>
      <w:t>2</w:t>
    </w:r>
    <w:r w:rsidRPr="008B3C5D">
      <w:fldChar w:fldCharType="end"/>
    </w:r>
    <w:r w:rsidRPr="008B3C5D">
      <w:t>/</w:t>
    </w:r>
    <w:fldSimple w:instr=" NUMPAGES  \* MERGEFORMAT ">
      <w:r w:rsidR="008B3C5D" w:rsidRPr="008B3C5D">
        <w:rPr>
          <w:noProof/>
        </w:rPr>
        <w:t>3</w:t>
      </w:r>
    </w:fldSimple>
    <w:r w:rsidRPr="008B3C5D">
      <w:tab/>
    </w:r>
    <w:r w:rsidRPr="008B3C5D">
      <w:rPr>
        <w:rStyle w:val="HideTWBExt"/>
      </w:rPr>
      <w:t>&lt;PathFdR&gt;</w:t>
    </w:r>
    <w:r w:rsidRPr="008B3C5D">
      <w:t>RR\1299015BG.docx</w:t>
    </w:r>
    <w:r w:rsidRPr="008B3C5D">
      <w:rPr>
        <w:rStyle w:val="HideTWBExt"/>
      </w:rPr>
      <w:t>&lt;/PathFdR&gt;</w:t>
    </w:r>
  </w:p>
  <w:p w:rsidR="00981621" w:rsidRPr="008B3C5D" w:rsidRDefault="00981621" w:rsidP="00F23BE6">
    <w:pPr>
      <w:pStyle w:val="EPFooter2"/>
    </w:pPr>
    <w:r w:rsidRPr="008B3C5D">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621" w:rsidRPr="008B3C5D" w:rsidRDefault="00981621" w:rsidP="00F23BE6">
    <w:pPr>
      <w:pStyle w:val="EPFooter"/>
    </w:pPr>
    <w:r w:rsidRPr="008B3C5D">
      <w:rPr>
        <w:rStyle w:val="HideTWBExt"/>
      </w:rPr>
      <w:t>&lt;PathFdR&gt;</w:t>
    </w:r>
    <w:r w:rsidRPr="008B3C5D">
      <w:t>RR\1299015BG.docx</w:t>
    </w:r>
    <w:r w:rsidRPr="008B3C5D">
      <w:rPr>
        <w:rStyle w:val="HideTWBExt"/>
      </w:rPr>
      <w:t>&lt;/PathFdR&gt;</w:t>
    </w:r>
    <w:r w:rsidRPr="008B3C5D">
      <w:tab/>
    </w:r>
    <w:r w:rsidRPr="008B3C5D">
      <w:tab/>
      <w:t>PE</w:t>
    </w:r>
    <w:r w:rsidRPr="008B3C5D">
      <w:rPr>
        <w:rStyle w:val="HideTWBExt"/>
      </w:rPr>
      <w:t>&lt;NoPE&gt;</w:t>
    </w:r>
    <w:r w:rsidRPr="008B3C5D">
      <w:t>753.540</w:t>
    </w:r>
    <w:r w:rsidRPr="008B3C5D">
      <w:rPr>
        <w:rStyle w:val="HideTWBExt"/>
      </w:rPr>
      <w:t>&lt;/NoPE&gt;&lt;Version&gt;</w:t>
    </w:r>
    <w:r w:rsidRPr="008B3C5D">
      <w:t>v02-00</w:t>
    </w:r>
    <w:r w:rsidRPr="008B3C5D">
      <w:rPr>
        <w:rStyle w:val="HideTWBExt"/>
      </w:rPr>
      <w:t>&lt;/Version&gt;</w:t>
    </w:r>
  </w:p>
  <w:p w:rsidR="00981621" w:rsidRPr="008B3C5D" w:rsidRDefault="00981621" w:rsidP="00F23BE6">
    <w:pPr>
      <w:pStyle w:val="EPFooter2"/>
    </w:pPr>
    <w:r w:rsidRPr="008B3C5D">
      <w:t>BG</w:t>
    </w:r>
    <w:r w:rsidRPr="008B3C5D">
      <w:tab/>
    </w:r>
    <w:r w:rsidRPr="008B3C5D">
      <w:rPr>
        <w:b w:val="0"/>
        <w:i/>
        <w:color w:val="C0C0C0"/>
        <w:sz w:val="22"/>
      </w:rPr>
      <w:t>Единство в многообразието</w:t>
    </w:r>
    <w:r w:rsidRPr="008B3C5D">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C5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C5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C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704" w:rsidRPr="008B3C5D" w:rsidRDefault="003D1704">
      <w:r w:rsidRPr="008B3C5D">
        <w:separator/>
      </w:r>
    </w:p>
  </w:footnote>
  <w:footnote w:type="continuationSeparator" w:id="0">
    <w:p w:rsidR="003D1704" w:rsidRPr="008B3C5D" w:rsidRDefault="003D1704">
      <w:r w:rsidRPr="008B3C5D">
        <w:continuationSeparator/>
      </w:r>
    </w:p>
  </w:footnote>
  <w:footnote w:id="1">
    <w:p w:rsidR="00981621" w:rsidRPr="008B3C5D" w:rsidRDefault="00981621" w:rsidP="008B3C5D">
      <w:pPr>
        <w:pStyle w:val="FootnoteText"/>
        <w:ind w:left="567" w:hanging="567"/>
        <w:rPr>
          <w:sz w:val="24"/>
          <w:lang w:val="bg-BG"/>
        </w:rPr>
      </w:pPr>
      <w:r w:rsidRPr="008B3C5D">
        <w:rPr>
          <w:rStyle w:val="FootnoteReference"/>
          <w:sz w:val="24"/>
          <w:lang w:val="bg-BG"/>
        </w:rPr>
        <w:footnoteRef/>
      </w:r>
      <w:r w:rsidR="008B3C5D" w:rsidRPr="008B3C5D">
        <w:rPr>
          <w:sz w:val="24"/>
          <w:lang w:val="bg-BG"/>
        </w:rPr>
        <w:t xml:space="preserve"> </w:t>
      </w:r>
      <w:r w:rsidR="008B3C5D" w:rsidRPr="008B3C5D">
        <w:rPr>
          <w:sz w:val="24"/>
          <w:lang w:val="bg-BG"/>
        </w:rPr>
        <w:tab/>
      </w:r>
      <w:r w:rsidRPr="008B3C5D">
        <w:rPr>
          <w:sz w:val="24"/>
          <w:lang w:val="bg-BG"/>
        </w:rPr>
        <w:t>ОВ C, C/2023/594, 27.10.2023 г.</w:t>
      </w:r>
    </w:p>
  </w:footnote>
  <w:footnote w:id="2">
    <w:p w:rsidR="00981621" w:rsidRPr="008B3C5D" w:rsidRDefault="00981621" w:rsidP="008B3C5D">
      <w:pPr>
        <w:pStyle w:val="FootnoteText"/>
        <w:ind w:left="567" w:hanging="567"/>
        <w:rPr>
          <w:sz w:val="24"/>
          <w:lang w:val="bg-BG"/>
        </w:rPr>
      </w:pPr>
      <w:r w:rsidRPr="008B3C5D">
        <w:rPr>
          <w:rStyle w:val="FootnoteReference"/>
          <w:sz w:val="24"/>
          <w:lang w:val="bg-BG"/>
        </w:rPr>
        <w:footnoteRef/>
      </w:r>
      <w:r w:rsidR="008B3C5D" w:rsidRPr="008B3C5D">
        <w:rPr>
          <w:sz w:val="24"/>
          <w:lang w:val="bg-BG"/>
        </w:rPr>
        <w:t xml:space="preserve"> </w:t>
      </w:r>
      <w:r w:rsidR="008B3C5D" w:rsidRPr="008B3C5D">
        <w:rPr>
          <w:sz w:val="24"/>
          <w:lang w:val="bg-BG"/>
        </w:rPr>
        <w:tab/>
      </w:r>
      <w:r w:rsidRPr="008B3C5D">
        <w:rPr>
          <w:sz w:val="24"/>
          <w:lang w:val="bg-BG"/>
        </w:rPr>
        <w:t>ОВ C, C/2023/112, 12.10.2023 г.</w:t>
      </w:r>
    </w:p>
  </w:footnote>
  <w:footnote w:id="3">
    <w:p w:rsidR="00981621" w:rsidRPr="008B3C5D" w:rsidRDefault="00981621" w:rsidP="008B3C5D">
      <w:pPr>
        <w:pStyle w:val="FootnoteText"/>
        <w:ind w:left="567" w:hanging="567"/>
        <w:rPr>
          <w:sz w:val="24"/>
          <w:lang w:val="bg-BG"/>
        </w:rPr>
      </w:pPr>
      <w:r w:rsidRPr="008B3C5D">
        <w:rPr>
          <w:rStyle w:val="FootnoteReference"/>
          <w:sz w:val="24"/>
          <w:lang w:val="bg-BG"/>
        </w:rPr>
        <w:footnoteRef/>
      </w:r>
      <w:r w:rsidR="008B3C5D" w:rsidRPr="008B3C5D">
        <w:rPr>
          <w:sz w:val="24"/>
          <w:lang w:val="bg-BG"/>
        </w:rPr>
        <w:t xml:space="preserve"> </w:t>
      </w:r>
      <w:r w:rsidR="008B3C5D" w:rsidRPr="008B3C5D">
        <w:rPr>
          <w:sz w:val="24"/>
          <w:lang w:val="bg-BG"/>
        </w:rPr>
        <w:tab/>
      </w:r>
      <w:r w:rsidRPr="008B3C5D">
        <w:rPr>
          <w:sz w:val="24"/>
          <w:lang w:val="bg-BG"/>
        </w:rPr>
        <w:t>OВ L 193, 30.7.2018 г., стр. 1.</w:t>
      </w:r>
    </w:p>
  </w:footnote>
  <w:footnote w:id="4">
    <w:p w:rsidR="00981621" w:rsidRPr="008B3C5D" w:rsidRDefault="00981621" w:rsidP="008B3C5D">
      <w:pPr>
        <w:pStyle w:val="FootnoteText"/>
        <w:ind w:left="567" w:hanging="567"/>
        <w:rPr>
          <w:sz w:val="24"/>
          <w:lang w:val="bg-BG"/>
        </w:rPr>
      </w:pPr>
      <w:r w:rsidRPr="008B3C5D">
        <w:rPr>
          <w:rStyle w:val="FootnoteReference"/>
          <w:sz w:val="24"/>
          <w:lang w:val="bg-BG"/>
        </w:rPr>
        <w:footnoteRef/>
      </w:r>
      <w:r w:rsidR="008B3C5D" w:rsidRPr="008B3C5D">
        <w:rPr>
          <w:sz w:val="24"/>
          <w:lang w:val="bg-BG"/>
        </w:rPr>
        <w:t xml:space="preserve"> </w:t>
      </w:r>
      <w:r w:rsidR="008B3C5D" w:rsidRPr="008B3C5D">
        <w:rPr>
          <w:sz w:val="24"/>
          <w:lang w:val="bg-BG"/>
        </w:rPr>
        <w:tab/>
      </w:r>
      <w:r w:rsidRPr="008B3C5D">
        <w:rPr>
          <w:sz w:val="24"/>
          <w:lang w:val="bg-BG"/>
        </w:rPr>
        <w:t>ОВ L 135, 24.5.2016 г., стр. 53.</w:t>
      </w:r>
    </w:p>
  </w:footnote>
  <w:footnote w:id="5">
    <w:p w:rsidR="00981621" w:rsidRPr="008B3C5D" w:rsidRDefault="00981621" w:rsidP="008B3C5D">
      <w:pPr>
        <w:pStyle w:val="FootnoteText"/>
        <w:ind w:left="567" w:hanging="567"/>
        <w:rPr>
          <w:sz w:val="24"/>
          <w:szCs w:val="24"/>
          <w:lang w:val="bg-BG"/>
        </w:rPr>
      </w:pPr>
      <w:r w:rsidRPr="008B3C5D">
        <w:rPr>
          <w:rStyle w:val="FootnoteReference"/>
          <w:sz w:val="24"/>
          <w:lang w:val="bg-BG"/>
        </w:rPr>
        <w:footnoteRef/>
      </w:r>
      <w:r w:rsidR="008B3C5D" w:rsidRPr="008B3C5D">
        <w:rPr>
          <w:sz w:val="24"/>
          <w:lang w:val="bg-BG"/>
        </w:rPr>
        <w:t xml:space="preserve"> </w:t>
      </w:r>
      <w:r w:rsidR="008B3C5D" w:rsidRPr="008B3C5D">
        <w:rPr>
          <w:sz w:val="24"/>
          <w:lang w:val="bg-BG"/>
        </w:rPr>
        <w:tab/>
      </w:r>
      <w:r w:rsidRPr="008B3C5D">
        <w:rPr>
          <w:sz w:val="24"/>
          <w:lang w:val="bg-BG"/>
        </w:rPr>
        <w:t>ОВ L 122, 10.5.2019 г., стр. 1.</w:t>
      </w:r>
    </w:p>
  </w:footnote>
  <w:footnote w:id="6">
    <w:p w:rsidR="00981621" w:rsidRPr="008B3C5D" w:rsidRDefault="00981621" w:rsidP="008B3C5D">
      <w:pPr>
        <w:pStyle w:val="FootnoteText"/>
        <w:ind w:left="567" w:hanging="567"/>
        <w:rPr>
          <w:sz w:val="24"/>
          <w:lang w:val="bg-BG"/>
        </w:rPr>
      </w:pPr>
      <w:r w:rsidRPr="008B3C5D">
        <w:rPr>
          <w:rStyle w:val="FootnoteReference"/>
          <w:sz w:val="24"/>
          <w:lang w:val="bg-BG"/>
        </w:rPr>
        <w:footnoteRef/>
      </w:r>
      <w:r w:rsidR="008B3C5D" w:rsidRPr="008B3C5D">
        <w:rPr>
          <w:sz w:val="24"/>
          <w:lang w:val="bg-BG"/>
        </w:rPr>
        <w:t xml:space="preserve"> </w:t>
      </w:r>
      <w:r w:rsidR="008B3C5D" w:rsidRPr="008B3C5D">
        <w:rPr>
          <w:sz w:val="24"/>
          <w:lang w:val="bg-BG"/>
        </w:rPr>
        <w:tab/>
      </w:r>
      <w:r w:rsidRPr="008B3C5D">
        <w:rPr>
          <w:sz w:val="24"/>
          <w:lang w:val="bg-BG"/>
        </w:rPr>
        <w:t>ОВ C, C/2023/594, 27.10.2023 г.</w:t>
      </w:r>
    </w:p>
  </w:footnote>
  <w:footnote w:id="7">
    <w:p w:rsidR="00981621" w:rsidRPr="008B3C5D" w:rsidRDefault="00981621" w:rsidP="008B3C5D">
      <w:pPr>
        <w:pStyle w:val="FootnoteText"/>
        <w:ind w:left="567" w:hanging="567"/>
        <w:rPr>
          <w:sz w:val="24"/>
          <w:lang w:val="bg-BG"/>
        </w:rPr>
      </w:pPr>
      <w:r w:rsidRPr="008B3C5D">
        <w:rPr>
          <w:rStyle w:val="FootnoteReference"/>
          <w:sz w:val="24"/>
          <w:lang w:val="bg-BG"/>
        </w:rPr>
        <w:footnoteRef/>
      </w:r>
      <w:r w:rsidR="008B3C5D" w:rsidRPr="008B3C5D">
        <w:rPr>
          <w:sz w:val="24"/>
          <w:lang w:val="bg-BG"/>
        </w:rPr>
        <w:t xml:space="preserve"> </w:t>
      </w:r>
      <w:r w:rsidR="008B3C5D" w:rsidRPr="008B3C5D">
        <w:rPr>
          <w:sz w:val="24"/>
          <w:lang w:val="bg-BG"/>
        </w:rPr>
        <w:tab/>
      </w:r>
      <w:r w:rsidRPr="008B3C5D">
        <w:rPr>
          <w:sz w:val="24"/>
          <w:lang w:val="bg-BG"/>
        </w:rPr>
        <w:t>ОВ C, C/2023/112, 12.10.2023 г.</w:t>
      </w:r>
    </w:p>
  </w:footnote>
  <w:footnote w:id="8">
    <w:p w:rsidR="00981621" w:rsidRPr="008B3C5D" w:rsidRDefault="00981621" w:rsidP="008B3C5D">
      <w:pPr>
        <w:pStyle w:val="FootnoteText"/>
        <w:ind w:left="567" w:hanging="567"/>
        <w:rPr>
          <w:sz w:val="24"/>
          <w:lang w:val="bg-BG"/>
        </w:rPr>
      </w:pPr>
      <w:r w:rsidRPr="008B3C5D">
        <w:rPr>
          <w:rStyle w:val="FootnoteReference"/>
          <w:sz w:val="24"/>
          <w:lang w:val="bg-BG"/>
        </w:rPr>
        <w:footnoteRef/>
      </w:r>
      <w:r w:rsidR="008B3C5D" w:rsidRPr="008B3C5D">
        <w:rPr>
          <w:sz w:val="24"/>
          <w:lang w:val="bg-BG"/>
        </w:rPr>
        <w:t xml:space="preserve"> </w:t>
      </w:r>
      <w:r w:rsidR="008B3C5D" w:rsidRPr="008B3C5D">
        <w:rPr>
          <w:sz w:val="24"/>
          <w:lang w:val="bg-BG"/>
        </w:rPr>
        <w:tab/>
      </w:r>
      <w:r w:rsidRPr="008B3C5D">
        <w:rPr>
          <w:sz w:val="24"/>
          <w:lang w:val="bg-BG"/>
        </w:rPr>
        <w:t>OВ L 193, 30.7.2018 г., стр. 1.</w:t>
      </w:r>
    </w:p>
  </w:footnote>
  <w:footnote w:id="9">
    <w:p w:rsidR="00981621" w:rsidRPr="008B3C5D" w:rsidRDefault="00981621" w:rsidP="008B3C5D">
      <w:pPr>
        <w:pStyle w:val="FootnoteText"/>
        <w:ind w:left="567" w:hanging="567"/>
        <w:rPr>
          <w:sz w:val="24"/>
          <w:lang w:val="bg-BG"/>
        </w:rPr>
      </w:pPr>
      <w:r w:rsidRPr="008B3C5D">
        <w:rPr>
          <w:rStyle w:val="FootnoteReference"/>
          <w:sz w:val="24"/>
          <w:lang w:val="bg-BG"/>
        </w:rPr>
        <w:footnoteRef/>
      </w:r>
      <w:r w:rsidR="008B3C5D" w:rsidRPr="008B3C5D">
        <w:rPr>
          <w:sz w:val="24"/>
          <w:lang w:val="bg-BG"/>
        </w:rPr>
        <w:t xml:space="preserve"> </w:t>
      </w:r>
      <w:r w:rsidR="008B3C5D" w:rsidRPr="008B3C5D">
        <w:rPr>
          <w:sz w:val="24"/>
          <w:lang w:val="bg-BG"/>
        </w:rPr>
        <w:tab/>
      </w:r>
      <w:r w:rsidRPr="008B3C5D">
        <w:rPr>
          <w:sz w:val="24"/>
          <w:lang w:val="bg-BG"/>
        </w:rPr>
        <w:t>ОВ L 135, 24.5.2016 г., стр. 53.</w:t>
      </w:r>
    </w:p>
  </w:footnote>
  <w:footnote w:id="10">
    <w:p w:rsidR="00981621" w:rsidRPr="008B3C5D" w:rsidRDefault="00981621" w:rsidP="008B3C5D">
      <w:pPr>
        <w:pStyle w:val="FootnoteText"/>
        <w:ind w:left="567" w:hanging="567"/>
        <w:rPr>
          <w:sz w:val="24"/>
          <w:szCs w:val="24"/>
          <w:lang w:val="bg-BG"/>
        </w:rPr>
      </w:pPr>
      <w:r w:rsidRPr="008B3C5D">
        <w:rPr>
          <w:rStyle w:val="FootnoteReference"/>
          <w:sz w:val="24"/>
          <w:lang w:val="bg-BG"/>
        </w:rPr>
        <w:footnoteRef/>
      </w:r>
      <w:r w:rsidR="008B3C5D" w:rsidRPr="008B3C5D">
        <w:rPr>
          <w:sz w:val="24"/>
          <w:lang w:val="bg-BG"/>
        </w:rPr>
        <w:t xml:space="preserve"> </w:t>
      </w:r>
      <w:r w:rsidR="008B3C5D" w:rsidRPr="008B3C5D">
        <w:rPr>
          <w:sz w:val="24"/>
          <w:lang w:val="bg-BG"/>
        </w:rPr>
        <w:tab/>
      </w:r>
      <w:r w:rsidRPr="008B3C5D">
        <w:rPr>
          <w:sz w:val="24"/>
          <w:lang w:val="bg-BG"/>
        </w:rPr>
        <w:t>ОВ L 122, 10.5.2019 г., стр. 1.</w:t>
      </w:r>
    </w:p>
  </w:footnote>
  <w:footnote w:id="11">
    <w:p w:rsidR="00981621" w:rsidRPr="008B3C5D" w:rsidRDefault="00981621" w:rsidP="008B3C5D">
      <w:pPr>
        <w:pStyle w:val="FootnoteText"/>
        <w:ind w:left="567" w:hanging="567"/>
        <w:rPr>
          <w:sz w:val="24"/>
          <w:lang w:val="bg-BG"/>
        </w:rPr>
      </w:pPr>
      <w:r w:rsidRPr="008B3C5D">
        <w:rPr>
          <w:rStyle w:val="FootnoteReference"/>
          <w:sz w:val="24"/>
          <w:lang w:val="bg-BG"/>
        </w:rPr>
        <w:footnoteRef/>
      </w:r>
      <w:r w:rsidR="008B3C5D" w:rsidRPr="008B3C5D">
        <w:rPr>
          <w:sz w:val="24"/>
          <w:lang w:val="bg-BG"/>
        </w:rPr>
        <w:t xml:space="preserve"> </w:t>
      </w:r>
      <w:r w:rsidR="008B3C5D" w:rsidRPr="008B3C5D">
        <w:rPr>
          <w:sz w:val="24"/>
          <w:lang w:val="bg-BG"/>
        </w:rPr>
        <w:tab/>
      </w:r>
      <w:r w:rsidRPr="008B3C5D">
        <w:rPr>
          <w:sz w:val="24"/>
          <w:lang w:val="bg-BG"/>
        </w:rPr>
        <w:t>ОВ C 38, 31.1.2023 г</w:t>
      </w:r>
      <w:r w:rsidR="00975365">
        <w:rPr>
          <w:sz w:val="24"/>
          <w:lang w:val="bg-BG"/>
        </w:rPr>
        <w:t>.</w:t>
      </w:r>
      <w:r w:rsidRPr="008B3C5D">
        <w:rPr>
          <w:sz w:val="24"/>
          <w:lang w:val="bg-BG"/>
        </w:rPr>
        <w:t>, стр. 160.</w:t>
      </w:r>
    </w:p>
  </w:footnote>
  <w:footnote w:id="12">
    <w:p w:rsidR="00981621" w:rsidRPr="008B3C5D" w:rsidRDefault="00981621" w:rsidP="008B3C5D">
      <w:pPr>
        <w:pStyle w:val="FootnoteText"/>
        <w:ind w:left="567" w:hanging="567"/>
        <w:rPr>
          <w:sz w:val="24"/>
          <w:szCs w:val="24"/>
          <w:lang w:val="bg-BG"/>
        </w:rPr>
      </w:pPr>
      <w:r w:rsidRPr="008B3C5D">
        <w:rPr>
          <w:rStyle w:val="FootnoteReference"/>
          <w:sz w:val="24"/>
          <w:szCs w:val="24"/>
          <w:lang w:val="bg-BG"/>
        </w:rPr>
        <w:footnoteRef/>
      </w:r>
      <w:r w:rsidR="008B3C5D" w:rsidRPr="008B3C5D">
        <w:rPr>
          <w:sz w:val="24"/>
          <w:lang w:val="bg-BG"/>
        </w:rPr>
        <w:t xml:space="preserve"> </w:t>
      </w:r>
      <w:r w:rsidR="008B3C5D" w:rsidRPr="008B3C5D">
        <w:rPr>
          <w:sz w:val="24"/>
          <w:lang w:val="bg-BG"/>
        </w:rPr>
        <w:tab/>
      </w:r>
      <w:r w:rsidRPr="008B3C5D">
        <w:rPr>
          <w:sz w:val="24"/>
          <w:lang w:val="bg-BG"/>
        </w:rPr>
        <w:t>Приети текстове, P9_TA(2024)</w:t>
      </w:r>
      <w:r w:rsidR="00D020CE" w:rsidRPr="00635445">
        <w:rPr>
          <w:sz w:val="24"/>
          <w:lang w:val="bg-BG"/>
        </w:rPr>
        <w:t>0</w:t>
      </w:r>
      <w:r w:rsidR="00D020CE">
        <w:rPr>
          <w:sz w:val="24"/>
          <w:lang w:val="en-GB"/>
        </w:rPr>
        <w:t>28</w:t>
      </w:r>
      <w:r w:rsidR="00D020CE" w:rsidRPr="00635445">
        <w:rPr>
          <w:sz w:val="24"/>
          <w:lang w:val="bg-BG"/>
        </w:rPr>
        <w:t>0</w:t>
      </w:r>
      <w:r w:rsidRPr="008B3C5D">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C5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C5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C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BG"/>
    <w:docVar w:name="dvnumam" w:val="0"/>
    <w:docVar w:name="dvpe" w:val="753.540"/>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Агенцията на Европейския съюз за сътрудничество в областта на правоприлагането (Европол) за финансовата 2022 година(2023/2169(DEC))"/>
  </w:docVars>
  <w:rsids>
    <w:rsidRoot w:val="003D1704"/>
    <w:rsid w:val="00002272"/>
    <w:rsid w:val="00020F57"/>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170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250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C5D"/>
    <w:rsid w:val="008C2AC6"/>
    <w:rsid w:val="00930C23"/>
    <w:rsid w:val="0093193B"/>
    <w:rsid w:val="009509D8"/>
    <w:rsid w:val="00950B64"/>
    <w:rsid w:val="00975365"/>
    <w:rsid w:val="00981621"/>
    <w:rsid w:val="00981893"/>
    <w:rsid w:val="00A1687D"/>
    <w:rsid w:val="00A43E52"/>
    <w:rsid w:val="00A4678D"/>
    <w:rsid w:val="00A778C7"/>
    <w:rsid w:val="00AA189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20CE"/>
    <w:rsid w:val="00D058B8"/>
    <w:rsid w:val="00D56C11"/>
    <w:rsid w:val="00D834A0"/>
    <w:rsid w:val="00D872DF"/>
    <w:rsid w:val="00D91E21"/>
    <w:rsid w:val="00DA7FCD"/>
    <w:rsid w:val="00DC5B0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93281"/>
  <w15:chartTrackingRefBased/>
  <w15:docId w15:val="{4EB0EB05-3B55-4037-B66B-5884B539E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8162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81621"/>
    <w:pPr>
      <w:spacing w:before="480" w:after="240"/>
    </w:pPr>
  </w:style>
  <w:style w:type="paragraph" w:customStyle="1" w:styleId="PageHeading">
    <w:name w:val="PageHeading"/>
    <w:basedOn w:val="Normal"/>
    <w:rsid w:val="00981621"/>
    <w:pPr>
      <w:keepNext/>
      <w:spacing w:after="480"/>
      <w:jc w:val="center"/>
    </w:pPr>
    <w:rPr>
      <w:rFonts w:ascii="Arial" w:hAnsi="Arial" w:cs="Arial"/>
      <w:b/>
    </w:rPr>
  </w:style>
  <w:style w:type="paragraph" w:customStyle="1" w:styleId="NormalBold">
    <w:name w:val="NormalBold"/>
    <w:basedOn w:val="Normal"/>
    <w:rsid w:val="00981621"/>
    <w:rPr>
      <w:b/>
    </w:rPr>
  </w:style>
  <w:style w:type="paragraph" w:customStyle="1" w:styleId="NormalHanging12a">
    <w:name w:val="NormalHanging12a"/>
    <w:basedOn w:val="Normal"/>
    <w:link w:val="NormalHanging12aChar"/>
    <w:rsid w:val="00981621"/>
    <w:pPr>
      <w:spacing w:after="240"/>
      <w:ind w:left="567" w:hanging="567"/>
    </w:pPr>
  </w:style>
  <w:style w:type="paragraph" w:customStyle="1" w:styleId="NormalCenter12a">
    <w:name w:val="NormalCenter12a"/>
    <w:basedOn w:val="Normal"/>
    <w:rsid w:val="00981621"/>
    <w:pPr>
      <w:spacing w:after="240"/>
      <w:jc w:val="center"/>
    </w:pPr>
  </w:style>
  <w:style w:type="paragraph" w:styleId="Header">
    <w:name w:val="header"/>
    <w:basedOn w:val="Normal"/>
    <w:link w:val="HeaderChar"/>
    <w:rsid w:val="00981621"/>
    <w:pPr>
      <w:tabs>
        <w:tab w:val="center" w:pos="4513"/>
        <w:tab w:val="right" w:pos="9026"/>
      </w:tabs>
    </w:pPr>
  </w:style>
  <w:style w:type="character" w:customStyle="1" w:styleId="HeaderChar">
    <w:name w:val="Header Char"/>
    <w:basedOn w:val="DefaultParagraphFont"/>
    <w:link w:val="Header"/>
    <w:rsid w:val="00981621"/>
    <w:rPr>
      <w:sz w:val="24"/>
      <w:lang w:val="bg-BG"/>
    </w:rPr>
  </w:style>
  <w:style w:type="paragraph" w:customStyle="1" w:styleId="EPFooter">
    <w:name w:val="EPFooter"/>
    <w:basedOn w:val="Normal"/>
    <w:rsid w:val="00981621"/>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981621"/>
    <w:rPr>
      <w:sz w:val="24"/>
      <w:lang w:val="bg-BG"/>
    </w:rPr>
  </w:style>
  <w:style w:type="paragraph" w:customStyle="1" w:styleId="Normal12Hanging">
    <w:name w:val="Normal12Hanging"/>
    <w:basedOn w:val="Normal"/>
    <w:rsid w:val="00981621"/>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ED6F8-118A-48E1-A035-7795B339E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5339</Words>
  <Characters>30684</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2024-04-11T11:10:00Z</dcterms:created>
  <dcterms:modified xsi:type="dcterms:W3CDTF">2024-04-11T11:10:00Z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A9-0119/2024</vt:lpwstr>
  </property>
  <property fmtid="{D5CDD505-2E9C-101B-9397-08002B2CF9AE}" pid="4" name="&lt;Type&gt;">
    <vt:lpwstr>RR</vt:lpwstr>
  </property>
</Properties>
</file>