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731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27313" w:rsidRDefault="00BA3C31" w:rsidP="0010095E">
            <w:pPr>
              <w:pStyle w:val="EPName"/>
            </w:pPr>
            <w:r w:rsidRPr="00D27313">
              <w:t>Evropský parlament</w:t>
            </w:r>
          </w:p>
          <w:p w:rsidR="00751A4A" w:rsidRPr="00D2731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731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27313" w:rsidRDefault="00187494" w:rsidP="0010095E">
            <w:pPr>
              <w:pStyle w:val="EPLogo"/>
            </w:pPr>
            <w:r w:rsidRPr="00D2731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27313" w:rsidRDefault="00D058B8" w:rsidP="004C5D52">
      <w:pPr>
        <w:pStyle w:val="LineTop"/>
      </w:pPr>
    </w:p>
    <w:p w:rsidR="00680577" w:rsidRPr="00D27313" w:rsidRDefault="00BA3C31" w:rsidP="00680577">
      <w:pPr>
        <w:pStyle w:val="EPBodyTA1"/>
      </w:pPr>
      <w:r w:rsidRPr="00D27313">
        <w:t>PŘIJATÉ TEXTY</w:t>
      </w:r>
    </w:p>
    <w:p w:rsidR="00D058B8" w:rsidRPr="00D27313" w:rsidRDefault="00D058B8" w:rsidP="00D058B8">
      <w:pPr>
        <w:pStyle w:val="LineBottom"/>
      </w:pPr>
    </w:p>
    <w:p w:rsidR="00BA3C31" w:rsidRPr="00D27313" w:rsidRDefault="00BA3C31" w:rsidP="00BA3C31">
      <w:pPr>
        <w:pStyle w:val="ATHeading1"/>
      </w:pPr>
      <w:bookmarkStart w:id="0" w:name="TANumber"/>
      <w:r w:rsidRPr="00D27313">
        <w:t>P9_TA(2024)0</w:t>
      </w:r>
      <w:r w:rsidR="00E0191E">
        <w:t>260</w:t>
      </w:r>
      <w:bookmarkEnd w:id="0"/>
    </w:p>
    <w:p w:rsidR="00BA3C31" w:rsidRPr="00D27313" w:rsidRDefault="00433697" w:rsidP="00433697">
      <w:pPr>
        <w:pStyle w:val="ATHeading2"/>
      </w:pPr>
      <w:bookmarkStart w:id="1" w:name="title"/>
      <w:r>
        <w:t>Udělení absolutoria za rok 2022: Agentura Evropské unie pro spolupráci v oblasti prosazování práva (</w:t>
      </w:r>
      <w:proofErr w:type="spellStart"/>
      <w:r>
        <w:t>Europol</w:t>
      </w:r>
      <w:proofErr w:type="spellEnd"/>
      <w:r>
        <w:t>)</w:t>
      </w:r>
      <w:bookmarkEnd w:id="1"/>
    </w:p>
    <w:p w:rsidR="00BA3C31" w:rsidRPr="00D27313" w:rsidRDefault="00BA3C31" w:rsidP="00BA3C31">
      <w:pPr>
        <w:rPr>
          <w:i/>
          <w:vanish/>
        </w:rPr>
      </w:pPr>
      <w:r w:rsidRPr="00D27313">
        <w:rPr>
          <w:i/>
        </w:rPr>
        <w:fldChar w:fldCharType="begin"/>
      </w:r>
      <w:r w:rsidRPr="00D27313">
        <w:rPr>
          <w:i/>
        </w:rPr>
        <w:instrText xml:space="preserve"> TC"(</w:instrText>
      </w:r>
      <w:bookmarkStart w:id="2" w:name="DocNumber"/>
      <w:r w:rsidRPr="00D27313">
        <w:rPr>
          <w:i/>
        </w:rPr>
        <w:instrText>A9-0119/2024</w:instrText>
      </w:r>
      <w:bookmarkEnd w:id="2"/>
      <w:r w:rsidRPr="00D27313">
        <w:rPr>
          <w:i/>
        </w:rPr>
        <w:instrText xml:space="preserve"> - Zpravodaj: </w:instrText>
      </w:r>
      <w:proofErr w:type="spellStart"/>
      <w:r w:rsidRPr="00D27313">
        <w:rPr>
          <w:i/>
        </w:rPr>
        <w:instrText>Petri</w:instrText>
      </w:r>
      <w:proofErr w:type="spellEnd"/>
      <w:r w:rsidRPr="00D27313">
        <w:rPr>
          <w:i/>
        </w:rPr>
        <w:instrText xml:space="preserve"> </w:instrText>
      </w:r>
      <w:proofErr w:type="spellStart"/>
      <w:r w:rsidRPr="00D27313">
        <w:rPr>
          <w:i/>
        </w:rPr>
        <w:instrText>Sarvamaa</w:instrText>
      </w:r>
      <w:proofErr w:type="spellEnd"/>
      <w:r w:rsidRPr="00D27313">
        <w:rPr>
          <w:i/>
        </w:rPr>
        <w:instrText xml:space="preserve">)"\l3 \n&gt; \* MERGEFORMAT </w:instrText>
      </w:r>
      <w:r w:rsidRPr="00D27313">
        <w:rPr>
          <w:i/>
        </w:rPr>
        <w:fldChar w:fldCharType="end"/>
      </w:r>
    </w:p>
    <w:p w:rsidR="00BA3C31" w:rsidRPr="00D27313" w:rsidRDefault="00BA3C31" w:rsidP="00BA3C31">
      <w:pPr>
        <w:rPr>
          <w:vanish/>
        </w:rPr>
      </w:pPr>
      <w:bookmarkStart w:id="3" w:name="Commission"/>
      <w:r w:rsidRPr="00D27313">
        <w:rPr>
          <w:vanish/>
        </w:rPr>
        <w:t>Výbor pro rozpočtovou kontrolu</w:t>
      </w:r>
      <w:bookmarkEnd w:id="3"/>
    </w:p>
    <w:p w:rsidR="00BA3C31" w:rsidRPr="00D27313" w:rsidRDefault="00BA3C31" w:rsidP="00BA3C31">
      <w:pPr>
        <w:rPr>
          <w:vanish/>
        </w:rPr>
      </w:pPr>
      <w:bookmarkStart w:id="4" w:name="PE"/>
      <w:r w:rsidRPr="00D27313">
        <w:rPr>
          <w:vanish/>
        </w:rPr>
        <w:t>PE753.540</w:t>
      </w:r>
      <w:bookmarkEnd w:id="4"/>
    </w:p>
    <w:p w:rsidR="00BA3C31" w:rsidRPr="00D27313" w:rsidRDefault="00BA3C31" w:rsidP="00BA3C31">
      <w:pPr>
        <w:pStyle w:val="ATHeading3"/>
      </w:pPr>
      <w:bookmarkStart w:id="5" w:name="Sujet"/>
      <w:r w:rsidRPr="00D27313">
        <w:t xml:space="preserve">1. Rozhodnutí </w:t>
      </w:r>
      <w:r w:rsidR="0054743D">
        <w:t>Evropského parlamentu ze dne 11. dubna</w:t>
      </w:r>
      <w:r w:rsidRPr="00D27313">
        <w:t xml:space="preserve"> 2024 o udělení absolutoria za plnění rozpočtu Agentury Evropské unie pro spolupráci v oblasti prosazování práva (</w:t>
      </w:r>
      <w:proofErr w:type="spellStart"/>
      <w:r w:rsidRPr="00D27313">
        <w:t>Europol</w:t>
      </w:r>
      <w:proofErr w:type="spellEnd"/>
      <w:r w:rsidRPr="00D27313">
        <w:t>) na rozpočtový rok 2022</w:t>
      </w:r>
      <w:bookmarkEnd w:id="5"/>
      <w:r w:rsidRPr="00D27313">
        <w:t xml:space="preserve"> </w:t>
      </w:r>
      <w:bookmarkStart w:id="6" w:name="References"/>
      <w:r w:rsidRPr="00D27313">
        <w:t>(2023/2169(DEC))</w:t>
      </w:r>
      <w:bookmarkEnd w:id="6"/>
    </w:p>
    <w:p w:rsidR="00B011BD" w:rsidRPr="00D27313" w:rsidRDefault="00B011BD" w:rsidP="00B011BD">
      <w:pPr>
        <w:pStyle w:val="EPComma"/>
      </w:pPr>
      <w:bookmarkStart w:id="7" w:name="TextBodyBegin"/>
      <w:bookmarkEnd w:id="7"/>
      <w:r w:rsidRPr="00D27313">
        <w:rPr>
          <w:i/>
        </w:rPr>
        <w:t>Evropský parlament</w:t>
      </w:r>
      <w:r w:rsidRPr="00D27313">
        <w:t>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konečnou roční účetní závěrku Agentury Evropské unie pro spolupráci v oblasti prosazování práva (</w:t>
      </w:r>
      <w:proofErr w:type="spellStart"/>
      <w:r w:rsidRPr="00D27313">
        <w:t>Europol</w:t>
      </w:r>
      <w:proofErr w:type="spellEnd"/>
      <w:r w:rsidRPr="00D27313">
        <w:t>) za rozpočtový rok 2022,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výroční zprávu Účetního dvora o agenturách EU za rozpočtový rok 2022 spolu s odpověďmi agentur</w:t>
      </w:r>
      <w:r w:rsidRPr="00D27313">
        <w:rPr>
          <w:rStyle w:val="FootnoteReference"/>
        </w:rPr>
        <w:footnoteReference w:id="1"/>
      </w:r>
      <w:r w:rsidRPr="00D27313">
        <w:t>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prohlášení o věrohodnosti</w:t>
      </w:r>
      <w:r w:rsidRPr="00D27313">
        <w:rPr>
          <w:rStyle w:val="FootnoteReference"/>
        </w:rPr>
        <w:footnoteReference w:id="2"/>
      </w:r>
      <w:r w:rsidRPr="00D27313">
        <w:t xml:space="preserve"> účetnictví a o legalitě a správnosti uskutečněných operací, které předložil Účetní dvůr za rozpočtový rok 2022 podle článku 287 Smlouvy o fungování Evropské unie,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doporučení Rady ze dne 22. února 2024 o udělení absolutoria agentuře za plnění rozpočtu na rozpočtový rok 2022 (0</w:t>
      </w:r>
      <w:r w:rsidR="00026F4C">
        <w:t>6180</w:t>
      </w:r>
      <w:r w:rsidRPr="00D27313">
        <w:t>/2024 – C9</w:t>
      </w:r>
      <w:r w:rsidRPr="00D27313">
        <w:noBreakHyphen/>
        <w:t>0</w:t>
      </w:r>
      <w:r w:rsidR="00026F4C">
        <w:t>107</w:t>
      </w:r>
      <w:r w:rsidRPr="00D27313">
        <w:t>/2024),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článek 319 Smlouvy o fungování Evropské unie,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</w:t>
      </w:r>
      <w:r w:rsidR="0054743D">
        <w:t>/2014 a rozhodnutí č. 541/2014/</w:t>
      </w:r>
      <w:r w:rsidRPr="00D27313">
        <w:t>EU a zrušuje nařízení (EU, Euratom) č. 966/2012</w:t>
      </w:r>
      <w:r w:rsidRPr="00D27313">
        <w:rPr>
          <w:rStyle w:val="FootnoteReference"/>
        </w:rPr>
        <w:footnoteReference w:id="3"/>
      </w:r>
      <w:r w:rsidRPr="00D27313">
        <w:t>, a zejména článek 70 tohoto nařízení,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nařízení Evropského parlamentu a Rady (EU) 2016/794 ze dne 11. května 2016 o Agentuře Evropské unie pro spolupráci v oblasti prosazování práva (</w:t>
      </w:r>
      <w:proofErr w:type="spellStart"/>
      <w:r w:rsidRPr="00D27313">
        <w:t>Europol</w:t>
      </w:r>
      <w:proofErr w:type="spellEnd"/>
      <w:r w:rsidRPr="00D27313">
        <w:t xml:space="preserve">) a </w:t>
      </w:r>
      <w:r w:rsidRPr="00D27313">
        <w:lastRenderedPageBreak/>
        <w:t>o zrušení a nahrazení rozhodnutí 2009/371/SVV, 2009/934/SVV, 2009/935/SVV, 2009/936/SVV a 2009/968/SVV</w:t>
      </w:r>
      <w:r w:rsidRPr="00D27313">
        <w:rPr>
          <w:rStyle w:val="FootnoteReference"/>
        </w:rPr>
        <w:footnoteReference w:id="4"/>
      </w:r>
      <w:r w:rsidRPr="00D27313">
        <w:t>, a zejména na článek 60 tohoto nařízení,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 xml:space="preserve">s ohledem na nařízení Komise v přenesené pravomoci (EU) 2019/715 ze dne 18. prosince 2018 o rámcovém finančním nařízení pro subjekty zřízené podle </w:t>
      </w:r>
      <w:r w:rsidR="00491A72" w:rsidRPr="00491A72">
        <w:t>Smlouvy o fungování Evropské unie</w:t>
      </w:r>
      <w:r w:rsidRPr="00D27313">
        <w:t xml:space="preserve"> a Smlouvy o Euratomu a uvedené v článku 70 nařízení Evropského parlamentu a Rady (EU, Euratom) 2018/1046</w:t>
      </w:r>
      <w:r w:rsidRPr="00D27313">
        <w:rPr>
          <w:rStyle w:val="FootnoteReference"/>
        </w:rPr>
        <w:footnoteReference w:id="5"/>
      </w:r>
      <w:r w:rsidRPr="00D27313">
        <w:t>, a zejména na článek 105 tohoto nařízení,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 ohledem na článek 100 a přílohu V jednacího řádu,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stanovisko Výboru pro občanské svobody, spravedlnost a vnitřní věci,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zprávu Výboru pro rozpočtovou kontrolu (A9</w:t>
      </w:r>
      <w:r w:rsidRPr="00D27313">
        <w:noBreakHyphen/>
        <w:t>0119/2024),</w:t>
      </w:r>
    </w:p>
    <w:p w:rsidR="00B011BD" w:rsidRPr="00D27313" w:rsidRDefault="00B011BD" w:rsidP="00B011BD">
      <w:pPr>
        <w:pStyle w:val="NormalHanging12a"/>
      </w:pPr>
      <w:r w:rsidRPr="00D27313">
        <w:t>1.</w:t>
      </w:r>
      <w:r w:rsidRPr="00D27313">
        <w:tab/>
        <w:t>uděluje absolutorium výkonné ředitelce Agentury Evropské unie pro spolupráci v oblasti prosazování práva (</w:t>
      </w:r>
      <w:proofErr w:type="spellStart"/>
      <w:r w:rsidRPr="00D27313">
        <w:t>Europol</w:t>
      </w:r>
      <w:proofErr w:type="spellEnd"/>
      <w:r w:rsidRPr="00D27313">
        <w:t>) za plnění rozpočtu agentury na rozpočtový rok 2022;</w:t>
      </w:r>
    </w:p>
    <w:p w:rsidR="00B011BD" w:rsidRPr="00D27313" w:rsidRDefault="00B011BD" w:rsidP="00B011BD">
      <w:pPr>
        <w:pStyle w:val="NormalHanging12a"/>
      </w:pPr>
      <w:r w:rsidRPr="00D27313">
        <w:t>2.</w:t>
      </w:r>
      <w:r w:rsidRPr="00D27313">
        <w:tab/>
        <w:t>předkládá své připomínky v níže uvedeném usnesení;</w:t>
      </w:r>
    </w:p>
    <w:p w:rsidR="00B011BD" w:rsidRPr="00D27313" w:rsidRDefault="00B011BD" w:rsidP="00B011BD">
      <w:pPr>
        <w:pStyle w:val="NormalHanging12a"/>
      </w:pPr>
      <w:r w:rsidRPr="00D27313">
        <w:t>3.</w:t>
      </w:r>
      <w:r w:rsidRPr="00D27313">
        <w:tab/>
        <w:t>pověřuje svou předsedkyni, aby předala toto rozhodnutí a usnesení, které je jeho nedílnou součástí, výkonné ředitelce Agentury Evropské unie pro spolupráci v oblasti prosazování práva (</w:t>
      </w:r>
      <w:proofErr w:type="spellStart"/>
      <w:r w:rsidRPr="00D27313">
        <w:t>Europol</w:t>
      </w:r>
      <w:proofErr w:type="spellEnd"/>
      <w:r w:rsidRPr="00D27313">
        <w:t xml:space="preserve">), Radě, Komisi a Účetnímu dvoru a aby zajistila jejich zveřejnění v </w:t>
      </w:r>
      <w:r w:rsidRPr="00D27313">
        <w:rPr>
          <w:i/>
        </w:rPr>
        <w:t>Úředním věstníku Evropské unie</w:t>
      </w:r>
      <w:r w:rsidRPr="00D27313">
        <w:t xml:space="preserve"> (řada L).</w:t>
      </w:r>
    </w:p>
    <w:p w:rsidR="00B011BD" w:rsidRPr="00D27313" w:rsidRDefault="00B011BD" w:rsidP="00B011BD"/>
    <w:p w:rsidR="00B011BD" w:rsidRPr="00D27313" w:rsidRDefault="00B011BD" w:rsidP="00B011BD">
      <w:pPr>
        <w:widowControl/>
        <w:rPr>
          <w:rFonts w:ascii="Arial" w:hAnsi="Arial" w:cs="Arial"/>
          <w:b/>
        </w:rPr>
        <w:sectPr w:rsidR="00B011BD" w:rsidRPr="00D27313" w:rsidSect="00D27313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B011BD" w:rsidRPr="0054743D" w:rsidRDefault="00B011BD" w:rsidP="0054743D">
      <w:pPr>
        <w:pStyle w:val="PageHeading"/>
        <w:jc w:val="left"/>
        <w:rPr>
          <w:rFonts w:ascii="Times New Roman" w:hAnsi="Times New Roman" w:cs="Times New Roman"/>
        </w:rPr>
      </w:pPr>
      <w:bookmarkStart w:id="8" w:name="_Toc146794872"/>
      <w:bookmarkStart w:id="9" w:name="_Toc161994136"/>
      <w:r w:rsidRPr="0054743D">
        <w:rPr>
          <w:rFonts w:ascii="Times New Roman" w:hAnsi="Times New Roman" w:cs="Times New Roman"/>
        </w:rPr>
        <w:lastRenderedPageBreak/>
        <w:t xml:space="preserve">2. </w:t>
      </w:r>
      <w:r w:rsidR="0054743D">
        <w:rPr>
          <w:rFonts w:ascii="Times New Roman" w:hAnsi="Times New Roman" w:cs="Times New Roman"/>
        </w:rPr>
        <w:t>Rozhodnutí E</w:t>
      </w:r>
      <w:r w:rsidR="0054743D" w:rsidRPr="0054743D">
        <w:rPr>
          <w:rFonts w:ascii="Times New Roman" w:hAnsi="Times New Roman" w:cs="Times New Roman"/>
        </w:rPr>
        <w:t>vropského parlamentu</w:t>
      </w:r>
      <w:bookmarkEnd w:id="8"/>
      <w:bookmarkEnd w:id="9"/>
      <w:r w:rsidR="0054743D" w:rsidRPr="0054743D">
        <w:rPr>
          <w:rFonts w:ascii="Times New Roman" w:hAnsi="Times New Roman" w:cs="Times New Roman"/>
        </w:rPr>
        <w:t xml:space="preserve"> ze dne 11. dubna 2024 </w:t>
      </w:r>
      <w:r w:rsidRPr="0054743D">
        <w:rPr>
          <w:rFonts w:ascii="Times New Roman" w:hAnsi="Times New Roman" w:cs="Times New Roman"/>
        </w:rPr>
        <w:t>o uzavření účtů Agentury Evropské unie pro spolupráci v oblasti prosazování práva (</w:t>
      </w:r>
      <w:proofErr w:type="spellStart"/>
      <w:r w:rsidRPr="0054743D">
        <w:rPr>
          <w:rFonts w:ascii="Times New Roman" w:hAnsi="Times New Roman" w:cs="Times New Roman"/>
        </w:rPr>
        <w:t>Europol</w:t>
      </w:r>
      <w:proofErr w:type="spellEnd"/>
      <w:r w:rsidRPr="0054743D">
        <w:rPr>
          <w:rFonts w:ascii="Times New Roman" w:hAnsi="Times New Roman" w:cs="Times New Roman"/>
        </w:rPr>
        <w:t>) za rozpočtový rok 2022</w:t>
      </w:r>
      <w:r w:rsidR="0054743D" w:rsidRPr="0054743D">
        <w:rPr>
          <w:rFonts w:ascii="Times New Roman" w:hAnsi="Times New Roman" w:cs="Times New Roman"/>
        </w:rPr>
        <w:t xml:space="preserve"> </w:t>
      </w:r>
      <w:r w:rsidRPr="0054743D">
        <w:rPr>
          <w:rFonts w:ascii="Times New Roman" w:hAnsi="Times New Roman" w:cs="Times New Roman"/>
        </w:rPr>
        <w:t>(2023/2169(DEC))</w:t>
      </w:r>
    </w:p>
    <w:p w:rsidR="00B011BD" w:rsidRPr="00D27313" w:rsidRDefault="00B011BD" w:rsidP="00B011BD">
      <w:pPr>
        <w:pStyle w:val="EPComma"/>
      </w:pPr>
      <w:r w:rsidRPr="00D27313">
        <w:rPr>
          <w:i/>
        </w:rPr>
        <w:t>Evropský parlament</w:t>
      </w:r>
      <w:r w:rsidRPr="00D27313">
        <w:t>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konečnou roční účetní závěrku Agentury Evropské unie pro spolupráci v oblasti prosazování práva (</w:t>
      </w:r>
      <w:proofErr w:type="spellStart"/>
      <w:r w:rsidRPr="00D27313">
        <w:t>Europol</w:t>
      </w:r>
      <w:proofErr w:type="spellEnd"/>
      <w:r w:rsidRPr="00D27313">
        <w:t>) za rozpočtový rok 2022,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výroční zprávu Účetního dvora o agenturách EU za rozpočtový rok 2022 spolu s odpověďmi agentur</w:t>
      </w:r>
      <w:r w:rsidRPr="00D27313">
        <w:rPr>
          <w:rStyle w:val="FootnoteReference"/>
        </w:rPr>
        <w:footnoteReference w:id="6"/>
      </w:r>
      <w:r w:rsidRPr="00D27313">
        <w:t>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prohlášení o věrohodnosti</w:t>
      </w:r>
      <w:r w:rsidRPr="00D27313">
        <w:rPr>
          <w:rStyle w:val="FootnoteReference"/>
        </w:rPr>
        <w:footnoteReference w:id="7"/>
      </w:r>
      <w:r w:rsidRPr="00D27313">
        <w:t xml:space="preserve"> účetnictví a o legalitě a správnosti uskutečněných operací, které předložil Účetní dvůr za rozpočtový rok 2022 podle článku 287 Smlouvy o fungování Evropské unie,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doporučení Rady ze dne 22. února 2024 o udělení absolutoria agentuře za plnění rozpočtu na rozpočtový rok 2022 (0</w:t>
      </w:r>
      <w:r w:rsidR="00026F4C">
        <w:t>6180</w:t>
      </w:r>
      <w:r w:rsidRPr="00D27313">
        <w:t>/2024 – C9</w:t>
      </w:r>
      <w:r w:rsidRPr="00D27313">
        <w:noBreakHyphen/>
        <w:t>0</w:t>
      </w:r>
      <w:r w:rsidR="00026F4C">
        <w:t>107</w:t>
      </w:r>
      <w:r w:rsidRPr="00D27313">
        <w:t>/2024),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článek 319 Smlouvy o fungování Evropské unie,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</w:t>
      </w:r>
      <w:r w:rsidR="0054743D">
        <w:t>/2014 a rozhodnutí č. 541/2014/</w:t>
      </w:r>
      <w:r w:rsidRPr="00D27313">
        <w:t>EU a zrušuje nařízení (EU, Euratom) č. 966/2012</w:t>
      </w:r>
      <w:r w:rsidRPr="00D27313">
        <w:rPr>
          <w:rStyle w:val="FootnoteReference"/>
        </w:rPr>
        <w:footnoteReference w:id="8"/>
      </w:r>
      <w:r w:rsidRPr="00D27313">
        <w:t>, a zejména článek 70 tohoto nařízení,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nařízení Evropského parlamentu a Rady (EU) 2016/794 ze dne 11. května 2016 o Agentuře Evropské unie pro spolupráci v oblasti prosazování práva (</w:t>
      </w:r>
      <w:proofErr w:type="spellStart"/>
      <w:r w:rsidRPr="00D27313">
        <w:t>Europol</w:t>
      </w:r>
      <w:proofErr w:type="spellEnd"/>
      <w:r w:rsidRPr="00D27313">
        <w:t>) a o zrušení a nahrazení rozhodnutí 2009/371/SVV, 2009/934/SVV, 2009/935/SVV, 2009/936/SVV a 2009/968/SVV</w:t>
      </w:r>
      <w:r w:rsidRPr="00D27313">
        <w:rPr>
          <w:rStyle w:val="FootnoteReference"/>
        </w:rPr>
        <w:footnoteReference w:id="9"/>
      </w:r>
      <w:r w:rsidRPr="00D27313">
        <w:t>, a zejména na článek 60 tohoto nařízení,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 xml:space="preserve">s ohledem na nařízení Komise v přenesené pravomoci (EU) 2019/715 ze dne 18. prosince 2018 o rámcovém finančním nařízení pro subjekty zřízené podle </w:t>
      </w:r>
      <w:r w:rsidR="00491A72" w:rsidRPr="00491A72">
        <w:t>Smlouvy o fungování Evropské unie</w:t>
      </w:r>
      <w:r w:rsidRPr="00D27313">
        <w:t xml:space="preserve"> a Smlouvy o Euratomu a uvedené v článku 70 nařízení Evropského parlamentu a Rady (EU, Euratom) 2018/1046</w:t>
      </w:r>
      <w:r w:rsidRPr="00D27313">
        <w:rPr>
          <w:rStyle w:val="FootnoteReference"/>
        </w:rPr>
        <w:footnoteReference w:id="10"/>
      </w:r>
      <w:r w:rsidRPr="00D27313">
        <w:t>, a zejména na článek 105 tohoto nařízení,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 ohledem na článek 100 a přílohu V jednacího řádu,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stanovisko Výboru pro občanské svobody, spravedlnost a vnitřní věci,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zprávu Výboru pro rozpočtovou kontrolu (A9</w:t>
      </w:r>
      <w:r w:rsidRPr="00D27313">
        <w:noBreakHyphen/>
        <w:t>0119/2024),</w:t>
      </w:r>
    </w:p>
    <w:p w:rsidR="00B011BD" w:rsidRPr="00D27313" w:rsidRDefault="00B011BD" w:rsidP="00B011BD">
      <w:pPr>
        <w:pStyle w:val="NormalHanging12a"/>
      </w:pPr>
      <w:r w:rsidRPr="00D27313">
        <w:t>1.</w:t>
      </w:r>
      <w:r w:rsidRPr="00D27313">
        <w:tab/>
        <w:t xml:space="preserve">schvaluje uzavření účtů Agentury Evropské unie pro spolupráci v oblasti prosazování </w:t>
      </w:r>
      <w:r w:rsidRPr="00D27313">
        <w:lastRenderedPageBreak/>
        <w:t>práva (</w:t>
      </w:r>
      <w:proofErr w:type="spellStart"/>
      <w:r w:rsidRPr="00D27313">
        <w:t>Europol</w:t>
      </w:r>
      <w:proofErr w:type="spellEnd"/>
      <w:r w:rsidRPr="00D27313">
        <w:t>) za rozpočtový rok 2022;</w:t>
      </w:r>
    </w:p>
    <w:p w:rsidR="00B011BD" w:rsidRPr="00D27313" w:rsidRDefault="00B011BD" w:rsidP="00B011BD">
      <w:pPr>
        <w:pStyle w:val="NormalHanging12a"/>
      </w:pPr>
      <w:r w:rsidRPr="00D27313">
        <w:t>2.</w:t>
      </w:r>
      <w:r w:rsidRPr="00D27313">
        <w:tab/>
        <w:t>pověřuje svou předsedkyni, aby předala toto rozhodnutí výkonné ředitelce Agentury Evropské unie pro spolupráci v oblasti prosazování práva (</w:t>
      </w:r>
      <w:proofErr w:type="spellStart"/>
      <w:r w:rsidRPr="00D27313">
        <w:t>Europol</w:t>
      </w:r>
      <w:proofErr w:type="spellEnd"/>
      <w:r w:rsidRPr="00D27313">
        <w:t xml:space="preserve">), Radě, Komisi a Účetnímu dvoru a aby zajistila jeho zveřejnění v </w:t>
      </w:r>
      <w:r w:rsidRPr="00D27313">
        <w:rPr>
          <w:i/>
        </w:rPr>
        <w:t>Úředním věstníku Evropské unie</w:t>
      </w:r>
      <w:r w:rsidRPr="00D27313">
        <w:t xml:space="preserve"> (řada L).</w:t>
      </w:r>
    </w:p>
    <w:p w:rsidR="00B011BD" w:rsidRPr="00D27313" w:rsidRDefault="00B011BD" w:rsidP="00B011BD"/>
    <w:p w:rsidR="00B011BD" w:rsidRPr="00D27313" w:rsidRDefault="00B011BD" w:rsidP="00B011BD">
      <w:pPr>
        <w:widowControl/>
        <w:rPr>
          <w:rFonts w:ascii="Arial" w:hAnsi="Arial" w:cs="Arial"/>
          <w:b/>
        </w:rPr>
        <w:sectPr w:rsidR="00B011BD" w:rsidRPr="00D27313" w:rsidSect="00D27313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B011BD" w:rsidRPr="0054743D" w:rsidRDefault="00B011BD" w:rsidP="0054743D">
      <w:pPr>
        <w:pStyle w:val="PageHeading"/>
        <w:jc w:val="left"/>
        <w:rPr>
          <w:rFonts w:ascii="Times New Roman" w:hAnsi="Times New Roman" w:cs="Times New Roman"/>
        </w:rPr>
      </w:pPr>
      <w:bookmarkStart w:id="11" w:name="_Toc146794873"/>
      <w:bookmarkStart w:id="12" w:name="_Toc161994137"/>
      <w:r w:rsidRPr="0054743D">
        <w:rPr>
          <w:rFonts w:ascii="Times New Roman" w:hAnsi="Times New Roman" w:cs="Times New Roman"/>
        </w:rPr>
        <w:lastRenderedPageBreak/>
        <w:t xml:space="preserve">3. </w:t>
      </w:r>
      <w:r w:rsidR="0054743D">
        <w:rPr>
          <w:rFonts w:ascii="Times New Roman" w:hAnsi="Times New Roman" w:cs="Times New Roman"/>
        </w:rPr>
        <w:t>Usnesení E</w:t>
      </w:r>
      <w:r w:rsidR="0054743D" w:rsidRPr="0054743D">
        <w:rPr>
          <w:rFonts w:ascii="Times New Roman" w:hAnsi="Times New Roman" w:cs="Times New Roman"/>
        </w:rPr>
        <w:t>vropského parlamentu</w:t>
      </w:r>
      <w:bookmarkEnd w:id="11"/>
      <w:bookmarkEnd w:id="12"/>
      <w:r w:rsidR="0054743D" w:rsidRPr="0054743D">
        <w:rPr>
          <w:rFonts w:ascii="Times New Roman" w:hAnsi="Times New Roman" w:cs="Times New Roman"/>
        </w:rPr>
        <w:t xml:space="preserve"> ze dne 11. dubna 2024 obsahující</w:t>
      </w:r>
      <w:r w:rsidRPr="0054743D">
        <w:rPr>
          <w:rFonts w:ascii="Times New Roman" w:hAnsi="Times New Roman" w:cs="Times New Roman"/>
        </w:rPr>
        <w:t xml:space="preserve"> připomínky, které jsou nedílnou součástí rozhodnutí o udělení absolutoria za plnění rozpočtu Agentury Evropské unie pro spolupráci v oblasti prosazování práva (</w:t>
      </w:r>
      <w:proofErr w:type="spellStart"/>
      <w:r w:rsidRPr="0054743D">
        <w:rPr>
          <w:rFonts w:ascii="Times New Roman" w:hAnsi="Times New Roman" w:cs="Times New Roman"/>
        </w:rPr>
        <w:t>Europol</w:t>
      </w:r>
      <w:proofErr w:type="spellEnd"/>
      <w:r w:rsidRPr="0054743D">
        <w:rPr>
          <w:rFonts w:ascii="Times New Roman" w:hAnsi="Times New Roman" w:cs="Times New Roman"/>
        </w:rPr>
        <w:t>) na rozpočtový rok 2022</w:t>
      </w:r>
      <w:r w:rsidR="0054743D" w:rsidRPr="0054743D">
        <w:rPr>
          <w:rFonts w:ascii="Times New Roman" w:hAnsi="Times New Roman" w:cs="Times New Roman"/>
        </w:rPr>
        <w:t xml:space="preserve"> </w:t>
      </w:r>
      <w:r w:rsidRPr="0054743D">
        <w:rPr>
          <w:rFonts w:ascii="Times New Roman" w:hAnsi="Times New Roman" w:cs="Times New Roman"/>
        </w:rPr>
        <w:t>(2023/2169(DEC))</w:t>
      </w:r>
    </w:p>
    <w:p w:rsidR="00B011BD" w:rsidRPr="00D27313" w:rsidRDefault="00B011BD" w:rsidP="00B011BD">
      <w:pPr>
        <w:pStyle w:val="EPComma"/>
      </w:pPr>
      <w:r w:rsidRPr="00D27313">
        <w:rPr>
          <w:i/>
        </w:rPr>
        <w:t>Evropský parlament</w:t>
      </w:r>
      <w:r w:rsidRPr="00D27313">
        <w:t>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své rozhodnutí o udělení absolutoria za plnění rozpočtu Agentury Evropské unie pro spolupráci v oblasti prosazování práva (</w:t>
      </w:r>
      <w:proofErr w:type="spellStart"/>
      <w:r w:rsidRPr="00D27313">
        <w:t>Europol</w:t>
      </w:r>
      <w:proofErr w:type="spellEnd"/>
      <w:r w:rsidRPr="00D27313">
        <w:t>) na rozpočtový rok 2022,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 ohledem na článek 100 a přílohu V jednacího řádu,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stanovisko Výboru pro občanské svobody, spravedlnost a vnitřní věci,</w:t>
      </w:r>
    </w:p>
    <w:p w:rsidR="00B011BD" w:rsidRPr="00D27313" w:rsidRDefault="00B011BD" w:rsidP="00B011BD">
      <w:pPr>
        <w:pStyle w:val="NormalHanging12a"/>
      </w:pPr>
      <w:r w:rsidRPr="00D27313">
        <w:t>–</w:t>
      </w:r>
      <w:r w:rsidRPr="00D27313">
        <w:tab/>
        <w:t>s ohledem na zprávu Výboru pro rozpočtovou kontrolu (A9</w:t>
      </w:r>
      <w:r w:rsidRPr="00D27313">
        <w:noBreakHyphen/>
        <w:t>0119/2024),</w:t>
      </w:r>
    </w:p>
    <w:p w:rsidR="00B011BD" w:rsidRPr="00D27313" w:rsidRDefault="00B011BD" w:rsidP="00B011BD">
      <w:pPr>
        <w:pStyle w:val="Normal12Hanging"/>
        <w:widowControl/>
        <w:rPr>
          <w:szCs w:val="24"/>
        </w:rPr>
      </w:pPr>
      <w:r w:rsidRPr="00D27313">
        <w:t>A.</w:t>
      </w:r>
      <w:r w:rsidRPr="00D27313">
        <w:tab/>
        <w:t>vzhledem k tomu, že konečný rozpočet Agentury Evropské unie pro spolupráci v oblasti prosazování práva (</w:t>
      </w:r>
      <w:proofErr w:type="spellStart"/>
      <w:r w:rsidRPr="00D27313">
        <w:t>Europol</w:t>
      </w:r>
      <w:proofErr w:type="spellEnd"/>
      <w:r w:rsidRPr="00D27313">
        <w:t>) na rozpočtový rok 2022 činil podle jejího výkazu příjmů a výdajů</w:t>
      </w:r>
      <w:r w:rsidRPr="00D27313">
        <w:rPr>
          <w:szCs w:val="24"/>
          <w:vertAlign w:val="superscript"/>
        </w:rPr>
        <w:footnoteReference w:id="11"/>
      </w:r>
      <w:r w:rsidRPr="00D27313">
        <w:t>197 759 722 EUR, což ve srovnání s rokem 2021 představuje nárůst o 10,91 %; vzhledem k tomu, že rozpočet agentury se odvíjí převážně od rozpočtu Unie;</w:t>
      </w:r>
    </w:p>
    <w:p w:rsidR="00B011BD" w:rsidRPr="00D27313" w:rsidRDefault="00B011BD" w:rsidP="00B011BD">
      <w:pPr>
        <w:pStyle w:val="Normal12Hanging"/>
        <w:widowControl/>
        <w:rPr>
          <w:szCs w:val="24"/>
        </w:rPr>
      </w:pPr>
      <w:r w:rsidRPr="00D27313">
        <w:t>B.</w:t>
      </w:r>
      <w:r w:rsidRPr="00D27313">
        <w:tab/>
        <w:t>vzhledem k tomu, že Účetní dvůr ve své zprávě o roční účetní závěrce Agentury Evropské unie pro spolupráci v oblasti prosazování práva (</w:t>
      </w:r>
      <w:proofErr w:type="spellStart"/>
      <w:r w:rsidRPr="00D27313">
        <w:t>Europol</w:t>
      </w:r>
      <w:proofErr w:type="spellEnd"/>
      <w:r w:rsidRPr="00D27313">
        <w:t>) za rozpočtový rok 2022 (dále jen „zpráva Účetního dvora“) uvedl, že získal přiměřenou jistotu, že účetní závěrka agentury je spolehlivá a že uskutečněné operace jsou legální a správné;</w:t>
      </w:r>
    </w:p>
    <w:p w:rsidR="00B011BD" w:rsidRPr="00D27313" w:rsidRDefault="00B011BD" w:rsidP="00B011BD">
      <w:pPr>
        <w:pStyle w:val="Normal12Hanging"/>
        <w:widowControl/>
        <w:rPr>
          <w:b/>
          <w:i/>
          <w:szCs w:val="24"/>
        </w:rPr>
      </w:pPr>
      <w:r w:rsidRPr="00D27313">
        <w:rPr>
          <w:b/>
          <w:i/>
        </w:rPr>
        <w:t>Rozpočtové a finanční řízení</w:t>
      </w:r>
    </w:p>
    <w:p w:rsidR="00B011BD" w:rsidRPr="00D27313" w:rsidRDefault="00B011BD" w:rsidP="00B011BD">
      <w:pPr>
        <w:pStyle w:val="NormalHanging12a"/>
      </w:pPr>
      <w:r w:rsidRPr="00D27313">
        <w:t>1.</w:t>
      </w:r>
      <w:r w:rsidRPr="00D27313">
        <w:tab/>
        <w:t>bere na vědomí, že díky monitorování rozpočtu dosáhla míra plnění u prostředků na závazky výše 96,62 %, což ve srovnání s rokem 2021 představuje pokles o 2,1 %; bere na vědomí, že míra čerpání prostředků na platby v běžném roce činila 79,73 %, což ve srovnání s rokem 2021 znamená pokles o 3,78 %; oceňuje úsilí agentury o další snížení zpoždění plateb z 32,8 % v roce 2020 a 7,8 % v roce 2021 na 7,2 % v roce 2022;</w:t>
      </w:r>
      <w:r w:rsidRPr="00D27313">
        <w:rPr>
          <w:b/>
          <w:i/>
        </w:rPr>
        <w:t xml:space="preserve"> </w:t>
      </w:r>
      <w:r w:rsidRPr="00D27313">
        <w:t>se znepokojením však konstatuje, že připomínka Účetního dvora, která zdůrazňuje, že agentura čelí problémům, pokud jde o opožděné platby, doposud nebyla vyřešena; sdílí názor Účetního dvora, že tento opakující se nedostatek ohrožuje pověst agentury;</w:t>
      </w:r>
    </w:p>
    <w:p w:rsidR="00B011BD" w:rsidRPr="00D27313" w:rsidRDefault="00B011BD" w:rsidP="00B011BD">
      <w:pPr>
        <w:pStyle w:val="Normal12Hanging"/>
        <w:widowControl/>
        <w:rPr>
          <w:szCs w:val="24"/>
        </w:rPr>
      </w:pPr>
      <w:r w:rsidRPr="00D27313">
        <w:t>2.</w:t>
      </w:r>
      <w:r w:rsidRPr="00D27313">
        <w:tab/>
        <w:t xml:space="preserve">bere na vědomí nízkou míru čerpání (85 %) prostředků (C8) přenesených z roku 2021 do roku 2022, což mělo za následek nevyužití prostředků ve výši 3,8 milionu EUR; se znepokojením bere na vědomí, že prostředky související se stávajícím rozpočtem přenesené z roku 2022 do roku 2023 dosahují poměrně vysoké úrovně 17 %, tj. 32,5 milionu EUR; dále poukazuje na rostoucí trend v posledních letech (2020 až 2022), pokud jde o přebytek agentury (rozpočtový výsledek) na konci rozpočtového roku, přičemž v roce 2022 činil tento přebytek 10,3 milionu EUR, což je více než dvojnásobek toho, kolik tato částka činila v roce 2021 (5,1 milionu EUR); bere na vědomí, že – jak vyplývá z konsolidované výroční zprávy o činnosti agentury za rok 2022 a ze zprávy agentury v návaznosti na rozhodnutí Parlamentu o udělení absolutoria za plnění rozpočtu agentury na rok 2021 – agentura posoudila hlavní příčiny vysokého </w:t>
      </w:r>
      <w:r w:rsidRPr="00D27313">
        <w:lastRenderedPageBreak/>
        <w:t>přebytku na konci rozpočtového roku a převodu v rámci plnění rozpočtových prostředků; v tomto smyslu bere na vědomí, že agentura rovněž vypracovala akční plán; vyzývá agenturu, aby orgánu příslušnému k udělení absolutoria podala zprávu o pokroku v tomto ohledu;</w:t>
      </w:r>
    </w:p>
    <w:p w:rsidR="00B011BD" w:rsidRPr="00D27313" w:rsidRDefault="00B011BD" w:rsidP="00B011BD">
      <w:pPr>
        <w:pStyle w:val="Normal12Hanging"/>
        <w:widowControl/>
        <w:rPr>
          <w:szCs w:val="24"/>
        </w:rPr>
      </w:pPr>
      <w:r w:rsidRPr="00D27313">
        <w:t>3.</w:t>
      </w:r>
      <w:r w:rsidRPr="00D27313">
        <w:tab/>
        <w:t>bere na vědomí, že konečný rozpočet agentury na rok 2022 je výsledkem prvního opravného rozpočtu ve výši 4,3 milionu EUR, který se týká příspěvku Dánska na rok 2022, a druhého opravného rozpočtu ve výši 1,1 milionu EUR, který se týká dohod o přiznání příspěvku a dohod o úrovni služeb;</w:t>
      </w:r>
    </w:p>
    <w:p w:rsidR="00B011BD" w:rsidRPr="00D27313" w:rsidRDefault="00B011BD" w:rsidP="00B011BD">
      <w:pPr>
        <w:pStyle w:val="Normal12Hanging"/>
        <w:widowControl/>
        <w:rPr>
          <w:b/>
          <w:i/>
          <w:szCs w:val="24"/>
        </w:rPr>
      </w:pPr>
      <w:r w:rsidRPr="00D27313">
        <w:rPr>
          <w:b/>
          <w:i/>
        </w:rPr>
        <w:t>Výkonnost</w:t>
      </w:r>
    </w:p>
    <w:p w:rsidR="00B011BD" w:rsidRPr="00D27313" w:rsidRDefault="00B011BD" w:rsidP="00B011BD">
      <w:pPr>
        <w:pStyle w:val="Normal12Hanging"/>
        <w:widowControl/>
        <w:rPr>
          <w:szCs w:val="24"/>
        </w:rPr>
      </w:pPr>
      <w:r w:rsidRPr="00D27313">
        <w:t>4.</w:t>
      </w:r>
      <w:r w:rsidRPr="00D27313">
        <w:tab/>
        <w:t>s uspokojením bere na vědomí, že – jak vyplývá z konsolidované výroční zprávy o činnosti agentury – agentura v roce 2022 používala k posuzování přidané hodnoty svých činností a dalších opatření ke zlepšení svého rozpočtového řízení klíčové ukazatele výkonnosti a ukazatele pracovního programu; bere na vědomí, že agentura sledovala 15 klíčových ukazatelů výkonnosti a 56 ukazatelů pracovního programu; bere na vědomí, že 10 klíčových ukazatelů výkonnosti a 40 ukazatelů pracovního programu dosáhlo nebo překročilo stanovené cíle; v této souvislosti oceňuje nárůst některých klíčových ukazatelů výkonnosti ve srovnání s předchozími lety, a to ve spojitosti s počtem operací (2 758) či počtem dnů společné akce (394) za podpory agentury, jakož i s počtem pátrání provedených v systémech EIS a QUEST (13 milionů) a počtem kontrol přeshraniční trestné činnosti v systému EIS týkajících se osob (2 339);</w:t>
      </w:r>
    </w:p>
    <w:p w:rsidR="00B011BD" w:rsidRPr="00D27313" w:rsidRDefault="00B011BD" w:rsidP="00B011BD">
      <w:pPr>
        <w:pStyle w:val="Normal12Hanging"/>
        <w:widowControl/>
        <w:rPr>
          <w:szCs w:val="24"/>
        </w:rPr>
      </w:pPr>
      <w:r w:rsidRPr="00D27313">
        <w:t>5.</w:t>
      </w:r>
      <w:r w:rsidRPr="00D27313">
        <w:tab/>
        <w:t xml:space="preserve">vyjadřuje agentuře uznání za rozsáhlé úspěchy při plnění jejích pěti víceletých strategických priorit stanovených ve strategii </w:t>
      </w:r>
      <w:proofErr w:type="spellStart"/>
      <w:r w:rsidRPr="00D27313">
        <w:t>Europolu</w:t>
      </w:r>
      <w:proofErr w:type="spellEnd"/>
      <w:r w:rsidRPr="00D27313">
        <w:t xml:space="preserve"> 2020+; bere na vědomí zejména zřízení jednotky pro správu informací, vypracování strategie v oblasti informačních a komunikačních technologií, která by měla pomoci při provádění strategie agentury v oblasti správy informací, a zavedení nového přístupu „business </w:t>
      </w:r>
      <w:proofErr w:type="spellStart"/>
      <w:r w:rsidRPr="00D27313">
        <w:t>value</w:t>
      </w:r>
      <w:proofErr w:type="spellEnd"/>
      <w:r w:rsidRPr="00D27313">
        <w:t xml:space="preserve"> model“ pro sledování pokroku v oblasti informačních a komunikačních technologií; bere na vědomí, že do struktury jednotky pro správu informací byla začleněna inovační laboratoř </w:t>
      </w:r>
      <w:proofErr w:type="spellStart"/>
      <w:r w:rsidRPr="00D27313">
        <w:t>Europolu</w:t>
      </w:r>
      <w:proofErr w:type="spellEnd"/>
      <w:r w:rsidRPr="00D27313">
        <w:t xml:space="preserve"> ve snaze o užší spolupráci, již vyžaduje provádění revidovaného nařízení o </w:t>
      </w:r>
      <w:proofErr w:type="spellStart"/>
      <w:r w:rsidRPr="00D27313">
        <w:t>Europolu</w:t>
      </w:r>
      <w:proofErr w:type="spellEnd"/>
      <w:r w:rsidRPr="00D27313">
        <w:t xml:space="preserve">, a že byla zahájena činnost úložiště nástrojů </w:t>
      </w:r>
      <w:proofErr w:type="spellStart"/>
      <w:r w:rsidRPr="00D27313">
        <w:t>Europolu</w:t>
      </w:r>
      <w:proofErr w:type="spellEnd"/>
      <w:r w:rsidRPr="00D27313">
        <w:t xml:space="preserve"> (</w:t>
      </w:r>
      <w:proofErr w:type="spellStart"/>
      <w:r w:rsidRPr="00D27313">
        <w:t>Europol</w:t>
      </w:r>
      <w:proofErr w:type="spellEnd"/>
      <w:r w:rsidRPr="00D27313">
        <w:t xml:space="preserve"> </w:t>
      </w:r>
      <w:proofErr w:type="spellStart"/>
      <w:r w:rsidRPr="00D27313">
        <w:t>Tool</w:t>
      </w:r>
      <w:proofErr w:type="spellEnd"/>
      <w:r w:rsidRPr="00D27313">
        <w:t xml:space="preserve"> </w:t>
      </w:r>
      <w:proofErr w:type="spellStart"/>
      <w:r w:rsidRPr="00D27313">
        <w:t>Repository</w:t>
      </w:r>
      <w:proofErr w:type="spellEnd"/>
      <w:r w:rsidRPr="00D27313">
        <w:t>) s cílem podpořit výzkum a inovace v členských státech, podnítit výměnu zkušeností a podpořit součinnost; dále bere na vědomí zahájení činnosti oddělení digitální podpory, jehož cílem je účinně a účelně reagovat na potřeby členských států a agentury v oblasti vyšetřování, zejména pokud jde o složité případy vyžadující digitální forenzní podporu;</w:t>
      </w:r>
    </w:p>
    <w:p w:rsidR="00B011BD" w:rsidRPr="00D27313" w:rsidRDefault="00B011BD" w:rsidP="00B011BD">
      <w:pPr>
        <w:pStyle w:val="Normal12Hanging"/>
        <w:widowControl/>
      </w:pPr>
      <w:r w:rsidRPr="00D27313">
        <w:t>6.</w:t>
      </w:r>
      <w:r w:rsidRPr="00D27313">
        <w:tab/>
        <w:t xml:space="preserve">oceňuje rychlou reakci agentury a její podporu členským státům v boji proti trestné činnosti po nezákonné a nevyprovokované ruské invazi na Ukrajinu, například vysláním odborníků a hostujících policistů na podporu místních donucovacích orgánů v zemích sousedících s Ukrajinou nebo podporou finančních vyšetřování zaměřených na majetek pocházející z trestné činnosti, který vlastní fyzické a právnické osoby, na něž byly v souvislosti s touto válkou uvaleny sankce; dále bere na vědomí, že v roce 2022 vydala agentura několik vyhodnocení hrozeb týkajících se možných důsledků války, jakož i včasné varování a zpravodajská oznámení týkající se např. obchodování se zbraněmi a obchodování s lidmi; dále vybízí agenturu, aby v maximální míře podporovala činnost Unie a členských států v této oblasti; konstatuje, že nezákonná vojenská invaze způsobila humanitární krizi a přiměla velké množství uprchlíků k útěku z Ukrajiny do Unie, což znamená, že oportunistické zločinecké sítě mohou tuto situaci zneužívat k </w:t>
      </w:r>
      <w:r w:rsidRPr="00D27313">
        <w:lastRenderedPageBreak/>
        <w:t>další trestné činnosti; dále zdůrazňuje, že rozšíření pravomocí agentury, pokud jde o podporu členských států a spolupráci se soukromými subjekty, třetími zeměmi a mezinárodními organizacemi, by vyžadovalo vytvoření dalších vnitřních a vnějších mechanismů dohledu, které by zaručily dodržování právních předpisů EU a ochranu základních práv;</w:t>
      </w:r>
    </w:p>
    <w:p w:rsidR="00B011BD" w:rsidRPr="00D27313" w:rsidRDefault="00B011BD" w:rsidP="00B011BD">
      <w:pPr>
        <w:pStyle w:val="Normal12Hanging"/>
        <w:widowControl/>
      </w:pPr>
      <w:r w:rsidRPr="00D27313">
        <w:t>7.</w:t>
      </w:r>
      <w:r w:rsidRPr="00D27313">
        <w:tab/>
        <w:t xml:space="preserve">bere na vědomí, že agentura i nadále úzce spolupracovala s agenturou </w:t>
      </w:r>
      <w:proofErr w:type="spellStart"/>
      <w:r w:rsidRPr="00D27313">
        <w:t>eu</w:t>
      </w:r>
      <w:proofErr w:type="spellEnd"/>
      <w:r w:rsidRPr="00D27313">
        <w:t xml:space="preserve">-LISA na zavedení automatizovaného srovnávání údajů v žádostech o cestovní povolení uvedených v Evropském systému pro cestovní informace a povolení (ETIAS) s údaji </w:t>
      </w:r>
      <w:proofErr w:type="spellStart"/>
      <w:r w:rsidRPr="00D27313">
        <w:t>Europolu</w:t>
      </w:r>
      <w:proofErr w:type="spellEnd"/>
      <w:r w:rsidRPr="00D27313">
        <w:t>; konstatuje, že zahájení provozu systému ETIAS bylo rozhodnutím Rady odloženo na listopad 2023; oceňuje, že agentura v roce 2022 rozšířila spolupráci s Úřadem evropského veřejného žalobce (EPPO) a do konce roku podpořila 21 významných operací úřadu EPPO v oblasti boje proti daňovým podvodům;</w:t>
      </w:r>
    </w:p>
    <w:p w:rsidR="00B011BD" w:rsidRPr="00D27313" w:rsidRDefault="00B011BD" w:rsidP="00B011BD">
      <w:pPr>
        <w:pStyle w:val="NormalHanging12a"/>
        <w:widowControl/>
        <w:rPr>
          <w:b/>
          <w:i/>
          <w:szCs w:val="24"/>
        </w:rPr>
      </w:pPr>
      <w:r w:rsidRPr="00D27313">
        <w:rPr>
          <w:b/>
          <w:i/>
        </w:rPr>
        <w:t>Účinnost a přínosy</w:t>
      </w:r>
    </w:p>
    <w:p w:rsidR="00B011BD" w:rsidRPr="00D27313" w:rsidRDefault="00B011BD" w:rsidP="00B011BD">
      <w:pPr>
        <w:pStyle w:val="Normal12Hanging"/>
        <w:widowControl/>
      </w:pPr>
      <w:r w:rsidRPr="00D27313">
        <w:t>8.</w:t>
      </w:r>
      <w:r w:rsidRPr="00D27313">
        <w:tab/>
        <w:t xml:space="preserve">bere s uznáním na vědomí, že agentura revidovala svou strategii </w:t>
      </w:r>
      <w:proofErr w:type="spellStart"/>
      <w:r w:rsidRPr="00D27313">
        <w:t>Europol</w:t>
      </w:r>
      <w:proofErr w:type="spellEnd"/>
      <w:r w:rsidRPr="00D27313">
        <w:t xml:space="preserve"> 2020+ a přizpůsobila své strategické priority současným operačním potřebám členských států a bezpečnostním hrozbám, jimž čelí, a usiluje tak o zlepšení své výkonnosti; v tomto smyslu bere na vědomí novou strategickou prioritu, kterou je sblížení příslušných partnerů za účelem přeshraniční spolupráce a společné akce, a to včetně zemí přidružených k </w:t>
      </w:r>
      <w:proofErr w:type="spellStart"/>
      <w:r w:rsidRPr="00D27313">
        <w:t>Schengenu</w:t>
      </w:r>
      <w:proofErr w:type="spellEnd"/>
      <w:r w:rsidRPr="00D27313">
        <w:t>, Interpolu a agentur Unie v oblasti spravedlnosti a vnitřních věcí;</w:t>
      </w:r>
    </w:p>
    <w:p w:rsidR="00B011BD" w:rsidRPr="00D27313" w:rsidRDefault="00B011BD" w:rsidP="00B011BD">
      <w:pPr>
        <w:pStyle w:val="NormalHanging12a"/>
        <w:widowControl/>
        <w:rPr>
          <w:szCs w:val="24"/>
        </w:rPr>
      </w:pPr>
      <w:r w:rsidRPr="00D27313">
        <w:t>9.</w:t>
      </w:r>
      <w:r w:rsidRPr="00D27313">
        <w:tab/>
        <w:t>bere s uznáním na vědomí – jak vyplývá z odpovědí agentury na písemné otázky Parlamentu – rozšířená opatření a postupy agentury, jejichž cílem jsou úspory z důvodu vyšší efektivity v rámci řešení v oblasti IKT, jež jsou součástí systémů hlavních činností (interní zajištění činností namísto externího), digitalizace služeb v oblasti lidských zdrojů (elektronický nábor, elektronická odborná příprava) a nástroje pro sledování mj. plnění rozpočtu, míry volných pracovních míst, smluvních stropů v zadávacích řízeních či ukazatelů kvality životního prostředí; oceňuje agenturu za zavedení nástroje pro řízení veřejných zakázek a za sdílení postupů zadávání veřejných zakázek s ostatními agenturami;</w:t>
      </w:r>
    </w:p>
    <w:p w:rsidR="00B011BD" w:rsidRPr="00D27313" w:rsidRDefault="00B011BD" w:rsidP="00B011BD">
      <w:pPr>
        <w:pStyle w:val="NormalHanging12a"/>
        <w:widowControl/>
        <w:rPr>
          <w:szCs w:val="24"/>
        </w:rPr>
      </w:pPr>
      <w:r w:rsidRPr="00D27313">
        <w:t>10.</w:t>
      </w:r>
      <w:r w:rsidRPr="00D27313">
        <w:tab/>
        <w:t>konstatuje, že v souvislosti se změnou plánování programu interoperability Unie bylo nutné znovu naplánovat vnitřní činnosti a zdroje agentury, což si vyžádalo přijetí dalších zaměstnanců; v této souvislosti bere na vědomí dosaženou dohodu, na jejímž základě bude 25 zaměstnanců Evropské agentury pro pohraniční a pobřežní stráž od roku 2024 poskytovat podporu agentuře při plnění jejích závazků v oblasti programu interoperability; dále bere na vědomí zatížení zdrojů agentury v souvislosti s konzultačními postupy s evropským inspektorem ochrany údajů (EIOÚ), přičemž činnostmi souvisejícími s EIOÚ je pověřeno 25 zaměstnanců agentury; oceňuje, že agentura úzce spolupracuje s evropským inspektorem ochrany údajů a že se zabývá jeho doporučeními týkajícími se používání různých systémů, jako je EPRIS, ADEP, SIS, PERCI a QUEST+; bere na vědomí připomínku agentury týkající se zpoždění při zavádění platformy Unie pro nelegální obsah online (PERCI), které bylo způsobeno dopadem stanovisek a následných doporučení evropského inspektora ochrany údajů na vývoj týkající se klíčových operačních otázek; oceňuje, že agentura jmenovala svého úředníka pro otázky základních práv, který jí bude pomáhat při zajišťování dodržování základních práv ve všech činnostech a úkolech agentury;</w:t>
      </w:r>
    </w:p>
    <w:p w:rsidR="00B011BD" w:rsidRPr="00D27313" w:rsidRDefault="00B011BD" w:rsidP="00B011BD">
      <w:pPr>
        <w:pStyle w:val="NormalHanging12a"/>
      </w:pPr>
      <w:r w:rsidRPr="00D27313">
        <w:lastRenderedPageBreak/>
        <w:t>11.</w:t>
      </w:r>
      <w:r w:rsidRPr="00D27313">
        <w:tab/>
        <w:t>oceňuje agenturu za to, že v roce 2022 získala registraci v systému pro environmentální řízení podniků a audit (EMAS); dále oceňuje agenturu za používání kritérií zelených veřejných zakázek a za začlenění politiky a cílů agentury v oblasti životního prostředí do postupů při zadávání veřejných zakázek; bere na vědomí, že agentura zahájila projekt studie proveditelnosti pro vypracování vize agentury v oblasti životního prostředí do roku 2030 s cílem stanovit cíle snížení emisí skleníkových plynů agentury a opatření ke zlepšení, která jsou potřebná k dosažení těchto cílů; vyzývá agenturu, aby orgán příslušný k udělení absolutoria informovala o výsledcích této studie;</w:t>
      </w:r>
      <w:r w:rsidRPr="00D27313">
        <w:rPr>
          <w:b/>
          <w:i/>
        </w:rPr>
        <w:t xml:space="preserve"> </w:t>
      </w:r>
      <w:r w:rsidRPr="00D27313">
        <w:t>vyzývá agenturu, aby zvážila zavedení rovněž přechodných udržitelných a energeticky účinných řešení jak pro svou infrastrukturu, tak pro vnitřní procesy, jako je větší využívání digitálních nástrojů a správy dokumentů;</w:t>
      </w:r>
    </w:p>
    <w:p w:rsidR="00B011BD" w:rsidRPr="00D27313" w:rsidRDefault="00B011BD" w:rsidP="00B011BD">
      <w:pPr>
        <w:pStyle w:val="Normal12Hanging"/>
        <w:widowControl/>
        <w:rPr>
          <w:b/>
          <w:i/>
          <w:szCs w:val="24"/>
        </w:rPr>
      </w:pPr>
      <w:r w:rsidRPr="00D27313">
        <w:rPr>
          <w:b/>
          <w:i/>
        </w:rPr>
        <w:t>Personální politika</w:t>
      </w:r>
    </w:p>
    <w:p w:rsidR="00B011BD" w:rsidRPr="00D27313" w:rsidRDefault="00B011BD" w:rsidP="00B011BD">
      <w:pPr>
        <w:pStyle w:val="Normal12Hanging"/>
        <w:widowControl/>
        <w:rPr>
          <w:szCs w:val="24"/>
        </w:rPr>
      </w:pPr>
      <w:r w:rsidRPr="00D27313">
        <w:t>12.</w:t>
      </w:r>
      <w:r w:rsidRPr="00D27313">
        <w:tab/>
        <w:t xml:space="preserve">bere na vědomí, že ke dni 31. prosince 2022 byl plán pracovních míst naplněn z 99,41 % vzhledem k tomu, že z 686 dočasných zaměstnanců povolených na základě rozpočtu Unie jich bylo jmenováno 682 (v roce 2021 jich bylo 615); bere na vědomí, že v roce 2022 pro agenturu pracovalo 236 smluvních zaměstnanců (z nichž 19 bylo financováno z grantů/dohod) a 55 vyslaných národních odborníků, přičemž v rozpočtu Unie bylo schváleno 235 smluvních zaměstnanců a 71 vyslaných národních odborníků; bere dále na vědomí, že mimo plán pracovních míst bylo na omezenou dobu na rok 2022 přiděleno 11 dodatečných míst dočasných zaměstnanců s cílem omezit počet volných pracovních míst na minimum; konstatuje, že agentura rozlišuje mezi pěti kategoriemi vyslaných národních odborníků, přičemž čtyři kategorie s sebou nenesou žádné nebo jen omezené náklady pro rozpočet agentury a představují dalších 152 osob, takže v roce 2022 pracovalo pro agenturu celkem 207 vyslaných národních odborníků; oceňuje nízkou míru neobsazených míst (0,6 %), které agentura dosáhla v roce 2022 a která je výrazně pod ročním cílem, jímž je maximální míra neobsazených míst ve výši 2 %; bere dále na vědomí, že došlo ke zvýšení fluktuace v rámci agentury </w:t>
      </w:r>
      <w:proofErr w:type="gramStart"/>
      <w:r w:rsidRPr="00D27313">
        <w:t>ze</w:t>
      </w:r>
      <w:proofErr w:type="gramEnd"/>
      <w:r w:rsidRPr="00D27313">
        <w:t xml:space="preserve"> 6,9 % v roce 2021 na 9,12 % v roce 2022;</w:t>
      </w:r>
    </w:p>
    <w:p w:rsidR="00B011BD" w:rsidRPr="00D27313" w:rsidRDefault="00B011BD" w:rsidP="00B011BD">
      <w:pPr>
        <w:pStyle w:val="NormalHanging12a"/>
      </w:pPr>
      <w:r w:rsidRPr="00D27313">
        <w:t>13.</w:t>
      </w:r>
      <w:r w:rsidRPr="00D27313">
        <w:tab/>
        <w:t>zdůrazňuje, že s ohledem na ruskou invazi na Ukrajinu v roce 2022 agentura vyslala operační týmy složené z bezplatně vyslaných národních odborníků do několika členských států, jako je Litva, Slovensko, Maďarsko, Rumunsko nebo Bulharsko, jakož i do partnerských zemí, jako je Moldavsko, čímž zvýšila využívání bezplatných národních odborníků; konstatuje, že příjem neplacených národních odborníků závisí na vnitrostátních rozhodnutích a že některé členské státy se rozhodly v takových situacích přestat vyplácet mzdy, což vede k tomu, že odborníci dostávají pouze denní příspěvek; připomíná, že zatímco denní příspěvek by měl být upravován opravným koeficientem a měl by kompenzovat vyšší životní náklady pomocí údajů o inflaci každé tři roky, tyto sazby se v posledních šesti letech nezměnily; vyzývá agenturu, aby zahájila věcný dialog s Komisí a příslušnými vnitrostátními orgány s cílem zajistit spravedlivou odměnu pro všechny odborníky zaměstnané agenturou;</w:t>
      </w:r>
    </w:p>
    <w:p w:rsidR="00B011BD" w:rsidRPr="00D27313" w:rsidRDefault="00B011BD" w:rsidP="00B011BD">
      <w:pPr>
        <w:pStyle w:val="NormalHanging12a"/>
      </w:pPr>
      <w:r w:rsidRPr="00D27313">
        <w:t>14.</w:t>
      </w:r>
      <w:r w:rsidRPr="00D27313">
        <w:tab/>
        <w:t xml:space="preserve">bere na vědomí, že podle údajů agentury o genderovém složení v roce 2022 byli ve vyšších a středních úrovních vedení muži zastoupeni v míře 82 % (28 mužů a 6 žen), ve správní radě v míře 75 % (38 mužů a 13 žen) a mezi zaměstnanci obecně bylo 65 % mužů (556 mužů a 295 žen); uznává, že podíl žen (35 %) zaměstnaných v agentuře v roce 2022 přesahuje průměr (jak vyplývá ze statistik </w:t>
      </w:r>
      <w:proofErr w:type="spellStart"/>
      <w:r w:rsidRPr="00D27313">
        <w:t>Eurostatu</w:t>
      </w:r>
      <w:proofErr w:type="spellEnd"/>
      <w:r w:rsidRPr="00D27313">
        <w:t xml:space="preserve"> za rok 2021) podílu žen (21,6 %) zaměstnaných v odvětví prosazování práva v Unii (policisté, soudci z povolání a vězeňský personál); připomíná, že je důležité zajistit, aby zastoupení žen a mužů bylo </w:t>
      </w:r>
      <w:r w:rsidRPr="00D27313">
        <w:lastRenderedPageBreak/>
        <w:t>vyvážené, a vyzývá agenturu, aby tento aspekt zohlednila v budoucím náboru zaměstnanců i při jmenování členů svého vrcholného a středního vedení; žádá Komisi a členské státy, aby při předkládání nominací do výkonné rady agentury přihlížely k tomu, že je důležité zajistit vyvážené zastoupení žen a mužů;</w:t>
      </w:r>
    </w:p>
    <w:p w:rsidR="00B011BD" w:rsidRPr="00D27313" w:rsidRDefault="00B011BD" w:rsidP="00B011BD">
      <w:pPr>
        <w:pStyle w:val="NormalHanging12a"/>
      </w:pPr>
      <w:r w:rsidRPr="00D27313">
        <w:t>15.</w:t>
      </w:r>
      <w:r w:rsidRPr="00D27313">
        <w:tab/>
        <w:t>poznamenává, že v roce 2022 ohlásila lékařská služba agentury tři nové případy vyhoření; dále konstatuje, že agentura zavedla opatření ke zlepšení pracovních podmínek zaměstnanců, jako je poradenství v oblasti zdraví při práci a životního stylu, lékařský rozvrh práce na částečný úvazek, doporučení k lékařským specialistům a poradenství pro vedení, které podporuje zaměstnance, a další; bere na vědomí, že správní rada souhlasila s tím, aby se obdobně jako v případě agentury uplatňovalo rozhodnutí Komise o pracovní době a hybridním způsobu práce C(2022), kterým se nahrazují předchozí prováděcí předpisy o pracovní době a o práci na dálku a jehož cílem je stanovit rámec, v němž se práce v kanceláři a práce na dálku považují za rovnocenné způsoby práce; vyzývá agenturu, aby pokračovala v hledání řešení pro snížení počtu případů syndromu vyhoření a aby podávala orgánu příslušnému k udělení absolutoria zprávu o dosaženém pokroku;</w:t>
      </w:r>
    </w:p>
    <w:p w:rsidR="00B011BD" w:rsidRPr="00D27313" w:rsidRDefault="00B011BD" w:rsidP="00B011BD">
      <w:pPr>
        <w:pStyle w:val="NormalHanging12a"/>
      </w:pPr>
      <w:r w:rsidRPr="00D27313">
        <w:t>16.</w:t>
      </w:r>
      <w:r w:rsidRPr="00D27313">
        <w:tab/>
        <w:t>bere na vědomí, že podle odpovědí agentury na písemné otázky Parlamentu agentura sice neprovedla „chartu o rozmanitosti a začleňování“, zavedla však vlastní strategii pro rozmanitost a začleňování; dále bere na vědomí, že v roce 2022 agentura revidovala a přijala Příručku postupů pro provádění rozhodnutí správní rady o politice ochrany lidské důstojnosti a předcházení psychickému a sexuálnímu obtěžování; bere na vědomí, že v období 2017–2022 agentura požádala o externí právní poradenství ve dvou případech údajného obtěžování; konstatuje, že v roce 2022 nebyl žádný případ obtěžování týkající se zaměstnanců agentury předložen soudu;</w:t>
      </w:r>
      <w:r w:rsidRPr="00D27313">
        <w:rPr>
          <w:b/>
          <w:i/>
        </w:rPr>
        <w:t xml:space="preserve"> </w:t>
      </w:r>
      <w:r w:rsidRPr="00D27313">
        <w:t>zdůrazňuje, že je důležité mít zavedeny spolehlivé rámce proti obtěžování, zejména ve vysoce stresovém a náročném pracovním prostředí; vyzývá agenturu, aby zavedla systém odborné přípravy v této oblasti jak pro nově příchozí, tak pro stávající zaměstnance;</w:t>
      </w:r>
    </w:p>
    <w:p w:rsidR="00B011BD" w:rsidRPr="00D27313" w:rsidRDefault="00B011BD" w:rsidP="00B011BD">
      <w:pPr>
        <w:pStyle w:val="NormalHanging12a"/>
        <w:widowControl/>
        <w:rPr>
          <w:b/>
          <w:i/>
          <w:szCs w:val="24"/>
        </w:rPr>
      </w:pPr>
      <w:r w:rsidRPr="00D27313">
        <w:rPr>
          <w:b/>
          <w:i/>
        </w:rPr>
        <w:t>Zadávání veřejných zakázek</w:t>
      </w:r>
    </w:p>
    <w:p w:rsidR="00B011BD" w:rsidRPr="00D27313" w:rsidRDefault="00B011BD" w:rsidP="00B011BD">
      <w:pPr>
        <w:pStyle w:val="NormalHanging12a"/>
        <w:widowControl/>
        <w:rPr>
          <w:szCs w:val="24"/>
        </w:rPr>
      </w:pPr>
      <w:r w:rsidRPr="00D27313">
        <w:t>17.</w:t>
      </w:r>
      <w:r w:rsidRPr="00D27313">
        <w:tab/>
        <w:t xml:space="preserve">bere na vědomí připomínky ze zprávy Účetního dvora, že v roce 2022 agentura vyplatila grant ve výši 3,3 milionu EUR na financování činností vnitrostátních policejních sil v jednom členském státě, včetně částky 1,4 milionu EUR jako úhrady za nákup pěti lodí a 7% rezervy na související režijní náklady, včetně DPH; bere na vědomí hodnocení Účetního dvora, že v případě pořízení lodí pro policejní výcvik však DPH neměla být podle ustanovení čl. 186 odst. 4 písm. c) finančního nařízení vrácena, protože příjemcem je veřejnoprávní subjekt, který vykonává činnost jako orgán veřejné moci, a proto byla tato část grantu ve výši 0,2 milionu EUR označena za nesprávnou; v této souvislosti uznává, že – jak vyplývá z odpovědi agentury – s ohledem na článek 5 rozhodnutí Rady 2008/617/SVV o zlepšení spolupráce mezi zvláštními zásahovými jednotkami členských států Evropské unie, který stanoví, že zvláštní zásahové jednotky zajistí pořádání společné odborné přípravy a cvičení, přičemž operační grant se týkal činností zvláštních zásahových jednotek koordinovaných jedním členským státem, měla agentura za to, že podle čl. 186 odst. 4 písm. c) finančního nařízení a odpovídajících zvláštních prováděcích pokynů Komise týkajících se správy grantů je daň z přidané hodnoty (DPH) způsobilým nákladem, pokud není podle platných právních předpisů členských států vratná a pokud se týká odborné přípravy, zvyšování povědomí nebo podobných činností v oblasti bezpečnosti, s výjimkou DPH zaplacené členskými státy, jednají-li jakožto orgány veřejné moci v rámci svých svrchovaných pravomocí, zejména </w:t>
      </w:r>
      <w:r w:rsidRPr="00D27313">
        <w:lastRenderedPageBreak/>
        <w:t>pokud související služby nemohly poskytovat soukromé společnosti; v neposlední řadě bere na vědomí závazek agentury posuzovat způsobilost DPH u operačních grantů s ohledem na připomínky Účetního dvora;</w:t>
      </w:r>
    </w:p>
    <w:p w:rsidR="00B011BD" w:rsidRPr="00D27313" w:rsidRDefault="00B011BD" w:rsidP="00B011BD">
      <w:pPr>
        <w:pStyle w:val="NormalHanging12a"/>
        <w:widowControl/>
        <w:rPr>
          <w:b/>
          <w:i/>
          <w:szCs w:val="24"/>
        </w:rPr>
      </w:pPr>
      <w:r w:rsidRPr="00D27313">
        <w:rPr>
          <w:b/>
          <w:i/>
        </w:rPr>
        <w:t>Prevence a řešení střetů zájmů a transparentnost</w:t>
      </w:r>
    </w:p>
    <w:p w:rsidR="00B011BD" w:rsidRPr="00D27313" w:rsidRDefault="00B011BD" w:rsidP="00B011BD">
      <w:pPr>
        <w:pStyle w:val="NormalHanging12a"/>
      </w:pPr>
      <w:r w:rsidRPr="00D27313">
        <w:t>18.</w:t>
      </w:r>
      <w:r w:rsidRPr="00D27313">
        <w:tab/>
        <w:t xml:space="preserve">bere na vědomí stávající opatření a setrvalé úsilí agentury o zajištění transparentnosti, o prevenci střetů zájmů a jejich řešení a o ochranu </w:t>
      </w:r>
      <w:proofErr w:type="spellStart"/>
      <w:r w:rsidRPr="00D27313">
        <w:t>whistleblowerů</w:t>
      </w:r>
      <w:proofErr w:type="spellEnd"/>
      <w:r w:rsidRPr="00D27313">
        <w:t>; s uspokojením konstatuje, že prohlášení o zájmech a životopisy všech členů správní rady a vrcholného vedení jsou zveřejněny na internetových stránkách agentury;</w:t>
      </w:r>
      <w:r w:rsidRPr="00D27313">
        <w:rPr>
          <w:b/>
          <w:i/>
        </w:rPr>
        <w:t xml:space="preserve"> </w:t>
      </w:r>
      <w:r w:rsidRPr="00D27313">
        <w:t>vyzývá agenturu, aby zvážila opatření, která zabrání také efektu otáčivých dveří;</w:t>
      </w:r>
    </w:p>
    <w:p w:rsidR="00B011BD" w:rsidRPr="00D27313" w:rsidRDefault="00B011BD" w:rsidP="00B011BD">
      <w:pPr>
        <w:pStyle w:val="NormalHanging12a"/>
        <w:widowControl/>
        <w:rPr>
          <w:szCs w:val="24"/>
        </w:rPr>
      </w:pPr>
      <w:r w:rsidRPr="00D27313">
        <w:t>19.</w:t>
      </w:r>
      <w:r w:rsidRPr="00D27313">
        <w:tab/>
        <w:t xml:space="preserve">konstatuje, že v průběhu roku 2022 řešila agentura šest případů týkajících se střetu zájmů: dva byly spojeny s úlohou poradce ve výběrovém řízení, jeden se objevil během náboru úspěšného uchazeče před nástupem do funkce v agentuře a dva se týkaly zaměstnanců po ukončení služebního poměru; dále bere na vědomí, že v souvislosti s těmito situacemi byla přijata odpovídající opatření, včetně podmíněných povolení k zaměstnání po ukončení služebního poměru; bere na vědomí, že agentura v roce 2022 řešila jeden případ </w:t>
      </w:r>
      <w:proofErr w:type="spellStart"/>
      <w:r w:rsidRPr="00D27313">
        <w:t>whistleblowingu</w:t>
      </w:r>
      <w:proofErr w:type="spellEnd"/>
      <w:r w:rsidRPr="00D27313">
        <w:t xml:space="preserve"> týkající se možného porušení služebních povinností, který byl uzavřen bez dalších opatření;</w:t>
      </w:r>
    </w:p>
    <w:p w:rsidR="00B011BD" w:rsidRPr="00D27313" w:rsidRDefault="00B011BD" w:rsidP="00B011BD">
      <w:pPr>
        <w:pStyle w:val="NormalHanging12a"/>
      </w:pPr>
      <w:r w:rsidRPr="00D27313">
        <w:t>20.</w:t>
      </w:r>
      <w:r w:rsidRPr="00D27313">
        <w:tab/>
        <w:t>vyjadřuje znepokojení nad zprávami sdělovacích prostředků o střetu zájmů mezi zaměstnanci agentury; bere na vědomí, že v prosinci 2023 se evropská veřejná ochránkyně práv rozhodla zahájit šetření ohledně postupu agentury v souvislosti s přesunem dvou bývalých zaměstnanců na pozice související s bojem proti sexuálnímu zneužívání dětí na internetu; konstatuje, že první zaměstnanec přijal počátkem roku 2022 zaměstnání u jednoho významného technologického zainteresovaného subjektu a druhý zaměstnanec se stal ještě v témže roce členem správní rady stejného subjektu; bere na vědomí odpověď agentury a vyzývá k důkladnému prošetření obvinění a k tomu, aby byly orgánu příslušnému k udělení absolutoria předány zjištěné závěry;</w:t>
      </w:r>
    </w:p>
    <w:p w:rsidR="00B011BD" w:rsidRPr="00D27313" w:rsidRDefault="00B011BD" w:rsidP="00B011BD">
      <w:pPr>
        <w:pStyle w:val="NormalHanging12a"/>
        <w:widowControl/>
        <w:rPr>
          <w:szCs w:val="24"/>
        </w:rPr>
      </w:pPr>
      <w:r w:rsidRPr="00D27313">
        <w:rPr>
          <w:b/>
          <w:i/>
        </w:rPr>
        <w:t>Vnitřní kontrola</w:t>
      </w:r>
    </w:p>
    <w:p w:rsidR="00B011BD" w:rsidRPr="00D27313" w:rsidRDefault="00B011BD" w:rsidP="00B011BD">
      <w:pPr>
        <w:pStyle w:val="Normal12Hanging"/>
        <w:widowControl/>
        <w:rPr>
          <w:szCs w:val="24"/>
        </w:rPr>
      </w:pPr>
      <w:r w:rsidRPr="00D27313">
        <w:t>21.</w:t>
      </w:r>
      <w:r w:rsidRPr="00D27313">
        <w:tab/>
        <w:t xml:space="preserve">bere na vědomí připomínky ze zprávy Účetního dvora, že v období let 2020–2022 agentura vyplácela denní příspěvky třem nizozemským státním příslušníkům, kteří byli zaměstnáni jako vyslaní národní odborníci; konstatuje, že vzhledem k tomu, že agentura sídlí v Nizozemsku, neměli tito tři vyslaní národní odborníci na tyto příspěvky podle vnitřních pravidel agentury nárok; dále konstatuje, že ačkoli agentura v prosinci 2022 zastavila vyplácení denních příspěvků těmto třem národním odborníkům, rozhodla se nepožadovat zpět platby, které byly v uvedeném období vyplaceny navíc; konstatuje, že celková částka související s těmito platbami činila 155 553 EUR, z čehož 90 605 EUR bylo vyplaceno v roce 2022; je znepokojen nedostatky v souvislosti s kontrolami </w:t>
      </w:r>
      <w:r w:rsidRPr="00D27313">
        <w:rPr>
          <w:i/>
          <w:iCs/>
        </w:rPr>
        <w:t>ex ante</w:t>
      </w:r>
      <w:r w:rsidRPr="00D27313">
        <w:t xml:space="preserve">, které agentura prováděla po dobu více než tří let; bere na vědomí, že podle odpovědi agentury na připomínku Účetního dvora agentura posílila ověřování </w:t>
      </w:r>
      <w:r w:rsidRPr="00D27313">
        <w:rPr>
          <w:i/>
          <w:iCs/>
        </w:rPr>
        <w:t>ex ante</w:t>
      </w:r>
      <w:r w:rsidRPr="00D27313">
        <w:t>, aby se ujistila o legalitě finančních nároků zaměstnanců před vyplacením prostředků;</w:t>
      </w:r>
    </w:p>
    <w:p w:rsidR="00B011BD" w:rsidRPr="00D27313" w:rsidRDefault="00B011BD" w:rsidP="00B011BD">
      <w:pPr>
        <w:pStyle w:val="Normal12Hanging"/>
        <w:widowControl/>
        <w:rPr>
          <w:szCs w:val="24"/>
        </w:rPr>
      </w:pPr>
      <w:r w:rsidRPr="00D27313">
        <w:t>22.</w:t>
      </w:r>
      <w:r w:rsidRPr="00D27313">
        <w:tab/>
        <w:t xml:space="preserve">oceňuje pokrok, kterého agentura dosáhla při provádění dosud neprovedených doporučení z auditu, přičemž 89 % z těch, která jsou kritická nebo velmi důležitá, bylo provedeno v roce 2022; konstatuje, že na konci roku 2022 stále nebylo vyřešeno sedm velmi důležitých doporučení (určených k provedení a platných), vztahujících se ke zprávám o auditech provedených v letech 2018, 2019 a 2021; bere na vědomí, že Útvar </w:t>
      </w:r>
      <w:r w:rsidRPr="00D27313">
        <w:lastRenderedPageBreak/>
        <w:t>interního auditu Komise vydal strategický plán interního auditu agentury na období 2022–2024, který zahrnuje tři témata, včetně auditu koordinace a pracovních ujednání s GŘ HOME provedeného v roce 2022, jehož výsledky se očekávají v roce 2023;</w:t>
      </w:r>
    </w:p>
    <w:p w:rsidR="00B011BD" w:rsidRPr="00D27313" w:rsidRDefault="00B011BD" w:rsidP="00B011BD">
      <w:pPr>
        <w:pStyle w:val="Normal12Hanging"/>
        <w:widowControl/>
        <w:rPr>
          <w:szCs w:val="24"/>
        </w:rPr>
      </w:pPr>
      <w:r w:rsidRPr="00D27313">
        <w:t>23.</w:t>
      </w:r>
      <w:r w:rsidRPr="00D27313">
        <w:tab/>
        <w:t>bere na vědomí závěr vlastního hodnocení účinnosti systému vnitřní kontroly provedeného agenturou prostřednictvím kvantitativních měření i kvalitativních aspektů, včetně souboru 76 ukazatelů vnitřní kontroly, že celkově byly všechny složky systému vnitřní kontroly zavedeny a fungovaly integrovaným způsobem a že v roce 2022 nebyly zjištěny žádné významné nedostatky vnitřní kontroly; bere na vědomí, že útvar interního auditu agentury dokončil přezkum rámce vnitřní kontroly agentury pro rok 2022 a dospěl k závěru, že agentura má zaveden spolehlivý systém vnitřní kontroly;</w:t>
      </w:r>
    </w:p>
    <w:p w:rsidR="00B011BD" w:rsidRPr="00D27313" w:rsidRDefault="00B011BD" w:rsidP="00B011BD">
      <w:pPr>
        <w:pStyle w:val="Normal12Hanging"/>
        <w:widowControl/>
        <w:rPr>
          <w:szCs w:val="24"/>
        </w:rPr>
      </w:pPr>
      <w:r w:rsidRPr="00D27313">
        <w:t>24.</w:t>
      </w:r>
      <w:r w:rsidRPr="00D27313">
        <w:tab/>
        <w:t>bere na vědomí, že agentura v roce 2022 vypracovala a vydala politiku řízení rizik; dále konstatuje, že rizikový profil agentury v roce 2022 se vyznačoval mimo jiné rozšířením mandátu a úkolů, rostoucími nároky na úspěšné dosažení klíčových řešení v oblasti informačních a komunikačních technologií pro zpracování osobních údajů, průběžnou reakcí usilující o zmírnění dopadů v oblasti bezpečnosti a vymáhání práva způsobených válkou na Ukrajině a nárůstem činností v oblasti dohledu a souvisejících kontrol (mimo jiné v oblasti ochrany údajů); oceňuje, že agentura v roce 2022 přijala revidovanou strategii boje proti podvodům na období 2022–2024, která zohledňuje zásady, posuzování rizika podvodů, cíle a opatření v oblasti boje proti podvodům a přezkum provádění opatření strategie boje proti podvodům na období 2017–2020; konstatuje, že Evropský úřad pro boj proti podvodům dokončil vyšetřování (týkající se nesprávných prohlášení o nákladech na služební cesty jednoho ze zaměstnanců agentury), příslušná zpráva byla vydána v roce 2022; bere na vědomí, že rozhodování agentury v této věci je stále v závěrečné fázi; žádá agenturu, aby orgánu příslušnému k udělení absolutoria podala zprávu o následných opatřeních a konečném rozhodnutí v této věci;</w:t>
      </w:r>
    </w:p>
    <w:p w:rsidR="00B011BD" w:rsidRPr="00D27313" w:rsidRDefault="00B011BD" w:rsidP="00B011BD">
      <w:pPr>
        <w:widowControl/>
        <w:spacing w:after="240"/>
        <w:ind w:left="567" w:hanging="567"/>
        <w:rPr>
          <w:b/>
          <w:i/>
          <w:szCs w:val="24"/>
        </w:rPr>
      </w:pPr>
      <w:r w:rsidRPr="00D27313">
        <w:rPr>
          <w:b/>
          <w:i/>
        </w:rPr>
        <w:t>Další připomínky</w:t>
      </w:r>
    </w:p>
    <w:p w:rsidR="00B011BD" w:rsidRPr="00D27313" w:rsidRDefault="00B011BD" w:rsidP="00B011BD">
      <w:pPr>
        <w:pStyle w:val="Normal12Hanging"/>
        <w:widowControl/>
        <w:rPr>
          <w:szCs w:val="24"/>
        </w:rPr>
      </w:pPr>
      <w:r w:rsidRPr="00D27313">
        <w:t>25.</w:t>
      </w:r>
      <w:r w:rsidRPr="00D27313">
        <w:tab/>
        <w:t xml:space="preserve">bere na vědomí, že agentura pokračovala v provádění různých opatření na posílení své veřejné přítomnosti a přítomnosti na internetu prostřednictvím zahájení řady </w:t>
      </w:r>
      <w:proofErr w:type="spellStart"/>
      <w:r w:rsidRPr="00D27313">
        <w:t>podcastů</w:t>
      </w:r>
      <w:proofErr w:type="spellEnd"/>
      <w:r w:rsidRPr="00D27313">
        <w:t>, konsolidace svých internetových stránek, pořádání konferencí, vydávání zpráv (například řady „</w:t>
      </w:r>
      <w:proofErr w:type="spellStart"/>
      <w:r w:rsidRPr="00D27313">
        <w:t>Spotlight</w:t>
      </w:r>
      <w:proofErr w:type="spellEnd"/>
      <w:r w:rsidRPr="00D27313">
        <w:t xml:space="preserve"> Report“ a přepracované zprávy „In </w:t>
      </w:r>
      <w:proofErr w:type="spellStart"/>
      <w:r w:rsidRPr="00D27313">
        <w:t>Brief</w:t>
      </w:r>
      <w:proofErr w:type="spellEnd"/>
      <w:r w:rsidRPr="00D27313">
        <w:t>“) a své přítomnosti v sociálních médiích (v roce 2022 bylo zveřejněno více než 1 100 příspěvků); v této souvislosti konstatuje nárůst počtu „zmínek“ v sociálních médiích s velkým dosahem a výrazný nárůst měřeného výskytu agentury v sociálních médiích v roce 2022 ve srovnání s rokem 2021;</w:t>
      </w:r>
    </w:p>
    <w:p w:rsidR="00B011BD" w:rsidRPr="00D27313" w:rsidRDefault="00B011BD" w:rsidP="00B011BD">
      <w:pPr>
        <w:pStyle w:val="NormalHanging12a"/>
      </w:pPr>
      <w:r w:rsidRPr="00D27313">
        <w:t>26.</w:t>
      </w:r>
      <w:r w:rsidRPr="00D27313">
        <w:tab/>
        <w:t>vyzývá agenturu, aby přijala opatření k zajištění plného souladu s pravidly Unie v oblasti transparentnosti, jakož i se základními právy, normami ochrany údajů a odpovědností, a to i při spolupráci s ostatními agenturami; domnívá se, že pro zajištění větší transparentnosti je nezbytné zveřejňovat setkání a interakce agentury s třetími stranami; vítá v tomto ohledu jmenování úředníka agentury pro otázky základních práv;</w:t>
      </w:r>
    </w:p>
    <w:p w:rsidR="00B011BD" w:rsidRPr="00D27313" w:rsidRDefault="00B011BD" w:rsidP="0054743D">
      <w:pPr>
        <w:pStyle w:val="NormalHanging12a"/>
      </w:pPr>
      <w:r w:rsidRPr="00D27313">
        <w:t>27.</w:t>
      </w:r>
      <w:r w:rsidRPr="00D27313">
        <w:tab/>
        <w:t xml:space="preserve">konstatuje, že dne 16. září 2022 požádal evropský inspektor ochrany údajů Soudní dvůr Evropské unie, aby zrušil dvě ustanovení pozměněného nařízení o </w:t>
      </w:r>
      <w:proofErr w:type="spellStart"/>
      <w:r w:rsidRPr="00D27313">
        <w:t>Europolu</w:t>
      </w:r>
      <w:proofErr w:type="spellEnd"/>
      <w:r w:rsidRPr="00D27313">
        <w:t xml:space="preserve">, a to články 74a a 74b, neboť vážně narušují právní jistotu, pokud jde o osobní údaje fyzických osob, a ohrožují nezávislost evropského inspektora ochrany údajů; dále bere na vědomí usnesení Tribunálu ve věci T-578/22 ze dne 6. září 2023, kterým byla žaloba evropského inspektora ochrany údajů proti pozměněnému nařízení o </w:t>
      </w:r>
      <w:proofErr w:type="spellStart"/>
      <w:r w:rsidRPr="00D27313">
        <w:t>Europolu</w:t>
      </w:r>
      <w:proofErr w:type="spellEnd"/>
      <w:r w:rsidRPr="00D27313">
        <w:t xml:space="preserve"> </w:t>
      </w:r>
      <w:r w:rsidRPr="00D27313">
        <w:lastRenderedPageBreak/>
        <w:t xml:space="preserve">prohlášena za nepřípustnou, a pokud jde o případné účinky sporných ustanovení na rozhodnutí evropského inspektora ochrany údajů ze dne 3. ledna 2022, tento se jich nemůže dovolávat na podporu svých kroků; bere na vědomí, že evropský inspektor ochrany údajů se ve věci T-578/22 odvolal a že je pověřen dohledem nad zákonností zpracování osobních údajů agenturou podle nařízení (EU) 2016/794; vítá snahu agentury zabývat se doporučeními evropského inspektora ochrany údajů, a zejména to, že všechny příspěvky z doby před vstupem pozměněného nařízení o </w:t>
      </w:r>
      <w:proofErr w:type="spellStart"/>
      <w:r w:rsidRPr="00D27313">
        <w:t>Europolu</w:t>
      </w:r>
      <w:proofErr w:type="spellEnd"/>
      <w:r w:rsidRPr="00D27313">
        <w:t xml:space="preserve"> v platnost byly mezitím zařazeny do kategorie subjektů údajů;</w:t>
      </w:r>
    </w:p>
    <w:p w:rsidR="00B011BD" w:rsidRPr="00D27313" w:rsidRDefault="00B011BD" w:rsidP="00B011BD">
      <w:pPr>
        <w:widowControl/>
        <w:tabs>
          <w:tab w:val="left" w:pos="-720"/>
        </w:tabs>
        <w:spacing w:after="240"/>
        <w:ind w:left="567" w:hanging="567"/>
      </w:pPr>
      <w:r w:rsidRPr="00D27313">
        <w:t>28.</w:t>
      </w:r>
      <w:r w:rsidRPr="00D27313">
        <w:tab/>
        <w:t xml:space="preserve">připomíná zjištění obsažená ve zprávě evropského inspektora ochrany údajů o auditu agentury ze dne 16. prosince 2022, který se zaměřil na zvláštní kontroly souborů údajů státních příslušníků třetích zemí v držení agentury; připomíná, že evropský inspektor ochrany údajů dospěl k závěru, že obecný postup posuzování informací poskytovaných partnery o nezletilých osobách (včetně nezletilých do 15 let) je jednoznačný a dobře propracovaný; připomíná, že evropský inspektor ochrany údajů zjistil více případů, kdy přiřazení stejné míry podezření (z hlediska klasifikace) údajům nezletilých, kteří se zjevně dopustili relativně méně závažného deliktu v širším rámci organizované zločinecké skupiny, nemusí splňovat prahovou hodnotu „přísné proporcionality“; zdůrazňuje, že agentura má povinnost dodržovat zásadu „přísné proporcionality“ stanovenou v čl. 30 odst. 1 nařízení o </w:t>
      </w:r>
      <w:proofErr w:type="spellStart"/>
      <w:r w:rsidRPr="00D27313">
        <w:t>Europolu</w:t>
      </w:r>
      <w:proofErr w:type="spellEnd"/>
      <w:r w:rsidRPr="00D27313">
        <w:t>;</w:t>
      </w:r>
    </w:p>
    <w:p w:rsidR="00B011BD" w:rsidRPr="00D27313" w:rsidRDefault="00B011BD" w:rsidP="00B011BD">
      <w:pPr>
        <w:pStyle w:val="NormalCenter12a"/>
      </w:pPr>
      <w:r w:rsidRPr="00D27313">
        <w:t>°</w:t>
      </w:r>
    </w:p>
    <w:p w:rsidR="00B011BD" w:rsidRPr="00D27313" w:rsidRDefault="00B011BD" w:rsidP="00B011BD">
      <w:pPr>
        <w:pStyle w:val="NormalCenter12a"/>
      </w:pPr>
      <w:r w:rsidRPr="00D27313">
        <w:t>°</w:t>
      </w:r>
      <w:r w:rsidRPr="00D27313">
        <w:tab/>
        <w:t>°</w:t>
      </w:r>
    </w:p>
    <w:p w:rsidR="00B011BD" w:rsidRPr="00D27313" w:rsidRDefault="00B011BD" w:rsidP="00B011BD">
      <w:pPr>
        <w:pStyle w:val="NormalHanging12a"/>
      </w:pPr>
      <w:r w:rsidRPr="00D27313">
        <w:t>29.</w:t>
      </w:r>
      <w:r w:rsidRPr="00D27313">
        <w:tab/>
        <w:t xml:space="preserve">pokud jde o další připomínky, které jsou připojeny k rozhodnutí o udělení absolutoria a jsou horizontální povahy, odkazuje na své usnesení ze dne </w:t>
      </w:r>
      <w:r w:rsidR="0054743D">
        <w:t>11. dubna 2024</w:t>
      </w:r>
      <w:r w:rsidRPr="00D27313">
        <w:rPr>
          <w:rStyle w:val="FootnoteReference"/>
        </w:rPr>
        <w:footnoteReference w:id="12"/>
      </w:r>
      <w:r w:rsidRPr="00D27313">
        <w:t xml:space="preserve"> o výkonnosti, finančním řízení a kontrole agentur.</w:t>
      </w:r>
    </w:p>
    <w:p w:rsidR="00B011BD" w:rsidRPr="00D27313" w:rsidRDefault="00B011BD" w:rsidP="00B011BD"/>
    <w:sectPr w:rsidR="00B011BD" w:rsidRPr="00D27313" w:rsidSect="00D2731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C31" w:rsidRPr="00D27313" w:rsidRDefault="00BA3C31">
      <w:r w:rsidRPr="00D27313">
        <w:separator/>
      </w:r>
    </w:p>
  </w:endnote>
  <w:endnote w:type="continuationSeparator" w:id="0">
    <w:p w:rsidR="00BA3C31" w:rsidRPr="00D27313" w:rsidRDefault="00BA3C31">
      <w:r w:rsidRPr="00D273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1BD" w:rsidRPr="00D27313" w:rsidRDefault="00B011BD" w:rsidP="0082513B">
    <w:pPr>
      <w:pStyle w:val="EPFooter"/>
    </w:pPr>
    <w:r w:rsidRPr="00D27313">
      <w:t>PE</w:t>
    </w:r>
    <w:r w:rsidRPr="00D27313">
      <w:rPr>
        <w:rStyle w:val="HideTWBExt"/>
      </w:rPr>
      <w:t>&lt;</w:t>
    </w:r>
    <w:proofErr w:type="spellStart"/>
    <w:r w:rsidRPr="00D27313">
      <w:rPr>
        <w:rStyle w:val="HideTWBExt"/>
      </w:rPr>
      <w:t>NoPE</w:t>
    </w:r>
    <w:proofErr w:type="spellEnd"/>
    <w:r w:rsidRPr="00D27313">
      <w:rPr>
        <w:rStyle w:val="HideTWBExt"/>
      </w:rPr>
      <w:t>&gt;</w:t>
    </w:r>
    <w:r w:rsidRPr="00D27313">
      <w:t>753.540</w:t>
    </w:r>
    <w:r w:rsidRPr="00D27313">
      <w:rPr>
        <w:rStyle w:val="HideTWBExt"/>
      </w:rPr>
      <w:t>&lt;/</w:t>
    </w:r>
    <w:proofErr w:type="spellStart"/>
    <w:r w:rsidRPr="00D27313">
      <w:rPr>
        <w:rStyle w:val="HideTWBExt"/>
      </w:rPr>
      <w:t>NoPE</w:t>
    </w:r>
    <w:proofErr w:type="spellEnd"/>
    <w:r w:rsidRPr="00D27313">
      <w:rPr>
        <w:rStyle w:val="HideTWBExt"/>
      </w:rPr>
      <w:t>&gt;&lt;Version&gt;</w:t>
    </w:r>
    <w:r w:rsidRPr="00D27313">
      <w:t>v02-00</w:t>
    </w:r>
    <w:r w:rsidRPr="00D27313">
      <w:rPr>
        <w:rStyle w:val="HideTWBExt"/>
      </w:rPr>
      <w:t>&lt;/</w:t>
    </w:r>
    <w:proofErr w:type="spellStart"/>
    <w:r w:rsidRPr="00D27313">
      <w:rPr>
        <w:rStyle w:val="HideTWBExt"/>
      </w:rPr>
      <w:t>Version</w:t>
    </w:r>
    <w:proofErr w:type="spellEnd"/>
    <w:r w:rsidRPr="00D27313">
      <w:rPr>
        <w:rStyle w:val="HideTWBExt"/>
      </w:rPr>
      <w:t>&gt;</w:t>
    </w:r>
    <w:r w:rsidRPr="00D27313">
      <w:tab/>
    </w:r>
    <w:r w:rsidRPr="00D27313">
      <w:fldChar w:fldCharType="begin"/>
    </w:r>
    <w:r w:rsidRPr="00D27313">
      <w:instrText xml:space="preserve"> PAGE  \* MERGEFORMAT </w:instrText>
    </w:r>
    <w:r w:rsidRPr="00D27313">
      <w:fldChar w:fldCharType="separate"/>
    </w:r>
    <w:r w:rsidRPr="00D27313">
      <w:rPr>
        <w:noProof/>
      </w:rPr>
      <w:t>4</w:t>
    </w:r>
    <w:r w:rsidRPr="00D27313">
      <w:fldChar w:fldCharType="end"/>
    </w:r>
    <w:r w:rsidRPr="00D27313">
      <w:t>/</w:t>
    </w:r>
    <w:fldSimple w:instr=" NUMPAGES  \* MERGEFORMAT ">
      <w:r w:rsidRPr="00D27313">
        <w:rPr>
          <w:noProof/>
        </w:rPr>
        <w:t>4</w:t>
      </w:r>
    </w:fldSimple>
    <w:r w:rsidRPr="00D27313">
      <w:tab/>
    </w:r>
    <w:r w:rsidRPr="00D27313">
      <w:rPr>
        <w:rStyle w:val="HideTWBExt"/>
      </w:rPr>
      <w:t>&lt;PathFdR&gt;</w:t>
    </w:r>
    <w:r w:rsidRPr="00D27313">
      <w:t>RR\1299015CS.docx</w:t>
    </w:r>
    <w:r w:rsidRPr="00D27313">
      <w:rPr>
        <w:rStyle w:val="HideTWBExt"/>
      </w:rPr>
      <w:t>&lt;/</w:t>
    </w:r>
    <w:proofErr w:type="spellStart"/>
    <w:r w:rsidRPr="00D27313">
      <w:rPr>
        <w:rStyle w:val="HideTWBExt"/>
      </w:rPr>
      <w:t>PathFdR</w:t>
    </w:r>
    <w:proofErr w:type="spellEnd"/>
    <w:r w:rsidRPr="00D27313">
      <w:rPr>
        <w:rStyle w:val="HideTWBExt"/>
      </w:rPr>
      <w:t>&gt;</w:t>
    </w:r>
  </w:p>
  <w:p w:rsidR="00B011BD" w:rsidRPr="00D27313" w:rsidRDefault="00B011BD" w:rsidP="0082513B">
    <w:pPr>
      <w:pStyle w:val="EPFooter2"/>
    </w:pPr>
    <w:r w:rsidRPr="00D27313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1BD" w:rsidRPr="00D27313" w:rsidRDefault="00B011BD" w:rsidP="0082513B">
    <w:pPr>
      <w:pStyle w:val="EPFooter"/>
    </w:pPr>
    <w:r w:rsidRPr="00D27313">
      <w:rPr>
        <w:rStyle w:val="HideTWBExt"/>
      </w:rPr>
      <w:t>&lt;PathFdR&gt;</w:t>
    </w:r>
    <w:r w:rsidRPr="00D27313">
      <w:t>RR\1299015CS.docx</w:t>
    </w:r>
    <w:r w:rsidRPr="00D27313">
      <w:rPr>
        <w:rStyle w:val="HideTWBExt"/>
      </w:rPr>
      <w:t>&lt;/</w:t>
    </w:r>
    <w:proofErr w:type="spellStart"/>
    <w:r w:rsidRPr="00D27313">
      <w:rPr>
        <w:rStyle w:val="HideTWBExt"/>
      </w:rPr>
      <w:t>PathFdR</w:t>
    </w:r>
    <w:proofErr w:type="spellEnd"/>
    <w:r w:rsidRPr="00D27313">
      <w:rPr>
        <w:rStyle w:val="HideTWBExt"/>
      </w:rPr>
      <w:t>&gt;</w:t>
    </w:r>
    <w:r w:rsidRPr="00D27313">
      <w:tab/>
    </w:r>
    <w:r w:rsidRPr="00D27313">
      <w:tab/>
      <w:t>PE</w:t>
    </w:r>
    <w:r w:rsidRPr="00D27313">
      <w:rPr>
        <w:rStyle w:val="HideTWBExt"/>
      </w:rPr>
      <w:t>&lt;</w:t>
    </w:r>
    <w:proofErr w:type="spellStart"/>
    <w:r w:rsidRPr="00D27313">
      <w:rPr>
        <w:rStyle w:val="HideTWBExt"/>
      </w:rPr>
      <w:t>NoPE</w:t>
    </w:r>
    <w:proofErr w:type="spellEnd"/>
    <w:r w:rsidRPr="00D27313">
      <w:rPr>
        <w:rStyle w:val="HideTWBExt"/>
      </w:rPr>
      <w:t>&gt;</w:t>
    </w:r>
    <w:r w:rsidRPr="00D27313">
      <w:t>753.540</w:t>
    </w:r>
    <w:r w:rsidRPr="00D27313">
      <w:rPr>
        <w:rStyle w:val="HideTWBExt"/>
      </w:rPr>
      <w:t>&lt;/</w:t>
    </w:r>
    <w:proofErr w:type="spellStart"/>
    <w:r w:rsidRPr="00D27313">
      <w:rPr>
        <w:rStyle w:val="HideTWBExt"/>
      </w:rPr>
      <w:t>NoPE</w:t>
    </w:r>
    <w:proofErr w:type="spellEnd"/>
    <w:r w:rsidRPr="00D27313">
      <w:rPr>
        <w:rStyle w:val="HideTWBExt"/>
      </w:rPr>
      <w:t>&gt;&lt;Version&gt;</w:t>
    </w:r>
    <w:r w:rsidRPr="00D27313">
      <w:t>v02-00</w:t>
    </w:r>
    <w:r w:rsidRPr="00D27313">
      <w:rPr>
        <w:rStyle w:val="HideTWBExt"/>
      </w:rPr>
      <w:t>&lt;/</w:t>
    </w:r>
    <w:proofErr w:type="spellStart"/>
    <w:r w:rsidRPr="00D27313">
      <w:rPr>
        <w:rStyle w:val="HideTWBExt"/>
      </w:rPr>
      <w:t>Version</w:t>
    </w:r>
    <w:proofErr w:type="spellEnd"/>
    <w:r w:rsidRPr="00D27313">
      <w:rPr>
        <w:rStyle w:val="HideTWBExt"/>
      </w:rPr>
      <w:t>&gt;</w:t>
    </w:r>
  </w:p>
  <w:p w:rsidR="00B011BD" w:rsidRPr="00D27313" w:rsidRDefault="00B011BD" w:rsidP="0082513B">
    <w:pPr>
      <w:pStyle w:val="EPFooter2"/>
    </w:pPr>
    <w:r w:rsidRPr="00D27313">
      <w:t>CS</w:t>
    </w:r>
    <w:r w:rsidRPr="00D27313">
      <w:tab/>
    </w:r>
    <w:r w:rsidRPr="00D27313">
      <w:rPr>
        <w:b w:val="0"/>
        <w:i/>
        <w:color w:val="C0C0C0"/>
        <w:sz w:val="22"/>
      </w:rPr>
      <w:t>Jednotná v rozmanitosti</w:t>
    </w:r>
    <w:r w:rsidRPr="00D27313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731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731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73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C31" w:rsidRPr="00D27313" w:rsidRDefault="00BA3C31">
      <w:r w:rsidRPr="00D27313">
        <w:separator/>
      </w:r>
    </w:p>
  </w:footnote>
  <w:footnote w:type="continuationSeparator" w:id="0">
    <w:p w:rsidR="00BA3C31" w:rsidRPr="00D27313" w:rsidRDefault="00BA3C31">
      <w:r w:rsidRPr="00D27313">
        <w:continuationSeparator/>
      </w:r>
    </w:p>
  </w:footnote>
  <w:footnote w:id="1">
    <w:p w:rsidR="00B011BD" w:rsidRPr="00D27313" w:rsidRDefault="00B011BD" w:rsidP="00D27313">
      <w:pPr>
        <w:pStyle w:val="FootnoteText"/>
        <w:ind w:left="567" w:hanging="567"/>
        <w:rPr>
          <w:sz w:val="24"/>
          <w:lang w:val="cs-CZ"/>
        </w:rPr>
      </w:pPr>
      <w:r w:rsidRPr="00D27313">
        <w:rPr>
          <w:rStyle w:val="FootnoteReference"/>
          <w:sz w:val="24"/>
          <w:lang w:val="cs-CZ"/>
        </w:rPr>
        <w:footnoteRef/>
      </w:r>
      <w:r w:rsidR="00D27313" w:rsidRPr="00D27313">
        <w:rPr>
          <w:sz w:val="24"/>
          <w:lang w:val="cs-CZ"/>
        </w:rPr>
        <w:t xml:space="preserve"> </w:t>
      </w:r>
      <w:r w:rsidR="00D27313" w:rsidRPr="00D27313">
        <w:rPr>
          <w:sz w:val="24"/>
          <w:lang w:val="cs-CZ"/>
        </w:rPr>
        <w:tab/>
      </w:r>
      <w:proofErr w:type="spellStart"/>
      <w:r w:rsidRPr="00D27313">
        <w:rPr>
          <w:sz w:val="24"/>
          <w:lang w:val="cs-CZ"/>
        </w:rPr>
        <w:t>Úř</w:t>
      </w:r>
      <w:proofErr w:type="spellEnd"/>
      <w:r w:rsidRPr="00D27313">
        <w:rPr>
          <w:sz w:val="24"/>
          <w:lang w:val="cs-CZ"/>
        </w:rPr>
        <w:t xml:space="preserve">. </w:t>
      </w:r>
      <w:proofErr w:type="spellStart"/>
      <w:proofErr w:type="gramStart"/>
      <w:r w:rsidRPr="00D27313">
        <w:rPr>
          <w:sz w:val="24"/>
          <w:lang w:val="cs-CZ"/>
        </w:rPr>
        <w:t>věst</w:t>
      </w:r>
      <w:proofErr w:type="spellEnd"/>
      <w:proofErr w:type="gramEnd"/>
      <w:r w:rsidRPr="00D27313">
        <w:rPr>
          <w:sz w:val="24"/>
          <w:lang w:val="cs-CZ"/>
        </w:rPr>
        <w:t xml:space="preserve">. C, C/2023/594, </w:t>
      </w:r>
      <w:proofErr w:type="gramStart"/>
      <w:r w:rsidRPr="00D27313">
        <w:rPr>
          <w:sz w:val="24"/>
          <w:lang w:val="cs-CZ"/>
        </w:rPr>
        <w:t>27.10.2023</w:t>
      </w:r>
      <w:proofErr w:type="gramEnd"/>
      <w:r w:rsidRPr="00D27313">
        <w:rPr>
          <w:sz w:val="24"/>
          <w:lang w:val="cs-CZ"/>
        </w:rPr>
        <w:t>.</w:t>
      </w:r>
    </w:p>
  </w:footnote>
  <w:footnote w:id="2">
    <w:p w:rsidR="00B011BD" w:rsidRPr="00D27313" w:rsidRDefault="00B011BD" w:rsidP="00D27313">
      <w:pPr>
        <w:pStyle w:val="FootnoteText"/>
        <w:ind w:left="567" w:hanging="567"/>
        <w:rPr>
          <w:sz w:val="24"/>
          <w:lang w:val="cs-CZ"/>
        </w:rPr>
      </w:pPr>
      <w:r w:rsidRPr="00D27313">
        <w:rPr>
          <w:rStyle w:val="FootnoteReference"/>
          <w:sz w:val="24"/>
          <w:lang w:val="cs-CZ"/>
        </w:rPr>
        <w:footnoteRef/>
      </w:r>
      <w:r w:rsidR="00D27313" w:rsidRPr="00D27313">
        <w:rPr>
          <w:sz w:val="24"/>
          <w:lang w:val="cs-CZ"/>
        </w:rPr>
        <w:t xml:space="preserve"> </w:t>
      </w:r>
      <w:r w:rsidR="00D27313" w:rsidRPr="00D27313">
        <w:rPr>
          <w:sz w:val="24"/>
          <w:lang w:val="cs-CZ"/>
        </w:rPr>
        <w:tab/>
      </w:r>
      <w:proofErr w:type="spellStart"/>
      <w:r w:rsidRPr="00D27313">
        <w:rPr>
          <w:sz w:val="24"/>
          <w:lang w:val="cs-CZ"/>
        </w:rPr>
        <w:t>Úř</w:t>
      </w:r>
      <w:proofErr w:type="spellEnd"/>
      <w:r w:rsidRPr="00D27313">
        <w:rPr>
          <w:sz w:val="24"/>
          <w:lang w:val="cs-CZ"/>
        </w:rPr>
        <w:t xml:space="preserve">. </w:t>
      </w:r>
      <w:proofErr w:type="spellStart"/>
      <w:proofErr w:type="gramStart"/>
      <w:r w:rsidRPr="00D27313">
        <w:rPr>
          <w:sz w:val="24"/>
          <w:lang w:val="cs-CZ"/>
        </w:rPr>
        <w:t>věst</w:t>
      </w:r>
      <w:proofErr w:type="spellEnd"/>
      <w:proofErr w:type="gramEnd"/>
      <w:r w:rsidRPr="00D27313">
        <w:rPr>
          <w:sz w:val="24"/>
          <w:lang w:val="cs-CZ"/>
        </w:rPr>
        <w:t xml:space="preserve">. C, C/2023/112, </w:t>
      </w:r>
      <w:proofErr w:type="gramStart"/>
      <w:r w:rsidRPr="00D27313">
        <w:rPr>
          <w:sz w:val="24"/>
          <w:lang w:val="cs-CZ"/>
        </w:rPr>
        <w:t>12.10.2023</w:t>
      </w:r>
      <w:proofErr w:type="gramEnd"/>
      <w:r w:rsidRPr="00D27313">
        <w:rPr>
          <w:sz w:val="24"/>
          <w:lang w:val="cs-CZ"/>
        </w:rPr>
        <w:t>.</w:t>
      </w:r>
    </w:p>
  </w:footnote>
  <w:footnote w:id="3">
    <w:p w:rsidR="00B011BD" w:rsidRPr="00D27313" w:rsidRDefault="00B011BD" w:rsidP="00D27313">
      <w:pPr>
        <w:pStyle w:val="FootnoteText"/>
        <w:ind w:left="567" w:hanging="567"/>
        <w:rPr>
          <w:sz w:val="24"/>
          <w:lang w:val="cs-CZ"/>
        </w:rPr>
      </w:pPr>
      <w:r w:rsidRPr="00D27313">
        <w:rPr>
          <w:rStyle w:val="FootnoteReference"/>
          <w:sz w:val="24"/>
          <w:lang w:val="cs-CZ"/>
        </w:rPr>
        <w:footnoteRef/>
      </w:r>
      <w:r w:rsidR="00D27313" w:rsidRPr="00D27313">
        <w:rPr>
          <w:sz w:val="24"/>
          <w:lang w:val="cs-CZ"/>
        </w:rPr>
        <w:t xml:space="preserve"> </w:t>
      </w:r>
      <w:r w:rsidR="00D27313" w:rsidRPr="00D27313">
        <w:rPr>
          <w:sz w:val="24"/>
          <w:lang w:val="cs-CZ"/>
        </w:rPr>
        <w:tab/>
      </w:r>
      <w:proofErr w:type="spellStart"/>
      <w:r w:rsidRPr="00D27313">
        <w:rPr>
          <w:sz w:val="24"/>
          <w:lang w:val="cs-CZ"/>
        </w:rPr>
        <w:t>Úř</w:t>
      </w:r>
      <w:proofErr w:type="spellEnd"/>
      <w:r w:rsidRPr="00D27313">
        <w:rPr>
          <w:sz w:val="24"/>
          <w:lang w:val="cs-CZ"/>
        </w:rPr>
        <w:t xml:space="preserve">. </w:t>
      </w:r>
      <w:proofErr w:type="spellStart"/>
      <w:proofErr w:type="gramStart"/>
      <w:r w:rsidRPr="00D27313">
        <w:rPr>
          <w:sz w:val="24"/>
          <w:lang w:val="cs-CZ"/>
        </w:rPr>
        <w:t>věst</w:t>
      </w:r>
      <w:proofErr w:type="spellEnd"/>
      <w:proofErr w:type="gramEnd"/>
      <w:r w:rsidRPr="00D27313">
        <w:rPr>
          <w:sz w:val="24"/>
          <w:lang w:val="cs-CZ"/>
        </w:rPr>
        <w:t xml:space="preserve">. L 193, </w:t>
      </w:r>
      <w:proofErr w:type="gramStart"/>
      <w:r w:rsidRPr="00D27313">
        <w:rPr>
          <w:sz w:val="24"/>
          <w:lang w:val="cs-CZ"/>
        </w:rPr>
        <w:t>30.7.2018</w:t>
      </w:r>
      <w:proofErr w:type="gramEnd"/>
      <w:r w:rsidRPr="00D27313">
        <w:rPr>
          <w:sz w:val="24"/>
          <w:lang w:val="cs-CZ"/>
        </w:rPr>
        <w:t>, s. 1.</w:t>
      </w:r>
    </w:p>
  </w:footnote>
  <w:footnote w:id="4">
    <w:p w:rsidR="00B011BD" w:rsidRPr="00D27313" w:rsidRDefault="00B011BD" w:rsidP="00D27313">
      <w:pPr>
        <w:pStyle w:val="FootnoteText"/>
        <w:ind w:left="567" w:hanging="567"/>
        <w:rPr>
          <w:sz w:val="24"/>
          <w:lang w:val="cs-CZ"/>
        </w:rPr>
      </w:pPr>
      <w:r w:rsidRPr="00D27313">
        <w:rPr>
          <w:rStyle w:val="FootnoteReference"/>
          <w:sz w:val="24"/>
          <w:lang w:val="cs-CZ"/>
        </w:rPr>
        <w:footnoteRef/>
      </w:r>
      <w:r w:rsidR="00D27313" w:rsidRPr="00D27313">
        <w:rPr>
          <w:sz w:val="24"/>
          <w:lang w:val="cs-CZ"/>
        </w:rPr>
        <w:t xml:space="preserve"> </w:t>
      </w:r>
      <w:r w:rsidR="00D27313" w:rsidRPr="00D27313">
        <w:rPr>
          <w:sz w:val="24"/>
          <w:lang w:val="cs-CZ"/>
        </w:rPr>
        <w:tab/>
      </w:r>
      <w:proofErr w:type="spellStart"/>
      <w:r w:rsidRPr="00D27313">
        <w:rPr>
          <w:sz w:val="24"/>
          <w:lang w:val="cs-CZ"/>
        </w:rPr>
        <w:t>Úř</w:t>
      </w:r>
      <w:proofErr w:type="spellEnd"/>
      <w:r w:rsidRPr="00D27313">
        <w:rPr>
          <w:sz w:val="24"/>
          <w:lang w:val="cs-CZ"/>
        </w:rPr>
        <w:t xml:space="preserve">. </w:t>
      </w:r>
      <w:proofErr w:type="spellStart"/>
      <w:proofErr w:type="gramStart"/>
      <w:r w:rsidRPr="00D27313">
        <w:rPr>
          <w:sz w:val="24"/>
          <w:lang w:val="cs-CZ"/>
        </w:rPr>
        <w:t>věst</w:t>
      </w:r>
      <w:proofErr w:type="spellEnd"/>
      <w:proofErr w:type="gramEnd"/>
      <w:r w:rsidRPr="00D27313">
        <w:rPr>
          <w:sz w:val="24"/>
          <w:lang w:val="cs-CZ"/>
        </w:rPr>
        <w:t>. L</w:t>
      </w:r>
      <w:r w:rsidR="002D457C">
        <w:rPr>
          <w:sz w:val="24"/>
          <w:lang w:val="cs-CZ"/>
        </w:rPr>
        <w:t xml:space="preserve"> </w:t>
      </w:r>
      <w:r w:rsidRPr="00D27313">
        <w:rPr>
          <w:sz w:val="24"/>
          <w:lang w:val="cs-CZ"/>
        </w:rPr>
        <w:t xml:space="preserve">135, </w:t>
      </w:r>
      <w:proofErr w:type="gramStart"/>
      <w:r w:rsidRPr="00D27313">
        <w:rPr>
          <w:sz w:val="24"/>
          <w:lang w:val="cs-CZ"/>
        </w:rPr>
        <w:t>24.5.2016</w:t>
      </w:r>
      <w:proofErr w:type="gramEnd"/>
      <w:r w:rsidRPr="00D27313">
        <w:rPr>
          <w:sz w:val="24"/>
          <w:lang w:val="cs-CZ"/>
        </w:rPr>
        <w:t>, s. 53.</w:t>
      </w:r>
    </w:p>
  </w:footnote>
  <w:footnote w:id="5">
    <w:p w:rsidR="00B011BD" w:rsidRPr="00D27313" w:rsidRDefault="00B011BD" w:rsidP="00D27313">
      <w:pPr>
        <w:pStyle w:val="FootnoteText"/>
        <w:ind w:left="567" w:hanging="567"/>
        <w:rPr>
          <w:sz w:val="24"/>
          <w:szCs w:val="24"/>
          <w:lang w:val="cs-CZ"/>
        </w:rPr>
      </w:pPr>
      <w:r w:rsidRPr="00D27313">
        <w:rPr>
          <w:rStyle w:val="FootnoteReference"/>
          <w:sz w:val="24"/>
          <w:lang w:val="cs-CZ"/>
        </w:rPr>
        <w:footnoteRef/>
      </w:r>
      <w:r w:rsidR="00D27313" w:rsidRPr="00D27313">
        <w:rPr>
          <w:sz w:val="24"/>
          <w:lang w:val="cs-CZ"/>
        </w:rPr>
        <w:t xml:space="preserve"> </w:t>
      </w:r>
      <w:r w:rsidR="00D27313" w:rsidRPr="00D27313">
        <w:rPr>
          <w:sz w:val="24"/>
          <w:lang w:val="cs-CZ"/>
        </w:rPr>
        <w:tab/>
      </w:r>
      <w:proofErr w:type="spellStart"/>
      <w:r w:rsidRPr="00D27313">
        <w:rPr>
          <w:sz w:val="24"/>
          <w:lang w:val="cs-CZ"/>
        </w:rPr>
        <w:t>Úř</w:t>
      </w:r>
      <w:proofErr w:type="spellEnd"/>
      <w:r w:rsidRPr="00D27313">
        <w:rPr>
          <w:sz w:val="24"/>
          <w:lang w:val="cs-CZ"/>
        </w:rPr>
        <w:t xml:space="preserve">. </w:t>
      </w:r>
      <w:proofErr w:type="spellStart"/>
      <w:proofErr w:type="gramStart"/>
      <w:r w:rsidRPr="00D27313">
        <w:rPr>
          <w:sz w:val="24"/>
          <w:lang w:val="cs-CZ"/>
        </w:rPr>
        <w:t>věst</w:t>
      </w:r>
      <w:proofErr w:type="spellEnd"/>
      <w:proofErr w:type="gramEnd"/>
      <w:r w:rsidRPr="00D27313">
        <w:rPr>
          <w:sz w:val="24"/>
          <w:lang w:val="cs-CZ"/>
        </w:rPr>
        <w:t xml:space="preserve">. L 122, </w:t>
      </w:r>
      <w:proofErr w:type="gramStart"/>
      <w:r w:rsidRPr="00D27313">
        <w:rPr>
          <w:sz w:val="24"/>
          <w:lang w:val="cs-CZ"/>
        </w:rPr>
        <w:t>10.5.2019</w:t>
      </w:r>
      <w:proofErr w:type="gramEnd"/>
      <w:r w:rsidRPr="00D27313">
        <w:rPr>
          <w:sz w:val="24"/>
          <w:lang w:val="cs-CZ"/>
        </w:rPr>
        <w:t>, s. 1.</w:t>
      </w:r>
    </w:p>
  </w:footnote>
  <w:footnote w:id="6">
    <w:p w:rsidR="00B011BD" w:rsidRPr="00D27313" w:rsidRDefault="00B011BD" w:rsidP="00D27313">
      <w:pPr>
        <w:pStyle w:val="FootnoteText"/>
        <w:ind w:left="567" w:hanging="567"/>
        <w:rPr>
          <w:sz w:val="24"/>
          <w:lang w:val="cs-CZ"/>
        </w:rPr>
      </w:pPr>
      <w:r w:rsidRPr="00D27313">
        <w:rPr>
          <w:rStyle w:val="FootnoteReference"/>
          <w:sz w:val="24"/>
          <w:lang w:val="cs-CZ"/>
        </w:rPr>
        <w:footnoteRef/>
      </w:r>
      <w:r w:rsidR="00D27313" w:rsidRPr="00D27313">
        <w:rPr>
          <w:sz w:val="24"/>
          <w:lang w:val="cs-CZ"/>
        </w:rPr>
        <w:t xml:space="preserve"> </w:t>
      </w:r>
      <w:r w:rsidR="00D27313" w:rsidRPr="00D27313">
        <w:rPr>
          <w:sz w:val="24"/>
          <w:lang w:val="cs-CZ"/>
        </w:rPr>
        <w:tab/>
      </w:r>
      <w:proofErr w:type="spellStart"/>
      <w:r w:rsidRPr="00D27313">
        <w:rPr>
          <w:sz w:val="24"/>
          <w:lang w:val="cs-CZ"/>
        </w:rPr>
        <w:t>Úř</w:t>
      </w:r>
      <w:proofErr w:type="spellEnd"/>
      <w:r w:rsidRPr="00D27313">
        <w:rPr>
          <w:sz w:val="24"/>
          <w:lang w:val="cs-CZ"/>
        </w:rPr>
        <w:t xml:space="preserve">. </w:t>
      </w:r>
      <w:proofErr w:type="spellStart"/>
      <w:proofErr w:type="gramStart"/>
      <w:r w:rsidRPr="00D27313">
        <w:rPr>
          <w:sz w:val="24"/>
          <w:lang w:val="cs-CZ"/>
        </w:rPr>
        <w:t>věst</w:t>
      </w:r>
      <w:proofErr w:type="spellEnd"/>
      <w:proofErr w:type="gramEnd"/>
      <w:r w:rsidRPr="00D27313">
        <w:rPr>
          <w:sz w:val="24"/>
          <w:lang w:val="cs-CZ"/>
        </w:rPr>
        <w:t xml:space="preserve">. C, C/2023/594, </w:t>
      </w:r>
      <w:proofErr w:type="gramStart"/>
      <w:r w:rsidRPr="00D27313">
        <w:rPr>
          <w:sz w:val="24"/>
          <w:lang w:val="cs-CZ"/>
        </w:rPr>
        <w:t>27.10.2023</w:t>
      </w:r>
      <w:proofErr w:type="gramEnd"/>
      <w:r w:rsidRPr="00D27313">
        <w:rPr>
          <w:sz w:val="24"/>
          <w:lang w:val="cs-CZ"/>
        </w:rPr>
        <w:t>.</w:t>
      </w:r>
    </w:p>
  </w:footnote>
  <w:footnote w:id="7">
    <w:p w:rsidR="00B011BD" w:rsidRPr="00D27313" w:rsidRDefault="00B011BD" w:rsidP="00D27313">
      <w:pPr>
        <w:pStyle w:val="FootnoteText"/>
        <w:ind w:left="567" w:hanging="567"/>
        <w:rPr>
          <w:sz w:val="24"/>
          <w:lang w:val="cs-CZ"/>
        </w:rPr>
      </w:pPr>
      <w:r w:rsidRPr="00D27313">
        <w:rPr>
          <w:rStyle w:val="FootnoteReference"/>
          <w:sz w:val="24"/>
          <w:lang w:val="cs-CZ"/>
        </w:rPr>
        <w:footnoteRef/>
      </w:r>
      <w:r w:rsidR="00D27313" w:rsidRPr="00D27313">
        <w:rPr>
          <w:sz w:val="24"/>
          <w:lang w:val="cs-CZ"/>
        </w:rPr>
        <w:t xml:space="preserve"> </w:t>
      </w:r>
      <w:r w:rsidR="00D27313" w:rsidRPr="00D27313">
        <w:rPr>
          <w:sz w:val="24"/>
          <w:lang w:val="cs-CZ"/>
        </w:rPr>
        <w:tab/>
      </w:r>
      <w:proofErr w:type="spellStart"/>
      <w:r w:rsidRPr="00D27313">
        <w:rPr>
          <w:sz w:val="24"/>
          <w:lang w:val="cs-CZ"/>
        </w:rPr>
        <w:t>Úř</w:t>
      </w:r>
      <w:proofErr w:type="spellEnd"/>
      <w:r w:rsidRPr="00D27313">
        <w:rPr>
          <w:sz w:val="24"/>
          <w:lang w:val="cs-CZ"/>
        </w:rPr>
        <w:t xml:space="preserve">. </w:t>
      </w:r>
      <w:proofErr w:type="spellStart"/>
      <w:proofErr w:type="gramStart"/>
      <w:r w:rsidRPr="00D27313">
        <w:rPr>
          <w:sz w:val="24"/>
          <w:lang w:val="cs-CZ"/>
        </w:rPr>
        <w:t>věst</w:t>
      </w:r>
      <w:proofErr w:type="spellEnd"/>
      <w:proofErr w:type="gramEnd"/>
      <w:r w:rsidRPr="00D27313">
        <w:rPr>
          <w:sz w:val="24"/>
          <w:lang w:val="cs-CZ"/>
        </w:rPr>
        <w:t xml:space="preserve">. C, C/2023/112, </w:t>
      </w:r>
      <w:proofErr w:type="gramStart"/>
      <w:r w:rsidRPr="00D27313">
        <w:rPr>
          <w:sz w:val="24"/>
          <w:lang w:val="cs-CZ"/>
        </w:rPr>
        <w:t>12.10.2023</w:t>
      </w:r>
      <w:proofErr w:type="gramEnd"/>
      <w:r w:rsidRPr="00D27313">
        <w:rPr>
          <w:sz w:val="24"/>
          <w:lang w:val="cs-CZ"/>
        </w:rPr>
        <w:t>.</w:t>
      </w:r>
    </w:p>
  </w:footnote>
  <w:footnote w:id="8">
    <w:p w:rsidR="00B011BD" w:rsidRPr="00D27313" w:rsidRDefault="00B011BD" w:rsidP="00D27313">
      <w:pPr>
        <w:pStyle w:val="FootnoteText"/>
        <w:ind w:left="567" w:hanging="567"/>
        <w:rPr>
          <w:sz w:val="24"/>
          <w:lang w:val="cs-CZ"/>
        </w:rPr>
      </w:pPr>
      <w:r w:rsidRPr="00D27313">
        <w:rPr>
          <w:rStyle w:val="FootnoteReference"/>
          <w:sz w:val="24"/>
          <w:lang w:val="cs-CZ"/>
        </w:rPr>
        <w:footnoteRef/>
      </w:r>
      <w:r w:rsidR="00D27313" w:rsidRPr="00D27313">
        <w:rPr>
          <w:sz w:val="24"/>
          <w:lang w:val="cs-CZ"/>
        </w:rPr>
        <w:t xml:space="preserve"> </w:t>
      </w:r>
      <w:r w:rsidR="00D27313" w:rsidRPr="00D27313">
        <w:rPr>
          <w:sz w:val="24"/>
          <w:lang w:val="cs-CZ"/>
        </w:rPr>
        <w:tab/>
      </w:r>
      <w:proofErr w:type="spellStart"/>
      <w:r w:rsidRPr="00D27313">
        <w:rPr>
          <w:sz w:val="24"/>
          <w:lang w:val="cs-CZ"/>
        </w:rPr>
        <w:t>Úř</w:t>
      </w:r>
      <w:proofErr w:type="spellEnd"/>
      <w:r w:rsidRPr="00D27313">
        <w:rPr>
          <w:sz w:val="24"/>
          <w:lang w:val="cs-CZ"/>
        </w:rPr>
        <w:t xml:space="preserve">. </w:t>
      </w:r>
      <w:proofErr w:type="spellStart"/>
      <w:proofErr w:type="gramStart"/>
      <w:r w:rsidRPr="00D27313">
        <w:rPr>
          <w:sz w:val="24"/>
          <w:lang w:val="cs-CZ"/>
        </w:rPr>
        <w:t>věst</w:t>
      </w:r>
      <w:proofErr w:type="spellEnd"/>
      <w:proofErr w:type="gramEnd"/>
      <w:r w:rsidRPr="00D27313">
        <w:rPr>
          <w:sz w:val="24"/>
          <w:lang w:val="cs-CZ"/>
        </w:rPr>
        <w:t xml:space="preserve">. L 193, </w:t>
      </w:r>
      <w:proofErr w:type="gramStart"/>
      <w:r w:rsidRPr="00D27313">
        <w:rPr>
          <w:sz w:val="24"/>
          <w:lang w:val="cs-CZ"/>
        </w:rPr>
        <w:t>30.7.2018</w:t>
      </w:r>
      <w:proofErr w:type="gramEnd"/>
      <w:r w:rsidRPr="00D27313">
        <w:rPr>
          <w:sz w:val="24"/>
          <w:lang w:val="cs-CZ"/>
        </w:rPr>
        <w:t>, s. 1.</w:t>
      </w:r>
    </w:p>
  </w:footnote>
  <w:footnote w:id="9">
    <w:p w:rsidR="00B011BD" w:rsidRPr="00D27313" w:rsidRDefault="00B011BD" w:rsidP="00D27313">
      <w:pPr>
        <w:pStyle w:val="FootnoteText"/>
        <w:ind w:left="567" w:hanging="567"/>
        <w:rPr>
          <w:sz w:val="24"/>
          <w:lang w:val="cs-CZ"/>
        </w:rPr>
      </w:pPr>
      <w:r w:rsidRPr="00D27313">
        <w:rPr>
          <w:rStyle w:val="FootnoteReference"/>
          <w:sz w:val="24"/>
          <w:lang w:val="cs-CZ"/>
        </w:rPr>
        <w:footnoteRef/>
      </w:r>
      <w:r w:rsidR="00D27313" w:rsidRPr="00D27313">
        <w:rPr>
          <w:sz w:val="24"/>
          <w:lang w:val="cs-CZ"/>
        </w:rPr>
        <w:t xml:space="preserve"> </w:t>
      </w:r>
      <w:r w:rsidR="00D27313" w:rsidRPr="00D27313">
        <w:rPr>
          <w:sz w:val="24"/>
          <w:lang w:val="cs-CZ"/>
        </w:rPr>
        <w:tab/>
      </w:r>
      <w:proofErr w:type="spellStart"/>
      <w:r w:rsidRPr="00D27313">
        <w:rPr>
          <w:sz w:val="24"/>
          <w:lang w:val="cs-CZ"/>
        </w:rPr>
        <w:t>Úř</w:t>
      </w:r>
      <w:proofErr w:type="spellEnd"/>
      <w:r w:rsidRPr="00D27313">
        <w:rPr>
          <w:sz w:val="24"/>
          <w:lang w:val="cs-CZ"/>
        </w:rPr>
        <w:t xml:space="preserve">. </w:t>
      </w:r>
      <w:proofErr w:type="spellStart"/>
      <w:proofErr w:type="gramStart"/>
      <w:r w:rsidRPr="00D27313">
        <w:rPr>
          <w:sz w:val="24"/>
          <w:lang w:val="cs-CZ"/>
        </w:rPr>
        <w:t>věst</w:t>
      </w:r>
      <w:proofErr w:type="spellEnd"/>
      <w:proofErr w:type="gramEnd"/>
      <w:r w:rsidRPr="00D27313">
        <w:rPr>
          <w:sz w:val="24"/>
          <w:lang w:val="cs-CZ"/>
        </w:rPr>
        <w:t>. L</w:t>
      </w:r>
      <w:r w:rsidR="00141965">
        <w:rPr>
          <w:sz w:val="24"/>
          <w:lang w:val="cs-CZ"/>
        </w:rPr>
        <w:t xml:space="preserve"> </w:t>
      </w:r>
      <w:bookmarkStart w:id="10" w:name="_GoBack"/>
      <w:bookmarkEnd w:id="10"/>
      <w:r w:rsidRPr="00D27313">
        <w:rPr>
          <w:sz w:val="24"/>
          <w:lang w:val="cs-CZ"/>
        </w:rPr>
        <w:t>135, 24.5.2016, s. 53.</w:t>
      </w:r>
    </w:p>
  </w:footnote>
  <w:footnote w:id="10">
    <w:p w:rsidR="00B011BD" w:rsidRPr="00D27313" w:rsidRDefault="00B011BD" w:rsidP="00D27313">
      <w:pPr>
        <w:pStyle w:val="FootnoteText"/>
        <w:ind w:left="567" w:hanging="567"/>
        <w:rPr>
          <w:sz w:val="24"/>
          <w:szCs w:val="24"/>
          <w:lang w:val="cs-CZ"/>
        </w:rPr>
      </w:pPr>
      <w:r w:rsidRPr="00D27313">
        <w:rPr>
          <w:rStyle w:val="FootnoteReference"/>
          <w:sz w:val="24"/>
          <w:lang w:val="cs-CZ"/>
        </w:rPr>
        <w:footnoteRef/>
      </w:r>
      <w:r w:rsidR="00D27313" w:rsidRPr="00D27313">
        <w:rPr>
          <w:sz w:val="24"/>
          <w:lang w:val="cs-CZ"/>
        </w:rPr>
        <w:t xml:space="preserve"> </w:t>
      </w:r>
      <w:r w:rsidR="00D27313" w:rsidRPr="00D27313">
        <w:rPr>
          <w:sz w:val="24"/>
          <w:lang w:val="cs-CZ"/>
        </w:rPr>
        <w:tab/>
      </w:r>
      <w:proofErr w:type="spellStart"/>
      <w:r w:rsidRPr="00D27313">
        <w:rPr>
          <w:sz w:val="24"/>
          <w:lang w:val="cs-CZ"/>
        </w:rPr>
        <w:t>Úř</w:t>
      </w:r>
      <w:proofErr w:type="spellEnd"/>
      <w:r w:rsidRPr="00D27313">
        <w:rPr>
          <w:sz w:val="24"/>
          <w:lang w:val="cs-CZ"/>
        </w:rPr>
        <w:t xml:space="preserve">. </w:t>
      </w:r>
      <w:proofErr w:type="spellStart"/>
      <w:proofErr w:type="gramStart"/>
      <w:r w:rsidRPr="00D27313">
        <w:rPr>
          <w:sz w:val="24"/>
          <w:lang w:val="cs-CZ"/>
        </w:rPr>
        <w:t>věst</w:t>
      </w:r>
      <w:proofErr w:type="spellEnd"/>
      <w:proofErr w:type="gramEnd"/>
      <w:r w:rsidRPr="00D27313">
        <w:rPr>
          <w:sz w:val="24"/>
          <w:lang w:val="cs-CZ"/>
        </w:rPr>
        <w:t xml:space="preserve">. L 122, </w:t>
      </w:r>
      <w:proofErr w:type="gramStart"/>
      <w:r w:rsidRPr="00D27313">
        <w:rPr>
          <w:sz w:val="24"/>
          <w:lang w:val="cs-CZ"/>
        </w:rPr>
        <w:t>10.5.2019</w:t>
      </w:r>
      <w:proofErr w:type="gramEnd"/>
      <w:r w:rsidRPr="00D27313">
        <w:rPr>
          <w:sz w:val="24"/>
          <w:lang w:val="cs-CZ"/>
        </w:rPr>
        <w:t>, s. 1.</w:t>
      </w:r>
    </w:p>
  </w:footnote>
  <w:footnote w:id="11">
    <w:p w:rsidR="00B011BD" w:rsidRPr="00D27313" w:rsidRDefault="00B011BD" w:rsidP="00D27313">
      <w:pPr>
        <w:pStyle w:val="FootnoteText"/>
        <w:ind w:left="567" w:hanging="567"/>
        <w:rPr>
          <w:sz w:val="24"/>
          <w:lang w:val="cs-CZ"/>
        </w:rPr>
      </w:pPr>
      <w:r w:rsidRPr="00D27313">
        <w:rPr>
          <w:rStyle w:val="FootnoteReference"/>
          <w:sz w:val="24"/>
          <w:lang w:val="cs-CZ"/>
        </w:rPr>
        <w:footnoteRef/>
      </w:r>
      <w:r w:rsidR="00D27313" w:rsidRPr="00D27313">
        <w:rPr>
          <w:sz w:val="24"/>
          <w:lang w:val="cs-CZ"/>
        </w:rPr>
        <w:t xml:space="preserve"> </w:t>
      </w:r>
      <w:r w:rsidR="00D27313" w:rsidRPr="00D27313">
        <w:rPr>
          <w:sz w:val="24"/>
          <w:lang w:val="cs-CZ"/>
        </w:rPr>
        <w:tab/>
      </w:r>
      <w:proofErr w:type="spellStart"/>
      <w:r w:rsidRPr="00D27313">
        <w:rPr>
          <w:sz w:val="24"/>
          <w:lang w:val="cs-CZ"/>
        </w:rPr>
        <w:t>Úř</w:t>
      </w:r>
      <w:proofErr w:type="spellEnd"/>
      <w:r w:rsidRPr="00D27313">
        <w:rPr>
          <w:sz w:val="24"/>
          <w:lang w:val="cs-CZ"/>
        </w:rPr>
        <w:t xml:space="preserve">. </w:t>
      </w:r>
      <w:proofErr w:type="spellStart"/>
      <w:proofErr w:type="gramStart"/>
      <w:r w:rsidRPr="00D27313">
        <w:rPr>
          <w:sz w:val="24"/>
          <w:lang w:val="cs-CZ"/>
        </w:rPr>
        <w:t>věst</w:t>
      </w:r>
      <w:proofErr w:type="spellEnd"/>
      <w:proofErr w:type="gramEnd"/>
      <w:r w:rsidRPr="00D27313">
        <w:rPr>
          <w:sz w:val="24"/>
          <w:lang w:val="cs-CZ"/>
        </w:rPr>
        <w:t xml:space="preserve">. C 38, </w:t>
      </w:r>
      <w:proofErr w:type="gramStart"/>
      <w:r w:rsidRPr="00D27313">
        <w:rPr>
          <w:sz w:val="24"/>
          <w:lang w:val="cs-CZ"/>
        </w:rPr>
        <w:t>31.1.2023</w:t>
      </w:r>
      <w:proofErr w:type="gramEnd"/>
      <w:r w:rsidRPr="00D27313">
        <w:rPr>
          <w:sz w:val="24"/>
          <w:lang w:val="cs-CZ"/>
        </w:rPr>
        <w:t>, s.</w:t>
      </w:r>
      <w:r w:rsidR="0054743D">
        <w:rPr>
          <w:sz w:val="24"/>
          <w:lang w:val="cs-CZ"/>
        </w:rPr>
        <w:t xml:space="preserve"> </w:t>
      </w:r>
      <w:r w:rsidRPr="00D27313">
        <w:rPr>
          <w:sz w:val="24"/>
          <w:lang w:val="cs-CZ"/>
        </w:rPr>
        <w:t>160.</w:t>
      </w:r>
    </w:p>
  </w:footnote>
  <w:footnote w:id="12">
    <w:p w:rsidR="00B011BD" w:rsidRPr="00D27313" w:rsidRDefault="00B011BD" w:rsidP="00D27313">
      <w:pPr>
        <w:pStyle w:val="FootnoteText"/>
        <w:ind w:left="567" w:hanging="567"/>
        <w:rPr>
          <w:sz w:val="24"/>
          <w:szCs w:val="24"/>
          <w:lang w:val="cs-CZ"/>
        </w:rPr>
      </w:pPr>
      <w:r w:rsidRPr="00D27313">
        <w:rPr>
          <w:rStyle w:val="FootnoteReference"/>
          <w:sz w:val="24"/>
          <w:szCs w:val="24"/>
          <w:lang w:val="cs-CZ"/>
        </w:rPr>
        <w:footnoteRef/>
      </w:r>
      <w:r w:rsidR="00D27313" w:rsidRPr="00D27313">
        <w:rPr>
          <w:sz w:val="24"/>
          <w:lang w:val="cs-CZ"/>
        </w:rPr>
        <w:t xml:space="preserve"> </w:t>
      </w:r>
      <w:r w:rsidR="00D27313" w:rsidRPr="00D27313">
        <w:rPr>
          <w:sz w:val="24"/>
          <w:lang w:val="cs-CZ"/>
        </w:rPr>
        <w:tab/>
      </w:r>
      <w:r w:rsidRPr="00D27313">
        <w:rPr>
          <w:sz w:val="24"/>
          <w:lang w:val="cs-CZ"/>
        </w:rPr>
        <w:t>Přijaté texty, P9_TA(2024)0</w:t>
      </w:r>
      <w:r w:rsidR="00E0191E">
        <w:rPr>
          <w:sz w:val="24"/>
          <w:lang w:val="cs-CZ"/>
        </w:rPr>
        <w:t>280</w:t>
      </w:r>
      <w:r w:rsidRPr="00D27313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73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73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73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9/2024"/>
    <w:docVar w:name="dvlangue" w:val="CS"/>
    <w:docVar w:name="dvnumam" w:val="0"/>
    <w:docVar w:name="dvpe" w:val="753.540"/>
    <w:docVar w:name="dvrapporteur" w:val="Zpravodaj: "/>
    <w:docVar w:name="dvtitre" w:val="1. Rozhodnutí Evropského parlamentu ze dne.... 2024 o udělení absolutoria za plnění rozpočtu Agentury Evropské unie pro spolupráci v oblasti prosazování práva (Europol) na rozpočtový rok 2022(2023/2169(DEC))"/>
  </w:docVars>
  <w:rsids>
    <w:rsidRoot w:val="00BA3C31"/>
    <w:rsid w:val="00002272"/>
    <w:rsid w:val="00026F4C"/>
    <w:rsid w:val="00064002"/>
    <w:rsid w:val="000677B9"/>
    <w:rsid w:val="000831BA"/>
    <w:rsid w:val="000A42CC"/>
    <w:rsid w:val="000E7DD9"/>
    <w:rsid w:val="0010095E"/>
    <w:rsid w:val="00125B37"/>
    <w:rsid w:val="00141965"/>
    <w:rsid w:val="00187494"/>
    <w:rsid w:val="001F32AE"/>
    <w:rsid w:val="002767FF"/>
    <w:rsid w:val="002B18FE"/>
    <w:rsid w:val="002B5493"/>
    <w:rsid w:val="002D457C"/>
    <w:rsid w:val="00343214"/>
    <w:rsid w:val="00361C00"/>
    <w:rsid w:val="00395FA1"/>
    <w:rsid w:val="003E15D4"/>
    <w:rsid w:val="00411CCE"/>
    <w:rsid w:val="0041666E"/>
    <w:rsid w:val="00421060"/>
    <w:rsid w:val="00433697"/>
    <w:rsid w:val="00471C19"/>
    <w:rsid w:val="004867E3"/>
    <w:rsid w:val="00491A72"/>
    <w:rsid w:val="00494A28"/>
    <w:rsid w:val="004C0004"/>
    <w:rsid w:val="004C5D52"/>
    <w:rsid w:val="0050519A"/>
    <w:rsid w:val="005072A1"/>
    <w:rsid w:val="00514517"/>
    <w:rsid w:val="00545827"/>
    <w:rsid w:val="0054743D"/>
    <w:rsid w:val="00560270"/>
    <w:rsid w:val="005C2568"/>
    <w:rsid w:val="006037C0"/>
    <w:rsid w:val="006631B6"/>
    <w:rsid w:val="00680577"/>
    <w:rsid w:val="006D750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11BD"/>
    <w:rsid w:val="00B12E95"/>
    <w:rsid w:val="00B22876"/>
    <w:rsid w:val="00B558F0"/>
    <w:rsid w:val="00BA3C3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7313"/>
    <w:rsid w:val="00D56C11"/>
    <w:rsid w:val="00D834A0"/>
    <w:rsid w:val="00D872DF"/>
    <w:rsid w:val="00D91E21"/>
    <w:rsid w:val="00DA7FCD"/>
    <w:rsid w:val="00E0191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499442"/>
  <w15:chartTrackingRefBased/>
  <w15:docId w15:val="{55EE9110-4724-4943-8ECA-03345FC1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011B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011BD"/>
    <w:pPr>
      <w:spacing w:before="480" w:after="240"/>
    </w:pPr>
  </w:style>
  <w:style w:type="paragraph" w:customStyle="1" w:styleId="PageHeading">
    <w:name w:val="PageHeading"/>
    <w:basedOn w:val="Normal"/>
    <w:rsid w:val="00B011B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011BD"/>
    <w:rPr>
      <w:b/>
    </w:rPr>
  </w:style>
  <w:style w:type="paragraph" w:customStyle="1" w:styleId="NormalHanging12a">
    <w:name w:val="NormalHanging12a"/>
    <w:basedOn w:val="Normal"/>
    <w:link w:val="NormalHanging12aChar"/>
    <w:rsid w:val="00B011BD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B011BD"/>
    <w:pPr>
      <w:spacing w:after="240"/>
      <w:jc w:val="center"/>
    </w:pPr>
  </w:style>
  <w:style w:type="paragraph" w:styleId="Header">
    <w:name w:val="header"/>
    <w:basedOn w:val="Normal"/>
    <w:link w:val="HeaderChar"/>
    <w:rsid w:val="00B011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011BD"/>
    <w:rPr>
      <w:sz w:val="24"/>
      <w:lang w:val="cs-CZ"/>
    </w:rPr>
  </w:style>
  <w:style w:type="paragraph" w:customStyle="1" w:styleId="EPFooter">
    <w:name w:val="EPFooter"/>
    <w:basedOn w:val="Normal"/>
    <w:rsid w:val="00B011B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B011BD"/>
    <w:rPr>
      <w:sz w:val="24"/>
      <w:lang w:val="cs-CZ"/>
    </w:rPr>
  </w:style>
  <w:style w:type="paragraph" w:customStyle="1" w:styleId="Normal12Hanging">
    <w:name w:val="Normal12Hanging"/>
    <w:basedOn w:val="Normal"/>
    <w:rsid w:val="00B011BD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5474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4743D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FB850-63C8-452D-929F-874E1A749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4750</Words>
  <Characters>27076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2024-05-15T11:51:00Z</dcterms:created>
  <dcterms:modified xsi:type="dcterms:W3CDTF">2024-05-15T11:51:00Z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P9_TA(2024)0260_</vt:lpwstr>
  </property>
  <property fmtid="{D5CDD505-2E9C-101B-9397-08002B2CF9AE}" pid="4" name="&lt;Type&gt;">
    <vt:lpwstr>RR</vt:lpwstr>
  </property>
</Properties>
</file>