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1185" w14:paraId="6A025704" w14:textId="77777777" w:rsidTr="0010095E">
        <w:trPr>
          <w:trHeight w:hRule="exact" w:val="1418"/>
        </w:trPr>
        <w:tc>
          <w:tcPr>
            <w:tcW w:w="6804" w:type="dxa"/>
            <w:shd w:val="clear" w:color="auto" w:fill="auto"/>
            <w:vAlign w:val="center"/>
          </w:tcPr>
          <w:p w14:paraId="4E921518" w14:textId="77777777" w:rsidR="00751A4A" w:rsidRPr="00841185" w:rsidRDefault="00290EE0" w:rsidP="0010095E">
            <w:pPr>
              <w:pStyle w:val="EPName"/>
            </w:pPr>
            <w:r w:rsidRPr="00841185">
              <w:t>Europa-Parlamentet</w:t>
            </w:r>
          </w:p>
          <w:p w14:paraId="55402577" w14:textId="77777777" w:rsidR="00751A4A" w:rsidRPr="00841185" w:rsidRDefault="00817416" w:rsidP="00756632">
            <w:pPr>
              <w:pStyle w:val="EPTerm"/>
              <w:rPr>
                <w:rStyle w:val="HideTWBExt"/>
                <w:noProof w:val="0"/>
                <w:vanish w:val="0"/>
                <w:color w:val="auto"/>
              </w:rPr>
            </w:pPr>
            <w:r w:rsidRPr="00841185">
              <w:t>2019-2024</w:t>
            </w:r>
          </w:p>
        </w:tc>
        <w:tc>
          <w:tcPr>
            <w:tcW w:w="2268" w:type="dxa"/>
            <w:shd w:val="clear" w:color="auto" w:fill="auto"/>
          </w:tcPr>
          <w:p w14:paraId="18EA27B7" w14:textId="77777777" w:rsidR="00751A4A" w:rsidRPr="00841185" w:rsidRDefault="00187494" w:rsidP="0010095E">
            <w:pPr>
              <w:pStyle w:val="EPLogo"/>
            </w:pPr>
            <w:r w:rsidRPr="00841185">
              <w:rPr>
                <w:noProof/>
                <w:lang w:val="en-GB"/>
              </w:rPr>
              <w:drawing>
                <wp:inline distT="0" distB="0" distL="0" distR="0" wp14:anchorId="4FA5B78E" wp14:editId="237F92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D135DA" w14:textId="77777777" w:rsidR="00D058B8" w:rsidRPr="00841185" w:rsidRDefault="00D058B8" w:rsidP="004C5D52">
      <w:pPr>
        <w:pStyle w:val="LineTop"/>
      </w:pPr>
    </w:p>
    <w:p w14:paraId="530BE0A2" w14:textId="77777777" w:rsidR="00680577" w:rsidRPr="00841185" w:rsidRDefault="00290EE0" w:rsidP="00680577">
      <w:pPr>
        <w:pStyle w:val="EPBodyTA1"/>
      </w:pPr>
      <w:r w:rsidRPr="00841185">
        <w:t>VEDTAGNE TEKSTER</w:t>
      </w:r>
    </w:p>
    <w:p w14:paraId="09B58B2F" w14:textId="77777777" w:rsidR="00D058B8" w:rsidRPr="00841185" w:rsidRDefault="00D058B8" w:rsidP="00D058B8">
      <w:pPr>
        <w:pStyle w:val="LineBottom"/>
      </w:pPr>
    </w:p>
    <w:p w14:paraId="14A945DF" w14:textId="43D51656" w:rsidR="00290EE0" w:rsidRPr="00841185" w:rsidRDefault="00290EE0" w:rsidP="00290EE0">
      <w:pPr>
        <w:pStyle w:val="ATHeading1"/>
      </w:pPr>
      <w:bookmarkStart w:id="0" w:name="TANumber"/>
      <w:r w:rsidRPr="00841185">
        <w:t>P9_</w:t>
      </w:r>
      <w:proofErr w:type="gramStart"/>
      <w:r w:rsidRPr="00841185">
        <w:t>TA(</w:t>
      </w:r>
      <w:proofErr w:type="gramEnd"/>
      <w:r w:rsidRPr="00841185">
        <w:t>2024)0</w:t>
      </w:r>
      <w:r w:rsidR="00515283">
        <w:t>260</w:t>
      </w:r>
      <w:bookmarkEnd w:id="0"/>
    </w:p>
    <w:p w14:paraId="3CEA2D8A" w14:textId="77777777" w:rsidR="00290EE0" w:rsidRPr="00841185" w:rsidRDefault="00290EE0" w:rsidP="00290EE0">
      <w:pPr>
        <w:pStyle w:val="ATHeading2"/>
      </w:pPr>
      <w:bookmarkStart w:id="1" w:name="title"/>
      <w:r w:rsidRPr="00841185">
        <w:t>Decharge 2022: Den Europæiske Unions Agentur for Retshåndhævelsessamarbejde (Europol)</w:t>
      </w:r>
      <w:bookmarkEnd w:id="1"/>
    </w:p>
    <w:p w14:paraId="7EE1E371" w14:textId="77777777" w:rsidR="00290EE0" w:rsidRPr="00841185" w:rsidRDefault="00290EE0" w:rsidP="00290EE0">
      <w:pPr>
        <w:rPr>
          <w:i/>
          <w:vanish/>
        </w:rPr>
      </w:pPr>
      <w:r w:rsidRPr="00841185">
        <w:rPr>
          <w:i/>
        </w:rPr>
        <w:fldChar w:fldCharType="begin"/>
      </w:r>
      <w:r w:rsidRPr="00841185">
        <w:rPr>
          <w:i/>
        </w:rPr>
        <w:instrText xml:space="preserve"> TC"(</w:instrText>
      </w:r>
      <w:bookmarkStart w:id="2" w:name="DocNumber"/>
      <w:r w:rsidRPr="00841185">
        <w:rPr>
          <w:i/>
        </w:rPr>
        <w:instrText>A9-0119/2024</w:instrText>
      </w:r>
      <w:bookmarkEnd w:id="2"/>
      <w:r w:rsidRPr="00841185">
        <w:rPr>
          <w:i/>
        </w:rPr>
        <w:instrText xml:space="preserve"> - Ordfører: Petri </w:instrText>
      </w:r>
      <w:proofErr w:type="spellStart"/>
      <w:r w:rsidRPr="00841185">
        <w:rPr>
          <w:i/>
        </w:rPr>
        <w:instrText>Sarvamaa</w:instrText>
      </w:r>
      <w:proofErr w:type="spellEnd"/>
      <w:r w:rsidRPr="00841185">
        <w:rPr>
          <w:i/>
        </w:rPr>
        <w:instrText xml:space="preserve">)"\l3 \n&gt; \* MERGEFORMAT </w:instrText>
      </w:r>
      <w:r w:rsidRPr="00841185">
        <w:rPr>
          <w:i/>
        </w:rPr>
        <w:fldChar w:fldCharType="end"/>
      </w:r>
    </w:p>
    <w:p w14:paraId="3ADF5DDD" w14:textId="77777777" w:rsidR="00290EE0" w:rsidRPr="00841185" w:rsidRDefault="00290EE0" w:rsidP="00290EE0">
      <w:pPr>
        <w:rPr>
          <w:vanish/>
        </w:rPr>
      </w:pPr>
      <w:bookmarkStart w:id="3" w:name="Commission"/>
      <w:r w:rsidRPr="00841185">
        <w:rPr>
          <w:vanish/>
        </w:rPr>
        <w:t>Budgetkontroludvalget</w:t>
      </w:r>
      <w:bookmarkEnd w:id="3"/>
    </w:p>
    <w:p w14:paraId="2620ABD9" w14:textId="77777777" w:rsidR="00290EE0" w:rsidRPr="00841185" w:rsidRDefault="00290EE0" w:rsidP="00290EE0">
      <w:pPr>
        <w:rPr>
          <w:vanish/>
        </w:rPr>
      </w:pPr>
      <w:bookmarkStart w:id="4" w:name="PE"/>
      <w:r w:rsidRPr="00841185">
        <w:rPr>
          <w:vanish/>
        </w:rPr>
        <w:t>PE753.540</w:t>
      </w:r>
      <w:bookmarkEnd w:id="4"/>
    </w:p>
    <w:p w14:paraId="4E6D5F06" w14:textId="77777777" w:rsidR="00290EE0" w:rsidRPr="00841185" w:rsidRDefault="00290EE0" w:rsidP="00290EE0">
      <w:pPr>
        <w:pStyle w:val="ATHeading3"/>
      </w:pPr>
      <w:bookmarkStart w:id="5" w:name="Sujet"/>
      <w:r w:rsidRPr="00841185">
        <w:t>1. Europa-Parlamentets afgørelse af 11. april 2024 om decharge for gennemførelsen af budgettet for Den Europæiske Unions Agentur for Retshåndhævelsessamarbejde (Europol) for regnskabsåret 2022</w:t>
      </w:r>
      <w:bookmarkEnd w:id="5"/>
      <w:r w:rsidRPr="00841185">
        <w:t xml:space="preserve"> </w:t>
      </w:r>
      <w:bookmarkStart w:id="6" w:name="References"/>
      <w:r w:rsidRPr="00841185">
        <w:t>(2023/2169(DEC))</w:t>
      </w:r>
      <w:bookmarkEnd w:id="6"/>
    </w:p>
    <w:p w14:paraId="54E3560D" w14:textId="77777777" w:rsidR="00AA0F42" w:rsidRPr="00841185" w:rsidRDefault="00AA0F42" w:rsidP="00AA0F42">
      <w:pPr>
        <w:pStyle w:val="EPComma"/>
      </w:pPr>
      <w:bookmarkStart w:id="7" w:name="TextBodyBegin"/>
      <w:bookmarkEnd w:id="7"/>
      <w:r w:rsidRPr="00841185">
        <w:rPr>
          <w:i/>
        </w:rPr>
        <w:t>Europa-Parlamentet</w:t>
      </w:r>
      <w:r w:rsidRPr="00841185">
        <w:t>,</w:t>
      </w:r>
    </w:p>
    <w:p w14:paraId="306907A4" w14:textId="77777777" w:rsidR="00AA0F42" w:rsidRPr="00841185" w:rsidRDefault="00AA0F42" w:rsidP="00AA0F42">
      <w:pPr>
        <w:pStyle w:val="NormalHanging12a"/>
      </w:pPr>
      <w:r w:rsidRPr="00841185">
        <w:t>–</w:t>
      </w:r>
      <w:r w:rsidRPr="00841185">
        <w:tab/>
        <w:t>der henviser til det endelige årsregnskab for Den Europæiske Unions Agentur for Retshåndhævelsessamarbejde (Europol) for regnskabsåret 2022,</w:t>
      </w:r>
    </w:p>
    <w:p w14:paraId="4856ED07" w14:textId="77777777" w:rsidR="00AA0F42" w:rsidRPr="00841185" w:rsidRDefault="00AA0F42" w:rsidP="00AA0F42">
      <w:pPr>
        <w:pStyle w:val="NormalHanging12a"/>
      </w:pPr>
      <w:r w:rsidRPr="00841185">
        <w:t>–</w:t>
      </w:r>
      <w:r w:rsidRPr="00841185">
        <w:tab/>
        <w:t>der henviser til Revisionsrettens årsberetning om EU-agenturerne for regnskabsåret 2022, med agenturernes svar</w:t>
      </w:r>
      <w:r w:rsidRPr="00841185">
        <w:rPr>
          <w:rStyle w:val="FootnoteReference"/>
        </w:rPr>
        <w:footnoteReference w:id="1"/>
      </w:r>
      <w:r w:rsidRPr="00841185">
        <w:t>,</w:t>
      </w:r>
    </w:p>
    <w:p w14:paraId="49D00633" w14:textId="77777777" w:rsidR="00AA0F42" w:rsidRPr="00841185" w:rsidRDefault="00AA0F42" w:rsidP="00AA0F42">
      <w:pPr>
        <w:pStyle w:val="NormalHanging12a"/>
      </w:pPr>
      <w:r w:rsidRPr="00841185">
        <w:t>–</w:t>
      </w:r>
      <w:r w:rsidRPr="00841185">
        <w:tab/>
        <w:t>der henviser til Revisionsrettens erklæring for regnskabsåret 2022 om regnskabernes rigtighed</w:t>
      </w:r>
      <w:r w:rsidRPr="00841185">
        <w:rPr>
          <w:rStyle w:val="FootnoteReference"/>
        </w:rPr>
        <w:footnoteReference w:id="2"/>
      </w:r>
      <w:r w:rsidRPr="00841185">
        <w:t xml:space="preserve"> og de underliggende transaktioners lovlighed og formelle rigtighed, jf. artikel 287 i traktaten om Den Europæiske Unions funktionsmåde,</w:t>
      </w:r>
    </w:p>
    <w:p w14:paraId="4C8AB881" w14:textId="59361D1F" w:rsidR="00AA0F42" w:rsidRPr="00841185" w:rsidRDefault="00AA0F42" w:rsidP="00AA0F42">
      <w:pPr>
        <w:pStyle w:val="NormalHanging12a"/>
      </w:pPr>
      <w:r w:rsidRPr="00841185">
        <w:t>–</w:t>
      </w:r>
      <w:r w:rsidRPr="00841185">
        <w:tab/>
        <w:t>der henviser til Rådets henstilling af 22. februar 2024 om decharge til agenturet for gennemførelsen af budgettet for regnskabsåret 2022 (0</w:t>
      </w:r>
      <w:r w:rsidR="00962DA2" w:rsidRPr="00841185">
        <w:t>6180</w:t>
      </w:r>
      <w:r w:rsidRPr="00841185">
        <w:t>/2024 – C9</w:t>
      </w:r>
      <w:r w:rsidRPr="00841185">
        <w:noBreakHyphen/>
        <w:t>0</w:t>
      </w:r>
      <w:r w:rsidR="00962DA2" w:rsidRPr="00841185">
        <w:t>107</w:t>
      </w:r>
      <w:r w:rsidRPr="00841185">
        <w:t>/2024),</w:t>
      </w:r>
    </w:p>
    <w:p w14:paraId="00D50EE0" w14:textId="77777777" w:rsidR="00AA0F42" w:rsidRPr="00841185" w:rsidRDefault="00AA0F42" w:rsidP="00AA0F42">
      <w:pPr>
        <w:pStyle w:val="NormalHanging12a"/>
      </w:pPr>
      <w:r w:rsidRPr="00841185">
        <w:t>–</w:t>
      </w:r>
      <w:r w:rsidRPr="00841185">
        <w:tab/>
        <w:t>der henviser til artikel 319 i traktaten om Den Europæiske Unions funktionsmåde,</w:t>
      </w:r>
    </w:p>
    <w:p w14:paraId="08A84AF8" w14:textId="77777777" w:rsidR="00AA0F42" w:rsidRPr="00841185" w:rsidRDefault="00AA0F42" w:rsidP="00AA0F42">
      <w:pPr>
        <w:pStyle w:val="NormalHanging12a"/>
      </w:pPr>
      <w:r w:rsidRPr="00841185">
        <w:t>–</w:t>
      </w:r>
      <w:r w:rsidRPr="00841185">
        <w:tab/>
        <w:t xml:space="preserve">der henviser til Europa-Parlamentets og Rådets forordning (EU, </w:t>
      </w:r>
      <w:proofErr w:type="spellStart"/>
      <w:r w:rsidRPr="00841185">
        <w:t>Euratom</w:t>
      </w:r>
      <w:proofErr w:type="spellEnd"/>
      <w:r w:rsidRPr="0084118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41185">
        <w:t>Euratom</w:t>
      </w:r>
      <w:proofErr w:type="spellEnd"/>
      <w:r w:rsidRPr="00841185">
        <w:t>) nr. 966/2012</w:t>
      </w:r>
      <w:r w:rsidRPr="00841185">
        <w:rPr>
          <w:rStyle w:val="FootnoteReference"/>
        </w:rPr>
        <w:footnoteReference w:id="3"/>
      </w:r>
      <w:r w:rsidRPr="00841185">
        <w:t>, særlig artikel 70,</w:t>
      </w:r>
    </w:p>
    <w:p w14:paraId="3B50CA49" w14:textId="77777777" w:rsidR="00AA0F42" w:rsidRPr="00841185" w:rsidRDefault="00AA0F42" w:rsidP="00AA0F42">
      <w:pPr>
        <w:pStyle w:val="NormalHanging12a"/>
      </w:pPr>
      <w:r w:rsidRPr="00841185">
        <w:t>–</w:t>
      </w:r>
      <w:r w:rsidRPr="00841185">
        <w:tab/>
        <w:t xml:space="preserve">der henviser til Europa-Parlamentets og Rådets forordning (EU) 2016/794 af 11. maj 2016 om Den Europæiske Unions Agentur for Retshåndhævelsessamarbejde (Europol) </w:t>
      </w:r>
      <w:r w:rsidRPr="00841185">
        <w:lastRenderedPageBreak/>
        <w:t>og om erstatning og ophævelse af Rådets afgørelse 2009/371/RIA, 2009/934/RIA, 2009/935/RIA, 2009/936/RIA og 2009/968/RIA</w:t>
      </w:r>
      <w:r w:rsidRPr="00841185">
        <w:rPr>
          <w:rStyle w:val="FootnoteReference"/>
        </w:rPr>
        <w:footnoteReference w:id="4"/>
      </w:r>
      <w:r w:rsidRPr="00841185">
        <w:t>, særlig artikel 60,</w:t>
      </w:r>
    </w:p>
    <w:p w14:paraId="256D2EB9" w14:textId="77777777" w:rsidR="00AA0F42" w:rsidRPr="00841185" w:rsidRDefault="00AA0F42" w:rsidP="00AA0F42">
      <w:pPr>
        <w:pStyle w:val="NormalHanging12a"/>
      </w:pPr>
      <w:r w:rsidRPr="00841185">
        <w:t>–</w:t>
      </w:r>
      <w:r w:rsidRPr="00841185">
        <w:tab/>
        <w:t xml:space="preserve">der henviser til Kommissionens delegerede forordning (EU) 2019/715 af 18. december 2018 om </w:t>
      </w:r>
      <w:proofErr w:type="spellStart"/>
      <w:r w:rsidRPr="00841185">
        <w:t>rammefinansforordningen</w:t>
      </w:r>
      <w:proofErr w:type="spellEnd"/>
      <w:r w:rsidRPr="00841185">
        <w:t xml:space="preserve"> for de organer, der er nedsat i henhold til TEUF og </w:t>
      </w:r>
      <w:proofErr w:type="spellStart"/>
      <w:r w:rsidRPr="00841185">
        <w:t>Euratomtraktaten</w:t>
      </w:r>
      <w:proofErr w:type="spellEnd"/>
      <w:r w:rsidRPr="00841185">
        <w:t xml:space="preserve"> og omhandlet i artikel 70 i Europa-Parlamentets og Rådets forordning (EU, </w:t>
      </w:r>
      <w:proofErr w:type="spellStart"/>
      <w:r w:rsidRPr="00841185">
        <w:t>Euratom</w:t>
      </w:r>
      <w:proofErr w:type="spellEnd"/>
      <w:r w:rsidRPr="00841185">
        <w:t>) 2018/1046</w:t>
      </w:r>
      <w:r w:rsidRPr="00841185">
        <w:rPr>
          <w:rStyle w:val="FootnoteReference"/>
        </w:rPr>
        <w:footnoteReference w:id="5"/>
      </w:r>
      <w:r w:rsidRPr="00841185">
        <w:t>, særlig artikel 105,</w:t>
      </w:r>
    </w:p>
    <w:p w14:paraId="68A6230E" w14:textId="77777777" w:rsidR="00AA0F42" w:rsidRPr="00841185" w:rsidRDefault="00AA0F42" w:rsidP="00AA0F42">
      <w:pPr>
        <w:pStyle w:val="NormalHanging12a"/>
      </w:pPr>
      <w:r w:rsidRPr="00841185">
        <w:t>–</w:t>
      </w:r>
      <w:r w:rsidRPr="00841185">
        <w:tab/>
        <w:t>der henviser til forretningsordenens artikel 100 og bilag V,</w:t>
      </w:r>
    </w:p>
    <w:p w14:paraId="489BC499" w14:textId="77777777" w:rsidR="00AA0F42" w:rsidRPr="00841185" w:rsidRDefault="00AA0F42" w:rsidP="00AA0F42">
      <w:pPr>
        <w:pStyle w:val="NormalHanging12a"/>
      </w:pPr>
      <w:r w:rsidRPr="00841185">
        <w:t>–</w:t>
      </w:r>
      <w:r w:rsidRPr="00841185">
        <w:tab/>
        <w:t>der henviser til udtalelse fra Udvalget om Borgernes Rettigheder og Retlige og Indre Anliggender,</w:t>
      </w:r>
    </w:p>
    <w:p w14:paraId="1AD20CBB" w14:textId="77777777" w:rsidR="00AA0F42" w:rsidRPr="00841185" w:rsidRDefault="00AA0F42" w:rsidP="00AA0F42">
      <w:pPr>
        <w:pStyle w:val="NormalHanging12a"/>
      </w:pPr>
      <w:r w:rsidRPr="00841185">
        <w:t>–</w:t>
      </w:r>
      <w:r w:rsidRPr="00841185">
        <w:tab/>
        <w:t>der henviser til betænkning fra Budgetkontroludvalget (A9-0119/2024),</w:t>
      </w:r>
    </w:p>
    <w:p w14:paraId="073F3209" w14:textId="77777777" w:rsidR="00AA0F42" w:rsidRPr="00841185" w:rsidRDefault="00AA0F42" w:rsidP="00AA0F42">
      <w:pPr>
        <w:pStyle w:val="NormalHanging12a"/>
      </w:pPr>
      <w:r w:rsidRPr="00841185">
        <w:t>1.</w:t>
      </w:r>
      <w:r w:rsidRPr="00841185">
        <w:tab/>
        <w:t>meddeler den administrerende direktør for Den Europæiske Unions Agentur for Retshåndhævelsessamarbejde (Europol) decharge for gennemførelsen af agenturets budget for regnskabsåret 2022;</w:t>
      </w:r>
    </w:p>
    <w:p w14:paraId="1E6F3D6B" w14:textId="77777777" w:rsidR="00AA0F42" w:rsidRPr="00841185" w:rsidRDefault="00AA0F42" w:rsidP="00AA0F42">
      <w:pPr>
        <w:pStyle w:val="NormalHanging12a"/>
      </w:pPr>
      <w:r w:rsidRPr="00841185">
        <w:t>2.</w:t>
      </w:r>
      <w:r w:rsidRPr="00841185">
        <w:tab/>
        <w:t>fremsætter sine bemærkninger i nedenstående beslutning;</w:t>
      </w:r>
    </w:p>
    <w:p w14:paraId="2C93E38D" w14:textId="77777777" w:rsidR="00AA0F42" w:rsidRPr="00841185" w:rsidRDefault="00AA0F42" w:rsidP="00AA0F42">
      <w:pPr>
        <w:pStyle w:val="NormalHanging12a"/>
      </w:pPr>
      <w:r w:rsidRPr="00841185">
        <w:t>3.</w:t>
      </w:r>
      <w:r w:rsidRPr="00841185">
        <w:tab/>
        <w:t xml:space="preserve">pålægger sin formand at sende denne afgørelse og beslutningen, der er en integrerende del heraf, til den administrerende direktør for Den Europæiske Unions Agentur for Retshåndhævelsessamarbejde (Europol), Rådet, Kommissionen og Revisionsretten og drage omsorg for, at de offentliggøres i </w:t>
      </w:r>
      <w:r w:rsidRPr="00841185">
        <w:rPr>
          <w:i/>
          <w:iCs/>
        </w:rPr>
        <w:t>Den Europæiske Unions Tidende</w:t>
      </w:r>
      <w:r w:rsidRPr="00841185">
        <w:t xml:space="preserve"> (L-udgaven).</w:t>
      </w:r>
    </w:p>
    <w:p w14:paraId="408D5C1C" w14:textId="77777777" w:rsidR="00AA0F42" w:rsidRPr="00841185" w:rsidRDefault="00AA0F42" w:rsidP="00AA0F42"/>
    <w:p w14:paraId="0A136761" w14:textId="77777777" w:rsidR="00AA0F42" w:rsidRPr="00841185" w:rsidRDefault="00AA0F42" w:rsidP="00AA0F42">
      <w:pPr>
        <w:widowControl/>
        <w:rPr>
          <w:rFonts w:ascii="Arial" w:hAnsi="Arial" w:cs="Arial"/>
          <w:b/>
        </w:rPr>
        <w:sectPr w:rsidR="00AA0F42" w:rsidRPr="00841185" w:rsidSect="003E0048">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2571B979" w14:textId="77777777" w:rsidR="00AA0F42" w:rsidRPr="00841185" w:rsidRDefault="00AA0F42" w:rsidP="00722AB7">
      <w:pPr>
        <w:pStyle w:val="ATHeading3"/>
      </w:pPr>
      <w:bookmarkStart w:id="8" w:name="_Toc146794872"/>
      <w:bookmarkStart w:id="9" w:name="_Toc161310578"/>
      <w:bookmarkStart w:id="10" w:name="_Toc161991414"/>
      <w:r w:rsidRPr="00841185">
        <w:t xml:space="preserve">2. </w:t>
      </w:r>
      <w:r w:rsidR="00722AB7" w:rsidRPr="00841185">
        <w:t>Europa-Parlamentets afgørelse</w:t>
      </w:r>
      <w:bookmarkEnd w:id="8"/>
      <w:bookmarkEnd w:id="9"/>
      <w:bookmarkEnd w:id="10"/>
      <w:r w:rsidR="00722AB7" w:rsidRPr="00841185">
        <w:t xml:space="preserve"> af 11. april 2024 </w:t>
      </w:r>
      <w:r w:rsidRPr="00841185">
        <w:t>om afslutning af regnskaberne for Den Europæiske Unions Agentur for Retshåndhævelsessamarbejde (Europol) for regnskabsåret 2022</w:t>
      </w:r>
      <w:r w:rsidR="00722AB7" w:rsidRPr="00841185">
        <w:t xml:space="preserve"> </w:t>
      </w:r>
      <w:r w:rsidRPr="00841185">
        <w:t>(2023/2169(DEC))</w:t>
      </w:r>
    </w:p>
    <w:p w14:paraId="16E52A81" w14:textId="77777777" w:rsidR="00AA0F42" w:rsidRPr="00841185" w:rsidRDefault="00AA0F42" w:rsidP="00AA0F42">
      <w:pPr>
        <w:pStyle w:val="EPComma"/>
      </w:pPr>
      <w:r w:rsidRPr="00841185">
        <w:rPr>
          <w:i/>
          <w:iCs/>
        </w:rPr>
        <w:t>Europa-Parlamentet,</w:t>
      </w:r>
    </w:p>
    <w:p w14:paraId="709C5EA4" w14:textId="77777777" w:rsidR="00AA0F42" w:rsidRPr="00841185" w:rsidRDefault="00AA0F42" w:rsidP="00AA0F42">
      <w:pPr>
        <w:pStyle w:val="NormalHanging12a"/>
      </w:pPr>
      <w:r w:rsidRPr="00841185">
        <w:t>–</w:t>
      </w:r>
      <w:r w:rsidRPr="00841185">
        <w:tab/>
        <w:t>der henviser til det endelige årsregnskab for Den Europæiske Unions Agentur for Retshåndhævelsessamarbejde (Europol) for regnskabsåret 2022,</w:t>
      </w:r>
    </w:p>
    <w:p w14:paraId="39E7BA3B" w14:textId="77777777" w:rsidR="00AA0F42" w:rsidRPr="00841185" w:rsidRDefault="00AA0F42" w:rsidP="00AA0F42">
      <w:pPr>
        <w:pStyle w:val="NormalHanging12a"/>
      </w:pPr>
      <w:r w:rsidRPr="00841185">
        <w:t>–</w:t>
      </w:r>
      <w:r w:rsidRPr="00841185">
        <w:tab/>
        <w:t>der henviser til Revisionsrettens årsberetning om EU-agenturerne for regnskabsåret 2022, med agenturernes svar</w:t>
      </w:r>
      <w:r w:rsidRPr="00841185">
        <w:rPr>
          <w:rStyle w:val="FootnoteReference"/>
        </w:rPr>
        <w:footnoteReference w:id="6"/>
      </w:r>
      <w:r w:rsidRPr="00841185">
        <w:t>,</w:t>
      </w:r>
    </w:p>
    <w:p w14:paraId="09E03EA1" w14:textId="77777777" w:rsidR="00AA0F42" w:rsidRPr="00841185" w:rsidRDefault="00AA0F42" w:rsidP="00AA0F42">
      <w:pPr>
        <w:pStyle w:val="NormalHanging12a"/>
      </w:pPr>
      <w:r w:rsidRPr="00841185">
        <w:t>–</w:t>
      </w:r>
      <w:r w:rsidRPr="00841185">
        <w:tab/>
        <w:t>der henviser til Revisionsrettens erklæring for regnskabsåret 2022 om regnskabernes rigtighed</w:t>
      </w:r>
      <w:r w:rsidRPr="00841185">
        <w:rPr>
          <w:rStyle w:val="FootnoteReference"/>
        </w:rPr>
        <w:footnoteReference w:id="7"/>
      </w:r>
      <w:r w:rsidRPr="00841185">
        <w:t xml:space="preserve"> og de underliggende transaktioners lovlighed og formelle rigtighed, jf. artikel 287 i traktaten om Den Europæiske Unions funktionsmåde,</w:t>
      </w:r>
    </w:p>
    <w:p w14:paraId="7ACF6E1E" w14:textId="3A7ABEEE" w:rsidR="00AA0F42" w:rsidRPr="00841185" w:rsidRDefault="00AA0F42" w:rsidP="00AA0F42">
      <w:pPr>
        <w:pStyle w:val="NormalHanging12a"/>
      </w:pPr>
      <w:r w:rsidRPr="00841185">
        <w:t>–</w:t>
      </w:r>
      <w:r w:rsidRPr="00841185">
        <w:tab/>
        <w:t>der henviser til Rådets henstilling af 22. februar 2024 om decharge til agenturet for gennemførelsen af budgettet for regnskabsåret 2022 (0</w:t>
      </w:r>
      <w:r w:rsidR="00962DA2" w:rsidRPr="00841185">
        <w:t>6180</w:t>
      </w:r>
      <w:r w:rsidRPr="00841185">
        <w:t>/2024 – C9</w:t>
      </w:r>
      <w:r w:rsidRPr="00841185">
        <w:noBreakHyphen/>
        <w:t>0</w:t>
      </w:r>
      <w:r w:rsidR="00962DA2" w:rsidRPr="00841185">
        <w:t>107</w:t>
      </w:r>
      <w:r w:rsidRPr="00841185">
        <w:t>/2024),</w:t>
      </w:r>
    </w:p>
    <w:p w14:paraId="02C0679E" w14:textId="77777777" w:rsidR="00AA0F42" w:rsidRPr="00841185" w:rsidRDefault="00AA0F42" w:rsidP="00AA0F42">
      <w:pPr>
        <w:pStyle w:val="NormalHanging12a"/>
      </w:pPr>
      <w:r w:rsidRPr="00841185">
        <w:t>–</w:t>
      </w:r>
      <w:r w:rsidRPr="00841185">
        <w:tab/>
        <w:t>der henviser til artikel 319 i traktaten om Den Europæiske Unions funktionsmåde,</w:t>
      </w:r>
    </w:p>
    <w:p w14:paraId="2A53CF79" w14:textId="77777777" w:rsidR="00AA0F42" w:rsidRPr="00841185" w:rsidRDefault="00AA0F42" w:rsidP="00AA0F42">
      <w:pPr>
        <w:pStyle w:val="NormalHanging12a"/>
      </w:pPr>
      <w:r w:rsidRPr="00841185">
        <w:t>–</w:t>
      </w:r>
      <w:r w:rsidRPr="00841185">
        <w:tab/>
        <w:t xml:space="preserve">der henviser til Europa-Parlamentets og Rådets forordning (EU, </w:t>
      </w:r>
      <w:proofErr w:type="spellStart"/>
      <w:r w:rsidRPr="00841185">
        <w:t>Euratom</w:t>
      </w:r>
      <w:proofErr w:type="spellEnd"/>
      <w:r w:rsidRPr="0084118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41185">
        <w:t>Euratom</w:t>
      </w:r>
      <w:proofErr w:type="spellEnd"/>
      <w:r w:rsidRPr="00841185">
        <w:t>) nr. 966/2012</w:t>
      </w:r>
      <w:r w:rsidRPr="00841185">
        <w:rPr>
          <w:rStyle w:val="FootnoteReference"/>
        </w:rPr>
        <w:footnoteReference w:id="8"/>
      </w:r>
      <w:r w:rsidRPr="00841185">
        <w:t>, særlig artikel 70,</w:t>
      </w:r>
    </w:p>
    <w:p w14:paraId="6C4B1BD7" w14:textId="77777777" w:rsidR="00AA0F42" w:rsidRPr="00841185" w:rsidRDefault="00AA0F42" w:rsidP="00AA0F42">
      <w:pPr>
        <w:pStyle w:val="NormalHanging12a"/>
      </w:pPr>
      <w:r w:rsidRPr="00841185">
        <w:t>–</w:t>
      </w:r>
      <w:r w:rsidRPr="00841185">
        <w:tab/>
        <w:t>der henviser til Europa-Parlamentets og Rådets forordning (EU) 2016/794 af 11. maj 2016 om Den Europæiske Unions Agentur for Retshåndhævelsessamarbejde (Europol) og om erstatning og ophævelse af Rådets afgørelse 2009/371/RIA, 2009/934/RIA, 2009/935/RIA, 2009/936/RIA og 2009/968/RIA</w:t>
      </w:r>
      <w:r w:rsidRPr="00841185">
        <w:rPr>
          <w:rStyle w:val="FootnoteReference"/>
        </w:rPr>
        <w:footnoteReference w:id="9"/>
      </w:r>
      <w:r w:rsidRPr="00841185">
        <w:t>, særlig artikel 60,</w:t>
      </w:r>
    </w:p>
    <w:p w14:paraId="1877F182" w14:textId="77777777" w:rsidR="00AA0F42" w:rsidRPr="00841185" w:rsidRDefault="00AA0F42" w:rsidP="00AA0F42">
      <w:pPr>
        <w:pStyle w:val="NormalHanging12a"/>
      </w:pPr>
      <w:r w:rsidRPr="00841185">
        <w:t>–</w:t>
      </w:r>
      <w:r w:rsidRPr="00841185">
        <w:tab/>
        <w:t xml:space="preserve">der henviser til Kommissionens delegerede forordning (EU) 2019/715 af 18. december 2018 om </w:t>
      </w:r>
      <w:proofErr w:type="spellStart"/>
      <w:r w:rsidRPr="00841185">
        <w:t>rammefinansforordningen</w:t>
      </w:r>
      <w:proofErr w:type="spellEnd"/>
      <w:r w:rsidRPr="00841185">
        <w:t xml:space="preserve"> for de organer, der er nedsat i henhold til TEUF og </w:t>
      </w:r>
      <w:proofErr w:type="spellStart"/>
      <w:r w:rsidRPr="00841185">
        <w:t>Euratomtraktaten</w:t>
      </w:r>
      <w:proofErr w:type="spellEnd"/>
      <w:r w:rsidRPr="00841185">
        <w:t xml:space="preserve"> og omhandlet i artikel 70 i Europa-Parlamentets og Rådets forordning (EU, </w:t>
      </w:r>
      <w:proofErr w:type="spellStart"/>
      <w:r w:rsidRPr="00841185">
        <w:t>Euratom</w:t>
      </w:r>
      <w:proofErr w:type="spellEnd"/>
      <w:r w:rsidRPr="00841185">
        <w:t>) 2018/1046</w:t>
      </w:r>
      <w:r w:rsidRPr="00841185">
        <w:rPr>
          <w:rStyle w:val="FootnoteReference"/>
        </w:rPr>
        <w:footnoteReference w:id="10"/>
      </w:r>
      <w:r w:rsidRPr="00841185">
        <w:t>, særlig artikel 105,</w:t>
      </w:r>
    </w:p>
    <w:p w14:paraId="4C78B901" w14:textId="77777777" w:rsidR="00AA0F42" w:rsidRPr="00841185" w:rsidRDefault="00AA0F42" w:rsidP="00AA0F42">
      <w:pPr>
        <w:pStyle w:val="NormalHanging12a"/>
      </w:pPr>
      <w:r w:rsidRPr="00841185">
        <w:t>–</w:t>
      </w:r>
      <w:r w:rsidRPr="00841185">
        <w:tab/>
        <w:t>der henviser til forretningsordenens artikel 100 og bilag V,</w:t>
      </w:r>
    </w:p>
    <w:p w14:paraId="4E5E3EB8" w14:textId="77777777" w:rsidR="00AA0F42" w:rsidRPr="00841185" w:rsidRDefault="00AA0F42" w:rsidP="00AA0F42">
      <w:pPr>
        <w:pStyle w:val="NormalHanging12a"/>
      </w:pPr>
      <w:r w:rsidRPr="00841185">
        <w:t>–</w:t>
      </w:r>
      <w:r w:rsidRPr="00841185">
        <w:tab/>
        <w:t>der henviser til udtalelse fra Udvalget om Borgernes Rettigheder og Retlige og Indre Anliggender,</w:t>
      </w:r>
    </w:p>
    <w:p w14:paraId="1098ED24" w14:textId="77777777" w:rsidR="00AA0F42" w:rsidRPr="00841185" w:rsidRDefault="00AA0F42" w:rsidP="00AA0F42">
      <w:pPr>
        <w:pStyle w:val="NormalHanging12a"/>
      </w:pPr>
      <w:r w:rsidRPr="00841185">
        <w:t>–</w:t>
      </w:r>
      <w:r w:rsidRPr="00841185">
        <w:tab/>
        <w:t>der henviser til betænkning fra Budgetkontroludvalget (A9-0119/2024),</w:t>
      </w:r>
    </w:p>
    <w:p w14:paraId="55CE3ED1" w14:textId="77777777" w:rsidR="00AA0F42" w:rsidRPr="00841185" w:rsidRDefault="00AA0F42" w:rsidP="00AA0F42">
      <w:pPr>
        <w:pStyle w:val="NormalHanging12a"/>
      </w:pPr>
      <w:r w:rsidRPr="00841185">
        <w:t>1.</w:t>
      </w:r>
      <w:r w:rsidRPr="00841185">
        <w:tab/>
        <w:t>godkender afslutningen af regnskaberne for Den Europæiske Unions Agentur for Retshåndhævelsessamarbejde (Europol) for regnskabsåret 2022;</w:t>
      </w:r>
    </w:p>
    <w:p w14:paraId="644CAF5D" w14:textId="77777777" w:rsidR="00AA0F42" w:rsidRPr="00841185" w:rsidRDefault="00AA0F42" w:rsidP="00AA0F42">
      <w:pPr>
        <w:pStyle w:val="NormalHanging12a"/>
      </w:pPr>
      <w:r w:rsidRPr="00841185">
        <w:t>2.</w:t>
      </w:r>
      <w:r w:rsidRPr="00841185">
        <w:tab/>
        <w:t xml:space="preserve">pålægger sin formand at sende denne afgørelse til den administrerende direktør for Den Europæiske Unions Agentur for Retshåndhævelsessamarbejde (Europol), Rådet, Kommissionen og Revisionsretten og drage omsorg for, at den offentliggøres i </w:t>
      </w:r>
      <w:r w:rsidRPr="00841185">
        <w:rPr>
          <w:i/>
          <w:iCs/>
        </w:rPr>
        <w:t>Den Europæiske Unions Tidende</w:t>
      </w:r>
      <w:r w:rsidRPr="00841185">
        <w:t xml:space="preserve"> (L-udgaven).</w:t>
      </w:r>
    </w:p>
    <w:p w14:paraId="6CF08203" w14:textId="77777777" w:rsidR="00AA0F42" w:rsidRPr="00841185" w:rsidRDefault="00AA0F42" w:rsidP="00AA0F42"/>
    <w:p w14:paraId="61B89743" w14:textId="77777777" w:rsidR="00AA0F42" w:rsidRPr="00841185" w:rsidRDefault="00AA0F42" w:rsidP="00AA0F42">
      <w:pPr>
        <w:widowControl/>
        <w:rPr>
          <w:rFonts w:ascii="Arial" w:hAnsi="Arial" w:cs="Arial"/>
          <w:b/>
        </w:rPr>
        <w:sectPr w:rsidR="00AA0F42" w:rsidRPr="00841185" w:rsidSect="003E0048">
          <w:footnotePr>
            <w:numRestart w:val="eachPage"/>
          </w:footnotePr>
          <w:endnotePr>
            <w:numFmt w:val="decimal"/>
          </w:endnotePr>
          <w:pgSz w:w="11906" w:h="16838"/>
          <w:pgMar w:top="1134" w:right="1418" w:bottom="1418" w:left="1418" w:header="567" w:footer="567" w:gutter="0"/>
          <w:cols w:space="720"/>
          <w:docGrid w:linePitch="326"/>
        </w:sectPr>
      </w:pPr>
    </w:p>
    <w:p w14:paraId="018FCE05" w14:textId="77777777" w:rsidR="00AA0F42" w:rsidRPr="00841185" w:rsidRDefault="00AA0F42" w:rsidP="00722AB7">
      <w:pPr>
        <w:pStyle w:val="ATHeading3"/>
      </w:pPr>
      <w:bookmarkStart w:id="11" w:name="_Toc146794873"/>
      <w:bookmarkStart w:id="12" w:name="_Toc161310579"/>
      <w:bookmarkStart w:id="13" w:name="_Toc161991415"/>
      <w:r w:rsidRPr="00841185">
        <w:t xml:space="preserve">3. </w:t>
      </w:r>
      <w:r w:rsidR="00722AB7" w:rsidRPr="00841185">
        <w:t>Europa-Parlamentets beslutning</w:t>
      </w:r>
      <w:bookmarkEnd w:id="11"/>
      <w:bookmarkEnd w:id="12"/>
      <w:bookmarkEnd w:id="13"/>
      <w:r w:rsidR="00722AB7" w:rsidRPr="00841185">
        <w:t xml:space="preserve"> af 11. april 2024 </w:t>
      </w:r>
      <w:r w:rsidRPr="00841185">
        <w:t>med bemærkningerne, der er en integrerende del af afgørelsen om decharge for gennemførelsen af budgettet for Den Europæiske Unions Agentur for Retshåndhævelsessamarbejde (Europol) for regnskabsåret 2022</w:t>
      </w:r>
      <w:r w:rsidR="00722AB7" w:rsidRPr="00841185">
        <w:t xml:space="preserve"> </w:t>
      </w:r>
      <w:r w:rsidRPr="00841185">
        <w:t>(2023/2169(DEC))</w:t>
      </w:r>
    </w:p>
    <w:p w14:paraId="04DF3FC8" w14:textId="77777777" w:rsidR="00AA0F42" w:rsidRPr="00841185" w:rsidRDefault="00AA0F42" w:rsidP="00AA0F42">
      <w:pPr>
        <w:pStyle w:val="EPComma"/>
      </w:pPr>
      <w:r w:rsidRPr="00841185">
        <w:rPr>
          <w:i/>
          <w:iCs/>
        </w:rPr>
        <w:t>Europa-Parlamentet,</w:t>
      </w:r>
    </w:p>
    <w:p w14:paraId="039E8459" w14:textId="77777777" w:rsidR="00AA0F42" w:rsidRPr="00841185" w:rsidRDefault="00AA0F42" w:rsidP="00AA0F42">
      <w:pPr>
        <w:pStyle w:val="NormalHanging12a"/>
      </w:pPr>
      <w:r w:rsidRPr="00841185">
        <w:t>–</w:t>
      </w:r>
      <w:r w:rsidRPr="00841185">
        <w:tab/>
        <w:t>der henviser til sin afgørelse om decharge for gennemførelsen af budgettet for Den Europæiske Unions Agentur for Retshåndhævelsessamarbejde (Europol) for regnskabsåret 2022,</w:t>
      </w:r>
    </w:p>
    <w:p w14:paraId="7347FB24" w14:textId="77777777" w:rsidR="00AA0F42" w:rsidRPr="00841185" w:rsidRDefault="00AA0F42" w:rsidP="00AA0F42">
      <w:pPr>
        <w:pStyle w:val="NormalHanging12a"/>
      </w:pPr>
      <w:r w:rsidRPr="00841185">
        <w:t>–</w:t>
      </w:r>
      <w:r w:rsidRPr="00841185">
        <w:tab/>
        <w:t>der henviser til forretningsordenens artikel 100 og bilag V,</w:t>
      </w:r>
    </w:p>
    <w:p w14:paraId="2B7A8679" w14:textId="77777777" w:rsidR="00AA0F42" w:rsidRPr="00841185" w:rsidRDefault="00AA0F42" w:rsidP="00AA0F42">
      <w:pPr>
        <w:pStyle w:val="NormalHanging12a"/>
      </w:pPr>
      <w:r w:rsidRPr="00841185">
        <w:t>–</w:t>
      </w:r>
      <w:r w:rsidRPr="00841185">
        <w:tab/>
        <w:t>der henviser til udtalelse fra Udvalget om Borgernes Rettigheder og Retlige og Indre Anliggender,</w:t>
      </w:r>
    </w:p>
    <w:p w14:paraId="168591AC" w14:textId="77777777" w:rsidR="00AA0F42" w:rsidRPr="00841185" w:rsidRDefault="00AA0F42" w:rsidP="00AA0F42">
      <w:pPr>
        <w:pStyle w:val="NormalHanging12a"/>
      </w:pPr>
      <w:r w:rsidRPr="00841185">
        <w:t>–</w:t>
      </w:r>
      <w:r w:rsidRPr="00841185">
        <w:tab/>
        <w:t>der henviser til betænkning fra Budgetkontroludvalget (A9-0119/2024),</w:t>
      </w:r>
    </w:p>
    <w:p w14:paraId="1D32326D" w14:textId="77777777" w:rsidR="00AA0F42" w:rsidRPr="00841185" w:rsidRDefault="00AA0F42" w:rsidP="00AA0F42">
      <w:pPr>
        <w:pStyle w:val="Normal12Hanging"/>
        <w:widowControl/>
        <w:rPr>
          <w:szCs w:val="24"/>
        </w:rPr>
      </w:pPr>
      <w:r w:rsidRPr="00841185">
        <w:t>A.</w:t>
      </w:r>
      <w:r w:rsidRPr="00841185">
        <w:tab/>
        <w:t>der henviser til, at det endelige budget for Den Europæiske Unions Agentur for Retshåndhævelsessamarbejde (Europol) ("agenturet") for regnskabsåret 2022 ifølge dets oversigt over indtægter og udgifter</w:t>
      </w:r>
      <w:r w:rsidRPr="00841185">
        <w:rPr>
          <w:szCs w:val="24"/>
          <w:vertAlign w:val="superscript"/>
        </w:rPr>
        <w:footnoteReference w:id="11"/>
      </w:r>
      <w:r w:rsidRPr="00841185">
        <w:t xml:space="preserve"> var på 197 759 722 EUR, hvilket svarer til en stigning på 10,91 % i forhold til 2021; der henviser til, at agenturets budget hovedsagelig stammer fra Unionens budget;</w:t>
      </w:r>
    </w:p>
    <w:p w14:paraId="29C54941" w14:textId="77777777" w:rsidR="00AA0F42" w:rsidRPr="00841185" w:rsidRDefault="00AA0F42" w:rsidP="00AA0F42">
      <w:pPr>
        <w:pStyle w:val="Normal12Hanging"/>
        <w:widowControl/>
        <w:rPr>
          <w:szCs w:val="24"/>
        </w:rPr>
      </w:pPr>
      <w:r w:rsidRPr="00841185">
        <w:t>B.</w:t>
      </w:r>
      <w:r w:rsidRPr="00841185">
        <w:tab/>
        <w:t>der henviser til, at Revisionsretten i sin beretning om årsregnskabet for Det Europæiske Agentur for Retshåndhævelsessamarbejde (Europol) for regnskabsåret 2022 ("Revisionsrettens beretning") fastslår, at den har fået rimelig sikkerhed for, at agenturets årsregnskab er rigtigt, og at de underliggende transaktioner er lovlige og formelt rigtige;</w:t>
      </w:r>
    </w:p>
    <w:p w14:paraId="10980B4C" w14:textId="77777777" w:rsidR="00AA0F42" w:rsidRPr="00841185" w:rsidRDefault="00AA0F42" w:rsidP="00AA0F42">
      <w:pPr>
        <w:pStyle w:val="Normal12Hanging"/>
        <w:widowControl/>
        <w:rPr>
          <w:b/>
          <w:i/>
          <w:szCs w:val="24"/>
        </w:rPr>
      </w:pPr>
      <w:r w:rsidRPr="00841185">
        <w:rPr>
          <w:b/>
          <w:i/>
        </w:rPr>
        <w:t>Budgetmæssig og økonomisk forvaltning</w:t>
      </w:r>
    </w:p>
    <w:p w14:paraId="33F61D6E" w14:textId="77777777" w:rsidR="00AA0F42" w:rsidRPr="00841185" w:rsidRDefault="00AA0F42" w:rsidP="00AA0F42">
      <w:pPr>
        <w:pStyle w:val="NormalHanging12a"/>
      </w:pPr>
      <w:r w:rsidRPr="00841185">
        <w:t>1.</w:t>
      </w:r>
      <w:r w:rsidRPr="00841185">
        <w:tab/>
        <w:t>bemærker, at budgetovervågningsindsatsen resulterede i en budgetgennemførelse i 2022 på 96,62 % i forpligtelsesbevillinger, hvilket svarer til et fald på 2,10 % i forhold til 2021; bemærker, at udnyttelsesgraden for betalingsbevillingerne i det pågældende år var på 79,73 %, hvilket er udtryk for et fald på 3,78 % i forhold til 2021; roser agenturets bestræbelser på at mindske sine betalingsforsinkelser yderligere fra 32,8 % i 2020 og 7,8 % i 2021 til 7,2 % i 2022;</w:t>
      </w:r>
      <w:r w:rsidRPr="00841185">
        <w:rPr>
          <w:b/>
          <w:i/>
        </w:rPr>
        <w:t xml:space="preserve"> </w:t>
      </w:r>
      <w:r w:rsidRPr="00841185">
        <w:t>noterer sig imidlertid med bekymring, at der stadig ikke er fulgt op på bemærkningen fra Revisionsretten, som understregede, at agenturet har udfordringer med hensyn til forsinkede betalinger; er enig med Revisionsretten i, at denne tilbagevendende svaghed udsætter Europol for omdømmemæssige risici;</w:t>
      </w:r>
    </w:p>
    <w:p w14:paraId="03D3CEFE" w14:textId="77777777" w:rsidR="00AA0F42" w:rsidRPr="00841185" w:rsidRDefault="00AA0F42" w:rsidP="00AA0F42">
      <w:pPr>
        <w:pStyle w:val="Normal12Hanging"/>
        <w:widowControl/>
        <w:rPr>
          <w:szCs w:val="24"/>
        </w:rPr>
      </w:pPr>
      <w:r w:rsidRPr="00841185">
        <w:t>2.</w:t>
      </w:r>
      <w:r w:rsidRPr="00841185">
        <w:tab/>
        <w:t>bemærker en lav gennemførelsesgrad (85 %) for de midler (C8), der blev fremført fra 2021 til 2022, hvilket fører til uudnyttede bevillinger på 3,8 mio. EUR; bemærker med bekymring, at bevillingerne til det nuværende budget, som blev fremført fra 2022 til 2023, ligger på et relativt højt niveau på 17 % eller 32,5 mio. EUR; bemærker endvidere en stigende tendens i de seneste år (2020-2022) med hensyn til agenturets overskud (budgetresultat) ved udgangen af regnskabsåret, idet dette overskud for 2022 var på 10,3 mio. EUR, hvilket er mere end det dobbelte af samme beløb i 2021 (5,1 mio. EUR); bemærker på baggrund af agenturets konsoliderede årlige aktivitetsrapport for 2022 og agenturets rapport med opfølgning på Parlamentets afgørelse om decharge for gennemførelsen af agenturets budget for 2021, at agenturet vurderede de grundlæggende årsager til det store overskud ved udgangen af regnskabsåret og resultaterne af budgetgennemførelsen med hensyn til fremførsel; bemærker i den forbindelse, at agenturet også udarbejdede en handlingsplan; opfordrer agenturet til at holde dechargemyndigheden underrettet om de fremskridt, der gøres i denne henseende;</w:t>
      </w:r>
    </w:p>
    <w:p w14:paraId="6FB8AB6E" w14:textId="77777777" w:rsidR="00AA0F42" w:rsidRPr="00841185" w:rsidRDefault="00AA0F42" w:rsidP="00AA0F42">
      <w:pPr>
        <w:pStyle w:val="Normal12Hanging"/>
        <w:widowControl/>
        <w:rPr>
          <w:szCs w:val="24"/>
        </w:rPr>
      </w:pPr>
      <w:r w:rsidRPr="00841185">
        <w:t>3.</w:t>
      </w:r>
      <w:r w:rsidRPr="00841185">
        <w:tab/>
        <w:t>bemærker, at agenturets endelige budget for 2022 er resultatet af en første ændring på 4,3 mio. EUR for bidraget fra Danmark for 2022 og en anden ændring på 1,1 mio. EUR for bidragsaftaler og serviceleveranceaftaler;</w:t>
      </w:r>
    </w:p>
    <w:p w14:paraId="1A958DE7" w14:textId="77777777" w:rsidR="00AA0F42" w:rsidRPr="00841185" w:rsidRDefault="00AA0F42" w:rsidP="00AA0F42">
      <w:pPr>
        <w:pStyle w:val="Normal12Hanging"/>
        <w:widowControl/>
        <w:rPr>
          <w:b/>
          <w:i/>
          <w:szCs w:val="24"/>
        </w:rPr>
      </w:pPr>
      <w:r w:rsidRPr="00841185">
        <w:rPr>
          <w:b/>
          <w:i/>
        </w:rPr>
        <w:t>Performance</w:t>
      </w:r>
    </w:p>
    <w:p w14:paraId="7671A2F8" w14:textId="77777777" w:rsidR="00AA0F42" w:rsidRPr="00841185" w:rsidRDefault="00AA0F42" w:rsidP="00AA0F42">
      <w:pPr>
        <w:pStyle w:val="Normal12Hanging"/>
        <w:widowControl/>
        <w:rPr>
          <w:szCs w:val="24"/>
        </w:rPr>
      </w:pPr>
      <w:r w:rsidRPr="00841185">
        <w:t>4.</w:t>
      </w:r>
      <w:r w:rsidRPr="00841185">
        <w:tab/>
        <w:t>bemærker med tilfredshed på baggrund af agenturets konsoliderede årlige aktivitetsrapport, at agenturet anvendte centrale resultatindikatorer og arbejdsprogramindikatorer til at vurdere merværdien af dets aktiviteter samt andre foranstaltninger med henblik på at forbedre budgetforvaltningen i 2022; bemærker, at agenturet overvågede 15 centrale resultatindikatorer (</w:t>
      </w:r>
      <w:proofErr w:type="spellStart"/>
      <w:r w:rsidRPr="00841185">
        <w:t>KPI'er</w:t>
      </w:r>
      <w:proofErr w:type="spellEnd"/>
      <w:r w:rsidRPr="00841185">
        <w:t>) og 56 arbejdsprogramindikatorer; bemærker, at målene blev nået eller overgået for ti centrale resultatindikatorer og 40 arbejdsprogramindikatorer; påskønner i den forbindelse stigningen i visse centrale resultatindikatorer i forhold til tidligere år i forbindelse med antallet af operationer (2 758) og antallet af aktionsdage (394), der blev støttet af agenturet, samt antallet af søgninger foretaget i EIS og QUEST (13 millioner) og antallet af kontroller af grænseoverskridende kriminalitet i EIS vedrørende personer (2 339);</w:t>
      </w:r>
    </w:p>
    <w:p w14:paraId="0085EBF3" w14:textId="77777777" w:rsidR="00AA0F42" w:rsidRPr="00841185" w:rsidRDefault="00AA0F42" w:rsidP="00AA0F42">
      <w:pPr>
        <w:pStyle w:val="Normal12Hanging"/>
        <w:widowControl/>
        <w:rPr>
          <w:szCs w:val="24"/>
        </w:rPr>
      </w:pPr>
      <w:r w:rsidRPr="00841185">
        <w:t>5.</w:t>
      </w:r>
      <w:r w:rsidRPr="00841185">
        <w:tab/>
        <w:t xml:space="preserve">roser agenturets flotte resultater med at nå dets fem flerårige strategiske prioriteter, der er fastsat i Europols strategi 2020+; bemærker navnlig oprettelsen af informationsstyringsenheden, udviklingen af en IKT-strategi, som forventes at bidrage til gennemførelsen af agenturets strategi inden for informationsstyring, og gennemførelsen af en ny forretningsværdimodel til overvågning af fremskridt med hensyn til indførelse af IKT; bemærker, at Europols innovationslaboratorium blev en del af informationsstyringsenheden i en struktur, der forventes at føre til et tættere samarbejde, som er nødvendigt i forbindelse med gennemførelsen af den reviderede </w:t>
      </w:r>
      <w:proofErr w:type="spellStart"/>
      <w:r w:rsidRPr="00841185">
        <w:t>Europolforordning</w:t>
      </w:r>
      <w:proofErr w:type="spellEnd"/>
      <w:r w:rsidRPr="00841185">
        <w:t xml:space="preserve">, og lancerede Europols værktøjsregister med henblik på at støtte forskning og innovation i medlemsstaterne, tilskynde til udveksling af erfaringer og fremme </w:t>
      </w:r>
      <w:proofErr w:type="spellStart"/>
      <w:r w:rsidRPr="00841185">
        <w:t>synergier</w:t>
      </w:r>
      <w:proofErr w:type="spellEnd"/>
      <w:r w:rsidRPr="00841185">
        <w:t xml:space="preserve">; bemærker endvidere lanceringen af enheden for digital støtte, der effektivt og virkningsfuldt skal opfylde medlemsstaternes og agenturets behov for efterforskning, navnlig med hensyn til komplekse sager, der kræver digital </w:t>
      </w:r>
      <w:proofErr w:type="spellStart"/>
      <w:r w:rsidRPr="00841185">
        <w:t>kriminalteknisk</w:t>
      </w:r>
      <w:proofErr w:type="spellEnd"/>
      <w:r w:rsidRPr="00841185">
        <w:t xml:space="preserve"> støtte;</w:t>
      </w:r>
    </w:p>
    <w:p w14:paraId="2CB97377" w14:textId="77777777" w:rsidR="00AA0F42" w:rsidRPr="00841185" w:rsidRDefault="00AA0F42" w:rsidP="00AA0F42">
      <w:pPr>
        <w:pStyle w:val="Normal12Hanging"/>
        <w:widowControl/>
      </w:pPr>
      <w:r w:rsidRPr="00841185">
        <w:t>6.</w:t>
      </w:r>
      <w:r w:rsidRPr="00841185">
        <w:tab/>
        <w:t>roser agenturets hurtige reaktionsevne og dets støtte til medlemsstaterne i bekæmpelsen af kriminalitet i kølvandet på den ulovlige og uprovokerede russiske invasion af Ukraine ved f.eks. at udsende eksperter og gæstemedarbejdere til at støtte lokale retshåndhævende myndigheder i lande, der grænser op til Ukraine, eller støtte finansielle undersøgelser rettet mod kriminelle aktiver, som ejes af enkeltpersoner og retlige enheder, der er pålagt sanktioner i forbindelse med den pågældende krig; bemærker endvidere, at agenturet i 2022 udsendte flere trusselsvurderinger angående de potentielle konsekvenser af krigen samt tidlige varsler og efterretningsmeddelelser om f.eks. våbenhandel og menneskehandel; opfordrer fortsat agenturet til at gøre sit yderste for at støtte Unionens og medlemsstaternes indsats på dette område; bemærker, at den ulovlige militære invasion har forårsaget en humanitær krise og har fået et stort antal flygtninge til at flygte fra Ukraine til Unionen, hvilket betyder, at opportunistiske kriminelle netværk kan bruge denne situation til at fremme deres kriminelle aktiviteter; bemærker endvidere, at udvidelsen af agenturets beføjelser med hensyn til støtte til medlemsstaterne og samarbejde med private parter, tredjelande og internationale organisationer vil kræve, at der oprettes yderligere interne og eksterne tilsynsmekanismer for at garantere, at EU-retten overholdes, og sikre beskyttelsen af de grundlæggende rettigheder;</w:t>
      </w:r>
    </w:p>
    <w:p w14:paraId="618F59D2" w14:textId="77777777" w:rsidR="00AA0F42" w:rsidRPr="00841185" w:rsidRDefault="00AA0F42" w:rsidP="00AA0F42">
      <w:pPr>
        <w:pStyle w:val="Normal12Hanging"/>
        <w:widowControl/>
      </w:pPr>
      <w:r w:rsidRPr="00841185">
        <w:t>7.</w:t>
      </w:r>
      <w:r w:rsidRPr="00841185">
        <w:tab/>
        <w:t xml:space="preserve">bemærker, at agenturet fortsat arbejdede tæt sammen med </w:t>
      </w:r>
      <w:proofErr w:type="spellStart"/>
      <w:r w:rsidRPr="00841185">
        <w:t>eu</w:t>
      </w:r>
      <w:proofErr w:type="spellEnd"/>
      <w:r w:rsidRPr="00841185">
        <w:t>-LISA om at indføre automatiseret kontrol af rejseansøgningsoplysninger fra det europæiske system vedrørende rejseinformation og rejsetilladelse (ETIAS) og sammenholde dem med Europols oplysninger; bemærker, at idriftsættelsen af ETIAS blev udsat til november 2023 ved Rådets afgørelse; glæder sig over, at agenturet udvidede sit samarbejde med Den Europæiske Anklagemyndighed (EPPO) i 2022, og at det ved årets udgang støttede 21 store EPPO-operationer vedrørende skattesvig;</w:t>
      </w:r>
    </w:p>
    <w:p w14:paraId="5375BE78" w14:textId="77777777" w:rsidR="00AA0F42" w:rsidRPr="00841185" w:rsidRDefault="00AA0F42" w:rsidP="00AA0F42">
      <w:pPr>
        <w:pStyle w:val="NormalHanging12a"/>
        <w:widowControl/>
        <w:rPr>
          <w:b/>
          <w:i/>
          <w:szCs w:val="24"/>
        </w:rPr>
      </w:pPr>
      <w:r w:rsidRPr="00841185">
        <w:rPr>
          <w:b/>
          <w:i/>
        </w:rPr>
        <w:t>Effektivitet og gevinster</w:t>
      </w:r>
    </w:p>
    <w:p w14:paraId="6718D669" w14:textId="77777777" w:rsidR="00AA0F42" w:rsidRPr="00841185" w:rsidRDefault="00AA0F42" w:rsidP="00AA0F42">
      <w:pPr>
        <w:pStyle w:val="Normal12Hanging"/>
        <w:widowControl/>
      </w:pPr>
      <w:r w:rsidRPr="00841185">
        <w:t>8.</w:t>
      </w:r>
      <w:r w:rsidRPr="00841185">
        <w:tab/>
        <w:t xml:space="preserve">bemærker med tilfredshed, at agenturet reviderede sin </w:t>
      </w:r>
      <w:proofErr w:type="spellStart"/>
      <w:r w:rsidRPr="00841185">
        <w:t>Europolstrategi</w:t>
      </w:r>
      <w:proofErr w:type="spellEnd"/>
      <w:r w:rsidRPr="00841185">
        <w:t xml:space="preserve"> 2020+ og tilpassede sine strategiske prioriteter til medlemsstaternes nuværende operationelle behov og de sikkerhedstrusler, de står over for, med det mål at forbedre agenturets resultater; bemærker i den forbindelse en ny strategisk prioritet om at bringe de relevante partnere sammen med henblik på grænseoverskridende samarbejde og fælles aktioner, herunder de associerede Schengenlande, Interpol og EU-agenturerne på området retlige og indre anliggender;</w:t>
      </w:r>
    </w:p>
    <w:p w14:paraId="3EE66BA9" w14:textId="11FB721A" w:rsidR="00AA0F42" w:rsidRPr="00841185" w:rsidRDefault="00AA0F42" w:rsidP="00AA0F42">
      <w:pPr>
        <w:pStyle w:val="NormalHanging12a"/>
        <w:widowControl/>
        <w:rPr>
          <w:szCs w:val="24"/>
        </w:rPr>
      </w:pPr>
      <w:r w:rsidRPr="00841185">
        <w:t>9.</w:t>
      </w:r>
      <w:r w:rsidRPr="00841185">
        <w:tab/>
        <w:t>bemærker med tilfredshed på baggrund af agenturets svar på Parlamentets skriftlige spørgsmål agenturets udvidede foranstaltninger og praksis med henblik på at øge effektivitet</w:t>
      </w:r>
      <w:r w:rsidR="00962DA2" w:rsidRPr="00841185">
        <w:t xml:space="preserve">en og </w:t>
      </w:r>
      <w:r w:rsidRPr="00841185">
        <w:t>gevinsterne inden for bl.a. IKT-løsninger til kerneaktiviteter (</w:t>
      </w:r>
      <w:proofErr w:type="spellStart"/>
      <w:r w:rsidRPr="00841185">
        <w:t>insourcing</w:t>
      </w:r>
      <w:proofErr w:type="spellEnd"/>
      <w:r w:rsidRPr="00841185">
        <w:t xml:space="preserve"> i stedet for outsourcing), digitalisering af HR-tjenester (e-rekruttering, e-uddannelse) og værktøjer til overvågning af budgetgennemførelsen, andelen af ledige stillinger, kontraktlofter i udbudsprocedurer og miljøindikatorer; roser agenturet for gennemførelsen af værktøjet til forvaltning af offentlige udbud samt for at dele udbudsprocedurer med andre agenturer;</w:t>
      </w:r>
    </w:p>
    <w:p w14:paraId="28BD135A" w14:textId="77777777" w:rsidR="00AA0F42" w:rsidRPr="00841185" w:rsidRDefault="00AA0F42" w:rsidP="00AA0F42">
      <w:pPr>
        <w:pStyle w:val="NormalHanging12a"/>
        <w:widowControl/>
        <w:rPr>
          <w:szCs w:val="24"/>
        </w:rPr>
      </w:pPr>
      <w:r w:rsidRPr="00841185">
        <w:t>10.</w:t>
      </w:r>
      <w:r w:rsidRPr="00841185">
        <w:tab/>
        <w:t xml:space="preserve">bemærker, at der i kølvandet på ændringen i planlægningen af Unionens </w:t>
      </w:r>
      <w:proofErr w:type="spellStart"/>
      <w:r w:rsidRPr="00841185">
        <w:t>interoperabilitetsdagsorden</w:t>
      </w:r>
      <w:proofErr w:type="spellEnd"/>
      <w:r w:rsidRPr="00841185">
        <w:t xml:space="preserve"> var behov for en genplanlægning af agenturets interne aktiviteter og ressourcer, hvilket medførte et behov for yderligere personale; bemærker i denne sammenhæng, at der er indgået en aftale, som indebærer, at 25 ansatte i Det Europæiske Agentur for Grænse- og Kystbevogtning fra 2024 vil støtte agenturet i at opfylde dets forpligtelser i henhold til </w:t>
      </w:r>
      <w:proofErr w:type="spellStart"/>
      <w:r w:rsidRPr="00841185">
        <w:t>interoperabilitetsdagsordenen</w:t>
      </w:r>
      <w:proofErr w:type="spellEnd"/>
      <w:r w:rsidRPr="00841185">
        <w:t>; bemærker endvidere et pres på agenturets ressourcer i forbindelse med høringsprocedurer med Den Europæiske Tilsynsførende for Databeskyttelse (EDPS), idet 25 af agenturets medarbejdere er afsat til arbejde skabt af EDPS; roser agenturet for dets tætte samarbejde med EDPS og for at følge dennes henstillinger med hensyn til anvendelsen af forskellige systemer såsom EPRIS, ADEP, SIS, PERCI og QUEST+; noterer sig agenturets bemærkning om, at forsinkelsen i forbindelse med indførelsen af PERCI (EU-platformen for ulovligt onlineindhold) skyldtes den indvirkning, som EDPS' udtalelser og efterfølgende henstillinger havde på udviklingen på punkter af central operationel betydning; roser agenturet for at udpege sin ansvarlige for grundlæggende rettigheder, som vil støtte agenturet i at sikre overholdelsen af de grundlæggende rettigheder i alle dets aktiviteter og opgaver;</w:t>
      </w:r>
    </w:p>
    <w:p w14:paraId="789C3F2E" w14:textId="77777777" w:rsidR="00AA0F42" w:rsidRPr="00841185" w:rsidRDefault="00AA0F42" w:rsidP="00AA0F42">
      <w:pPr>
        <w:pStyle w:val="NormalHanging12a"/>
      </w:pPr>
      <w:r w:rsidRPr="00841185">
        <w:t>11.</w:t>
      </w:r>
      <w:r w:rsidRPr="00841185">
        <w:tab/>
        <w:t>roser agenturet for at have modtaget registrering under ordningen for miljøledelse og miljørevision (EMAS) i 2022; roser endvidere agenturet for at have anvendt kriterier for grønne offentlige udbud i dets udbudsprocedurer og for at have integreret agenturets miljøpolitik og -mål heri; bemærker, at agenturet iværksatte et gennemførlighedsundersøgelsesprojekt for udviklingen af agenturets miljøvision for 2030 med henblik på at fastlægge reduktionsmål for agenturets drivhusgasemissioner og de forbedringsforanstaltninger, der er nødvendige for at nå disse mål; opfordrer agenturet til at underrette dechargemyndigheden om resultaterne af denne undersøgelse;</w:t>
      </w:r>
      <w:r w:rsidRPr="00841185">
        <w:rPr>
          <w:b/>
          <w:i/>
        </w:rPr>
        <w:t xml:space="preserve"> </w:t>
      </w:r>
      <w:r w:rsidRPr="00841185">
        <w:t>opfordrer agenturet til også at overveje at indføre mellemliggende bæredygtige og energieffektive løsninger både i sin infrastruktur og i sine interne processer, såsom øget brug af digitale værktøjer og dokumentforvaltning;</w:t>
      </w:r>
    </w:p>
    <w:p w14:paraId="1D30BF99" w14:textId="77777777" w:rsidR="00AA0F42" w:rsidRPr="00841185" w:rsidRDefault="00AA0F42" w:rsidP="00AA0F42">
      <w:pPr>
        <w:pStyle w:val="Normal12Hanging"/>
        <w:widowControl/>
        <w:rPr>
          <w:b/>
          <w:i/>
          <w:szCs w:val="24"/>
        </w:rPr>
      </w:pPr>
      <w:r w:rsidRPr="00841185">
        <w:rPr>
          <w:b/>
          <w:i/>
        </w:rPr>
        <w:t>Personalepolitik</w:t>
      </w:r>
    </w:p>
    <w:p w14:paraId="72331C08" w14:textId="77777777" w:rsidR="00AA0F42" w:rsidRPr="00841185" w:rsidRDefault="00AA0F42" w:rsidP="00AA0F42">
      <w:pPr>
        <w:pStyle w:val="Normal12Hanging"/>
        <w:widowControl/>
        <w:rPr>
          <w:szCs w:val="24"/>
        </w:rPr>
      </w:pPr>
      <w:r w:rsidRPr="00841185">
        <w:t>12.</w:t>
      </w:r>
      <w:r w:rsidRPr="00841185">
        <w:tab/>
        <w:t>bemærker, at gennemførelsesgraden for stillingsfortegnelsen pr. 31. december 2022 var 99,41 % med 682 midlertidigt ansatte ud af de 686, som var godkendt i henhold til Unionens budget (615 i 2021); bemærker, at der derudover var 236 kontraktansatte (hvoraf 19 var finansieret ved tilskud/aftaler) og 55 udstationerede nationale eksperter, der arbejdede for agenturet i 2022, idet der var godkendt henholdsvis 235 og 71 stillinger i henhold til Unionens budget; bemærker også, at yderligere 11 stillinger for midlertidigt ansatte uden for stillingsfortegnelsen for 2022 blev tildelt for en begrænset periode for at begrænse antallet af ledige stillinger til et minimum; bemærker, at agenturet skelner mellem fem kategorier af udstationerede nationale eksperter, hvoraf fire kategorier ikke eller kun i begrænset omfang er forbundet med omkostninger for agenturets budget og udgør yderligere 152 personer, hvilket bringer det samlede antal udstationerede nationale eksperter op på 207 i 2022; roser agenturets lave andel af ledige stillinger på 0,6 % i 2022, hvilket er et godt stykke under det årlige mål om en maksimal andel af ledige stillinger på 2 %; bemærker endvidere stigningen i agenturets personaleudskiftningsrate fra 6,9 % i 2021 til 9,12 % i 2022;</w:t>
      </w:r>
    </w:p>
    <w:p w14:paraId="2DC75BBD" w14:textId="77777777" w:rsidR="00AA0F42" w:rsidRPr="00841185" w:rsidRDefault="00AA0F42" w:rsidP="00AA0F42">
      <w:pPr>
        <w:pStyle w:val="NormalHanging12a"/>
      </w:pPr>
      <w:r w:rsidRPr="00841185">
        <w:t>13.</w:t>
      </w:r>
      <w:r w:rsidRPr="00841185">
        <w:tab/>
        <w:t>fremhæver, at agenturet i lyset af Ruslands invasion af Ukraine i 2022 har udsendt operationelle hold bestående af gratis udstationerede nationale eksperter i adskillige medlemsstater, såsom Litauen, Slovakiet, Ungarn, Rumænien eller Bulgarien, samt i partnerlande, såsom Moldova, og således øget anvendelsen af gratis udstationerede nationale eksperter; peger på, at antallet af indkomne udstationerede nationale eksperter fortsat afhænger af beslutninger truffet på nationalt plan, og at en række medlemsstater har besluttet ikke at fortsætte med at betale vederlag, når sådanne situationer opstår, og således tvinger dem til at være afhængige af de beløb, som de får udbetalt i dagpenge; minder om, at disse dagpengesatser er forblevet uændrede i de seneste seks år, til trods for at dagpengesatsen hvert tredje år skal justeres med korrektionskoefficienten og bør kompensere for øgede leveomkostninger og inflationstallene; opfordrer agenturet til at tage del i en indgående dialog med Kommissionen og de kompetente nationale myndigheder med henblik på at sikre en rimelig kompensation for alle de eksperter, som er ansat ved agenturet;</w:t>
      </w:r>
    </w:p>
    <w:p w14:paraId="54172CD0" w14:textId="77777777" w:rsidR="00AA0F42" w:rsidRPr="00841185" w:rsidRDefault="00AA0F42" w:rsidP="00AA0F42">
      <w:pPr>
        <w:pStyle w:val="NormalHanging12a"/>
      </w:pPr>
      <w:r w:rsidRPr="00841185">
        <w:t>14.</w:t>
      </w:r>
      <w:r w:rsidRPr="00841185">
        <w:tab/>
        <w:t>bemærker med bekymring den kønsfordeling i agenturet, der er indberettet for 2022, med 82 % mænd (28 mænd og seks kvinder) i top- og mellemlederstillinger, 75 % mænd (38 mænd og 13 kvinder) i bestyrelsen og med 65 % mænd (556 mænd og 295 kvinder) for det samlede personale; anerkender, at andelen af kvinder (35 %) beskæftiget i agenturet i 2022 ligger over den gennemsnitlige (baseret på Eurostats statistikker fra 2021) andel af kvinder (21,6 %) beskæftiget inden for retshåndhævelse i Unionen (politifolk, juridiske dommere og fængselspersonale); minder om vigtigheden af at sikre kønsbalance og opfordrer agenturet til at tage dette aspekt i betragtning med hensyn til fremtidig ansættelse af personale og udnævnelser inden for den øverste ledelse og på mellemlederniveau; anmoder Kommissionen og medlemsstaterne om at tage hensyn til vigtigheden af at sikre kønsbalance, når de indstiller deres medlemmer til agenturets bestyrelse;</w:t>
      </w:r>
    </w:p>
    <w:p w14:paraId="181F0886" w14:textId="77777777" w:rsidR="00AA0F42" w:rsidRPr="00841185" w:rsidRDefault="00AA0F42" w:rsidP="00AA0F42">
      <w:pPr>
        <w:pStyle w:val="NormalHanging12a"/>
      </w:pPr>
      <w:r w:rsidRPr="00841185">
        <w:t>15.</w:t>
      </w:r>
      <w:r w:rsidRPr="00841185">
        <w:tab/>
        <w:t xml:space="preserve">bemærker, at agenturets lægetjeneste indberettede tre nye tilfælde af </w:t>
      </w:r>
      <w:proofErr w:type="spellStart"/>
      <w:r w:rsidRPr="00841185">
        <w:t>udbrændthed</w:t>
      </w:r>
      <w:proofErr w:type="spellEnd"/>
      <w:r w:rsidRPr="00841185">
        <w:t xml:space="preserve"> i 2022; bemærker endvidere, at agenturet har gennemført foranstaltninger til at forbedre sit personales trivsel som bl.a. rådgivning om sundhed og livsstil på arbejdspladsen, en tidsplan for deltidsarbejde af helbredsårsager, henvisninger til speciallæger og rådgivning til ledelsesstøttepersonale; bemærker, at bestyrelsen indvilligede i en analog anvendelse på agenturet af Kommissionens afgørelse C (2022) om arbejdstid og hybridarbejde, som erstatter de tidligere gennemførelsesbestemmelser om arbejdstid og telearbejde, med det formål at skabe en ramme, hvor arbejde på kontoret og telearbejde betragtes som ligeværdige arbejdsformer; opfordrer agenturet til fortsat at søge løsninger til at mindske antallet af tilfælde af </w:t>
      </w:r>
      <w:proofErr w:type="spellStart"/>
      <w:r w:rsidRPr="00841185">
        <w:t>udbrændthed</w:t>
      </w:r>
      <w:proofErr w:type="spellEnd"/>
      <w:r w:rsidRPr="00841185">
        <w:t xml:space="preserve"> og til at rapportere tilbage til dechargemyndigheden om de opnåede fremskridt;</w:t>
      </w:r>
    </w:p>
    <w:p w14:paraId="7996B1CD" w14:textId="77777777" w:rsidR="00AA0F42" w:rsidRPr="00841185" w:rsidRDefault="00AA0F42" w:rsidP="00AA0F42">
      <w:pPr>
        <w:pStyle w:val="NormalHanging12a"/>
      </w:pPr>
      <w:r w:rsidRPr="00841185">
        <w:t>16.</w:t>
      </w:r>
      <w:r w:rsidRPr="00841185">
        <w:tab/>
        <w:t>bemærker på baggrund af agenturets svar på Parlamentets skriftlige spørgsmål, at agenturet ganske vist ikke har gennemført chartret om mangfoldighed og inklusion, men har indført sin egen mangfoldigheds- og inklusionsstrategi; bemærker endvidere, at agenturet i 2022 reviderede og vedtog procedurehåndbogen for gennemførelse af bestyrelsens afgørelse om politikken for beskyttelse af personers værdighed og forebyggelse af psykisk og seksuel chikane; bemærker, at agenturet i perioden 2017-2022 søgte ekstern juridisk rådgivning om to tilfælde af påstået chikane; bemærker, at der i 2022 ikke blev indbragt nogen chikanesager vedrørende agenturets personale for en domstol;</w:t>
      </w:r>
      <w:r w:rsidRPr="00841185">
        <w:rPr>
          <w:b/>
          <w:i/>
        </w:rPr>
        <w:t xml:space="preserve"> </w:t>
      </w:r>
      <w:r w:rsidRPr="00841185">
        <w:t>understreger vigtigheden af at have robuste rammer for bekæmpelse af chikane, navnlig i meget stressende og krævende arbejdsmiljøer; opfordrer agenturet til at indføre en uddannelsesordning på området for både nytilkomne og eksisterende medarbejdere;</w:t>
      </w:r>
    </w:p>
    <w:p w14:paraId="252FFD5C" w14:textId="77777777" w:rsidR="00AA0F42" w:rsidRPr="00841185" w:rsidRDefault="00AA0F42" w:rsidP="00AA0F42">
      <w:pPr>
        <w:pStyle w:val="NormalHanging12a"/>
        <w:widowControl/>
        <w:rPr>
          <w:b/>
          <w:i/>
          <w:szCs w:val="24"/>
        </w:rPr>
      </w:pPr>
      <w:r w:rsidRPr="00841185">
        <w:rPr>
          <w:b/>
          <w:i/>
        </w:rPr>
        <w:t>Offentlige udbud</w:t>
      </w:r>
    </w:p>
    <w:p w14:paraId="3D177DE0" w14:textId="21195571" w:rsidR="00AA0F42" w:rsidRPr="00841185" w:rsidRDefault="00AA0F42" w:rsidP="00AA0F42">
      <w:pPr>
        <w:pStyle w:val="NormalHanging12a"/>
        <w:widowControl/>
        <w:rPr>
          <w:szCs w:val="24"/>
        </w:rPr>
      </w:pPr>
      <w:r w:rsidRPr="00841185">
        <w:t>17.</w:t>
      </w:r>
      <w:r w:rsidRPr="00841185">
        <w:tab/>
        <w:t>noterer sig bemærkningen i Revisionsrettens beretning om, at agenturet i 2022 betalte et tilskud på 3,3 mio. EUR til finansiering af aktiviteter udført af en national politistyrke i en medlemsstat, herunder 1,4 mio. EUR som godtgørelse af udgifterne til et momsbelagt indkøb af fem både og en hensættelse på 7 % til dermed forbundne generalomkostninger; noterer sig på baggrund af Revisionsrettens vurdering, at momsen på købet af bådene til politiuddannelse i lyset af finansforordningens artikel 186, stk. 4, litra c), ikke skulle have været godtgjort, eftersom tilskudsmodtageren er et offentligretligt organ, som optræder i sin egenskab af offentlig myndighed, hvorfor den del af tilskuddet, der beløber sig til 0,2 mio. EUR, blev anset for regelstridig; anerkender på baggrund af agenturets svar, at agenturet – under henvisning til artikel 5 i Rådets afgørelse 2008/617/RIA om forbedring af samarbejdet mellem EU-medlemsstaternes særlige indsatsenheder, hvorefter de særlige indsatsenheder skal sikre fælles uddannelsesøvelser, mens driftstilskuddet vedrørte særlige indsatsenheders aktiviteter, der blev koordineret af en enkelt medlemsstat, i henhold til artikel 186, stk. 4, litra c), i finansforordning</w:t>
      </w:r>
      <w:r w:rsidR="00CF5675">
        <w:t>en</w:t>
      </w:r>
      <w:bookmarkStart w:id="14" w:name="_GoBack"/>
      <w:bookmarkEnd w:id="14"/>
      <w:r w:rsidRPr="00841185">
        <w:t xml:space="preserve"> og Kommissionens tilhørende specifikke gennemførelsesretningslinjer for forvaltning af tilskud – betragtede moms som en støtteberettiget omkostning, hvis den ikke kan tilbagebetales i henhold til den relevante nationale lovgivning, og hvis den vedrører uddannelse, bevidstgørelse eller lignende aktiviteter inden for sikkerhedsområdet, bortset fra moms, der betales af medlemsstaterne, når de handler som offentlige myndigheder, navnlig når private virksomheder ikke kan levere de relaterede tjenesteydelser; bemærker endelig agenturets tilsagn om fremadrettet at vurdere støtteberettigelsen af moms i driftstilskud i lyset af Revisionsrettens bemærkninger;</w:t>
      </w:r>
    </w:p>
    <w:p w14:paraId="4944D0D8" w14:textId="77777777" w:rsidR="00AA0F42" w:rsidRPr="00841185" w:rsidRDefault="00AA0F42" w:rsidP="00AA0F42">
      <w:pPr>
        <w:pStyle w:val="NormalHanging12a"/>
        <w:widowControl/>
        <w:rPr>
          <w:b/>
          <w:i/>
          <w:szCs w:val="24"/>
        </w:rPr>
      </w:pPr>
      <w:r w:rsidRPr="00841185">
        <w:rPr>
          <w:b/>
          <w:i/>
        </w:rPr>
        <w:t>Forebyggelse og håndtering af interessekonflikter samt gennemsigtighed</w:t>
      </w:r>
    </w:p>
    <w:p w14:paraId="700CB978" w14:textId="77777777" w:rsidR="00AA0F42" w:rsidRPr="00841185" w:rsidRDefault="00AA0F42" w:rsidP="00AA0F42">
      <w:pPr>
        <w:pStyle w:val="NormalHanging12a"/>
      </w:pPr>
      <w:r w:rsidRPr="00841185">
        <w:t>18.</w:t>
      </w:r>
      <w:r w:rsidRPr="00841185">
        <w:tab/>
        <w:t xml:space="preserve">bemærker agenturets eksisterende foranstaltninger til og igangværende bestræbelser på at sikre gennemsigtighed, forebyggelse og håndtering af interessekonflikter og beskyttelse af </w:t>
      </w:r>
      <w:proofErr w:type="spellStart"/>
      <w:r w:rsidRPr="00841185">
        <w:t>whistleblowere</w:t>
      </w:r>
      <w:proofErr w:type="spellEnd"/>
      <w:r w:rsidRPr="00841185">
        <w:t>; bemærker med tilfredshed, at interesseerklæringerne og CV'erne fra alle bestyrelsesmedlemmerne og den øverste ledelse er blevet offentliggjort på agenturets websted;</w:t>
      </w:r>
      <w:r w:rsidRPr="00841185">
        <w:rPr>
          <w:b/>
          <w:i/>
        </w:rPr>
        <w:t xml:space="preserve"> </w:t>
      </w:r>
      <w:r w:rsidRPr="00841185">
        <w:t>opfordrer agenturet til at overveje at indføre foranstaltninger til at imødegå svingdørsfænomenet;</w:t>
      </w:r>
    </w:p>
    <w:p w14:paraId="333429FB" w14:textId="77777777" w:rsidR="00AA0F42" w:rsidRPr="00841185" w:rsidRDefault="00AA0F42" w:rsidP="00AA0F42">
      <w:pPr>
        <w:pStyle w:val="NormalHanging12a"/>
        <w:widowControl/>
        <w:rPr>
          <w:szCs w:val="24"/>
        </w:rPr>
      </w:pPr>
      <w:r w:rsidRPr="00841185">
        <w:t>19.</w:t>
      </w:r>
      <w:r w:rsidRPr="00841185">
        <w:tab/>
        <w:t xml:space="preserve">bemærker, at agenturet i løbet af 2022 håndterede seks sager, hvor der var tale om interessekonflikter, hvoraf to vedrørte rollen som rådgiver i udvælgelsesprocessen, én, som blev opdaget i forbindelse med ansættelsen af en udvalgt ansøger forud for tiltrædelsen af tjenesten i agenturet, og to angående ansatte efter udtræden af tjenesten; bemærker endvidere, at der blev truffet passende foranstaltninger i forbindelse med de pågældende situationer, herunder betingede tilladelser til beskæftigelse efter udtræden af tjenesten; noterer sig, at agenturet behandlede én sag om </w:t>
      </w:r>
      <w:proofErr w:type="spellStart"/>
      <w:r w:rsidRPr="00841185">
        <w:t>whistleblowing</w:t>
      </w:r>
      <w:proofErr w:type="spellEnd"/>
      <w:r w:rsidRPr="00841185">
        <w:t xml:space="preserve"> i 2022, som blev afsluttet uden yderligere foranstaltninger og drejede sig om en potentiel tilsidesættelse af faglige forpligtelser;</w:t>
      </w:r>
    </w:p>
    <w:p w14:paraId="733B3F8C" w14:textId="77777777" w:rsidR="00AA0F42" w:rsidRPr="00841185" w:rsidRDefault="00AA0F42" w:rsidP="00AA0F42">
      <w:pPr>
        <w:pStyle w:val="NormalHanging12a"/>
      </w:pPr>
      <w:r w:rsidRPr="00841185">
        <w:t>20.</w:t>
      </w:r>
      <w:r w:rsidRPr="00841185">
        <w:tab/>
        <w:t>udtrykker bekymring over medieberetninger angående interessekonflikter opstået blandt agenturets personale; bemærker, at Den Europæiske Ombudsmand i december 2023 besluttede at indlede en undersøgelse af, hvordan agenturet håndterede to tidligere medarbejderes skift til stillinger forbundet med bekæmpelse af seksuelt misbrug af børn online; bemærker, at den første medarbejder sluttede sig til en stor teknologiinteressent i begyndelsen af 2022, og at den anden blev medlem af bestyrelsen i samme interessent senere på året; noterer sig agenturets svar og opfordrer til, at påstandene undersøges grundigt, og at resultatet heraf indberettes til dechargemyndigheden.</w:t>
      </w:r>
    </w:p>
    <w:p w14:paraId="4301D4FF" w14:textId="77777777" w:rsidR="00AA0F42" w:rsidRPr="00841185" w:rsidRDefault="00AA0F42" w:rsidP="00AA0F42">
      <w:pPr>
        <w:pStyle w:val="NormalHanging12a"/>
        <w:widowControl/>
        <w:rPr>
          <w:szCs w:val="24"/>
        </w:rPr>
      </w:pPr>
      <w:r w:rsidRPr="00841185">
        <w:rPr>
          <w:b/>
          <w:i/>
        </w:rPr>
        <w:t>Intern kontrol</w:t>
      </w:r>
    </w:p>
    <w:p w14:paraId="38550D49" w14:textId="77777777" w:rsidR="00AA0F42" w:rsidRPr="00841185" w:rsidRDefault="00AA0F42" w:rsidP="00AA0F42">
      <w:pPr>
        <w:pStyle w:val="Normal12Hanging"/>
        <w:widowControl/>
        <w:rPr>
          <w:szCs w:val="24"/>
        </w:rPr>
      </w:pPr>
      <w:r w:rsidRPr="00841185">
        <w:t>21.</w:t>
      </w:r>
      <w:r w:rsidRPr="00841185">
        <w:tab/>
        <w:t>noterer sig bemærkningen i Revisionsrettens beretning om, at agenturet i en periode mellem 2020 og 2022 udbetalte dagpenge til tre nederlandske statsborgere, der var ansat som udstationerede nationale eksperter; bemærker, at da agenturet ligger i Nederlandene, var de tre udstationerede nationale eksperter ikke berettiget til dagpengene i henhold til agenturets interne regler; bemærker endvidere, at agenturet ganske vist i december 2022 stoppede udbetalingen af dagpengene til de tre udstationerede nationale eksperter, men besluttede ikke at kræve de for meget udbetalte beløb i den pågældende periode tilbage; bemærker, at det samlede beløb for de pågældende betalinger var på 155 553 EUR, hvoraf 90 605 EUR blev betalt i 2022; er bekymret over manglerne i forbindelse med agenturets forudgående kontrol i en periode på over tre år; noterer sig på baggrund af agenturets svar på Revisionsrettens bemærkning, at agenturet styrkede de forudgående kontroller for at sikre, at der var sikkerhed for lovligheden af personalets finansielle rettigheder forud for udbetalingen;</w:t>
      </w:r>
    </w:p>
    <w:p w14:paraId="31EB6A69" w14:textId="77777777" w:rsidR="00AA0F42" w:rsidRPr="00841185" w:rsidRDefault="00AA0F42" w:rsidP="00AA0F42">
      <w:pPr>
        <w:pStyle w:val="Normal12Hanging"/>
        <w:widowControl/>
        <w:rPr>
          <w:szCs w:val="24"/>
        </w:rPr>
      </w:pPr>
      <w:r w:rsidRPr="00841185">
        <w:t>22.</w:t>
      </w:r>
      <w:r w:rsidRPr="00841185">
        <w:tab/>
        <w:t>roser agenturet for de fremskridt, der er gjort med hensyn til at gennemføre udestående revisionsanbefalinger, idet 89 % af de kritiske eller meget vigtige er blevet gennemført i 2022; bemærker, at syv meget vigtige anbefalinger (som skulle gennemføres og var gældende) ved udgangen af 2022 stadig var udestående med hensyn til rapporter om revisioner, der blev gennemført i 2018, 2019 og 2021; bemærker, at Kommissionens Interne Revisionstjeneste udsendte den strategiske interne revisionsplan for agenturet for perioden 2022-2024, der omfattede tre temaer, herunder en revision af koordinerings- og samarbejdsordninger med GD HOME, der blev gennemført i 2022, og hvis resultater forventes at foreligge i 2023;</w:t>
      </w:r>
    </w:p>
    <w:p w14:paraId="2F5DFD29" w14:textId="77777777" w:rsidR="00AA0F42" w:rsidRPr="00841185" w:rsidRDefault="00AA0F42" w:rsidP="00AA0F42">
      <w:pPr>
        <w:pStyle w:val="Normal12Hanging"/>
        <w:widowControl/>
        <w:rPr>
          <w:szCs w:val="24"/>
        </w:rPr>
      </w:pPr>
      <w:r w:rsidRPr="00841185">
        <w:t>23.</w:t>
      </w:r>
      <w:r w:rsidRPr="00841185">
        <w:tab/>
        <w:t>noterer sig konklusionen i agenturets selvevaluering af effektiviteten af dets interne kontrolsystem, både gennem kvantitative målinger og kvalitative aspekter, herunder et sæt på 76 interne kontrolindikatorer, om, at alle komponenter i det interne kontrolsystem samlet set var til stede og fungerede på en integreret måde, og at der ikke blev konstateret nogen fremtrædende svagheder i den interne kontrol i 2022; bemærker, at agenturets interne revisionsfunktion afsluttede en gennemgang af agenturets interne kontrolramme for 2022 og konkluderede, at agenturet havde et robust internt kontrolsystem;</w:t>
      </w:r>
    </w:p>
    <w:p w14:paraId="43C5DE84" w14:textId="77777777" w:rsidR="00AA0F42" w:rsidRPr="00841185" w:rsidRDefault="00AA0F42" w:rsidP="00AA0F42">
      <w:pPr>
        <w:pStyle w:val="Normal12Hanging"/>
        <w:widowControl/>
        <w:rPr>
          <w:szCs w:val="24"/>
        </w:rPr>
      </w:pPr>
      <w:r w:rsidRPr="00841185">
        <w:t>24.</w:t>
      </w:r>
      <w:r w:rsidRPr="00841185">
        <w:tab/>
        <w:t>noterer sig, at agenturet udviklede og offentliggjorde en risikostyringspolitik i 2022; bemærker endvidere, at agenturets risikoprofil i 2022 bl.a. var kendetegnet ved det voksende mandat og det stigende antal opgaver, stigende efterspørgsel efter vellykket levering af centrale IKT-løsninger til behandling af personoplysninger, den fortsatte indsats for at afbøde de sikkerheds- og retshåndhævelsesmæssige konsekvenser af krigen i Ukraine og øgede tilsynsaktiviteter og tilhørende kontrolaktiviteter (herunder vedrørende databeskyttelse); roser agenturet for i 2022 at have vedtaget sin reviderede strategi for bekæmpelse af svig for perioden 2022-2024, der afspejler principperne, vurderingen af risikoen for svig, målene og foranstaltningerne vedrørende bekæmpelse af svig og en gennemgang af gennemførelsen af foranstaltningerne i strategien for bekæmpelse af svig for 2017-2020; bemærker, at Det Europæiske Kontor for Bekæmpelse af Svig afsluttede en undersøgelse (vedrørende ukorrekte opgørelser over tjenesterejseudgifter fra en af agenturets ansatte), og at rapporten herom blev udsendt i 2022; bemærker, at agenturets beslutningstagning i denne sag stadig befinder sig i den afsluttende fase; anmoder agenturet om at aflægge rapport til dechargemyndigheden om opfølgningen og den endelige afgørelse angående denne sag;</w:t>
      </w:r>
    </w:p>
    <w:p w14:paraId="18F658E1" w14:textId="77777777" w:rsidR="00AA0F42" w:rsidRPr="00841185" w:rsidRDefault="00AA0F42" w:rsidP="00AA0F42">
      <w:pPr>
        <w:widowControl/>
        <w:spacing w:after="240"/>
        <w:ind w:left="567" w:hanging="567"/>
        <w:rPr>
          <w:b/>
          <w:i/>
          <w:szCs w:val="24"/>
        </w:rPr>
      </w:pPr>
      <w:r w:rsidRPr="00841185">
        <w:rPr>
          <w:b/>
          <w:i/>
        </w:rPr>
        <w:t>Øvrige bemærkninger</w:t>
      </w:r>
    </w:p>
    <w:p w14:paraId="3DBC6AEF" w14:textId="77777777" w:rsidR="00AA0F42" w:rsidRPr="00841185" w:rsidRDefault="00AA0F42" w:rsidP="00AA0F42">
      <w:pPr>
        <w:pStyle w:val="Normal12Hanging"/>
        <w:widowControl/>
        <w:rPr>
          <w:szCs w:val="24"/>
        </w:rPr>
      </w:pPr>
      <w:r w:rsidRPr="00841185">
        <w:t>25.</w:t>
      </w:r>
      <w:r w:rsidRPr="00841185">
        <w:tab/>
        <w:t>bemærker, at agenturet er fortsat med at gennemføre forskellige foranstaltninger for at øge sin offentlige tilstedeværelse og onlinetilstedeværelse ved at lancere en podcastserie, konsolidere sit websted, organisere konferencer, lancere rapporter (såsom serien "Spotlight Report" og den moderniserede rapport "In Brief") og være til stede på de sociale medier (med over 1 100 opslag i 2022); bemærker i denne forbindelse et voksende antal medieomtaler i medier med stor gennemslagskraft og en betydelig stigning i agenturets parametre for sociale medier i 2022 i forhold til 2021;</w:t>
      </w:r>
    </w:p>
    <w:p w14:paraId="005F1956" w14:textId="77777777" w:rsidR="00AA0F42" w:rsidRPr="00841185" w:rsidRDefault="00AA0F42" w:rsidP="00AA0F42">
      <w:pPr>
        <w:pStyle w:val="NormalHanging12a"/>
      </w:pPr>
      <w:r w:rsidRPr="00841185">
        <w:t>26.</w:t>
      </w:r>
      <w:r w:rsidRPr="00841185">
        <w:tab/>
        <w:t>opfordrer agenturet til at træffe foranstaltninger til at sikre fuld overholdelse af Unionens gennemsigtighedsregler, de grundlæggende rettigheder, databeskyttelsesstandarderne, og reglerne om ansvarlighed, herunder når det samarbejder med andre agenturer; mener, at offentliggørelse af møder og interaktioner mellem agenturet og tredjeparter er nødvendig for at sikre øget gennemsigtighed; glæder sig i den forbindelse over udnævnelsen af agenturets ansvarlige for grundlæggende rettigheder;</w:t>
      </w:r>
    </w:p>
    <w:p w14:paraId="5B5BA8CB" w14:textId="77777777" w:rsidR="00AA0F42" w:rsidRPr="00841185" w:rsidRDefault="00AA0F42" w:rsidP="00841185">
      <w:pPr>
        <w:pStyle w:val="NormalHanging12a"/>
      </w:pPr>
      <w:r w:rsidRPr="00841185">
        <w:t>27.</w:t>
      </w:r>
      <w:r w:rsidRPr="00841185">
        <w:tab/>
        <w:t xml:space="preserve">bemærker, at Den Europæiske Tilsynsførende for Databeskyttelse (EDPS) den 16. september 2022 anmodede Den Europæiske Unions Domstol om at annullere to bestemmelser i den ændrede </w:t>
      </w:r>
      <w:proofErr w:type="spellStart"/>
      <w:r w:rsidRPr="00841185">
        <w:t>Europolforordning</w:t>
      </w:r>
      <w:proofErr w:type="spellEnd"/>
      <w:r w:rsidRPr="00841185">
        <w:t xml:space="preserve">, nemlig artikel 74a og 74b, idet den hævdede, at de i alvorlig grad undergraver retssikkerheden for enkeltpersoners personoplysninger og truer EDPS' uafhængighed; bemærker desuden Rettens kendelse i sag T-578/22 af 6. september 2023, hvorved EDPS' søgsmål mod den ændrede </w:t>
      </w:r>
      <w:proofErr w:type="spellStart"/>
      <w:r w:rsidRPr="00841185">
        <w:t>Europolforordning</w:t>
      </w:r>
      <w:proofErr w:type="spellEnd"/>
      <w:r w:rsidRPr="00841185">
        <w:t xml:space="preserve"> blev afvist, og at EDPS – for så vidt angår de anfægtede bestemmelsers eventuelle virkninger på EDPS' beslutning af 3. januar 2022 –ikke kan påberåbe sig dem til støtte for sit søgsmål; bemærker, at EDPS har appelleret kendelsen i sag T-578/22, og at EDPS har mandat til at føre tilsyn med lovligheden af agenturets behandling af personoplysninger i henhold til forordning (EU) 2016/794; glæder sig over agenturets indsats for at efterkomme EDPS' henstillinger, navnlig at der i den mellemliggende periode er blevet fastsat en kategori af registrerede for alle bidrag fra før den ændrede </w:t>
      </w:r>
      <w:proofErr w:type="spellStart"/>
      <w:r w:rsidRPr="00841185">
        <w:t>Europolforordnings</w:t>
      </w:r>
      <w:proofErr w:type="spellEnd"/>
      <w:r w:rsidRPr="00841185">
        <w:t xml:space="preserve"> ikrafttræden;</w:t>
      </w:r>
    </w:p>
    <w:p w14:paraId="6667688F" w14:textId="77777777" w:rsidR="00AA0F42" w:rsidRPr="00841185" w:rsidRDefault="00AA0F42" w:rsidP="00AA0F42">
      <w:pPr>
        <w:widowControl/>
        <w:tabs>
          <w:tab w:val="left" w:pos="-720"/>
        </w:tabs>
        <w:spacing w:after="240"/>
        <w:ind w:left="567" w:hanging="567"/>
      </w:pPr>
      <w:r w:rsidRPr="00841185">
        <w:t>28.</w:t>
      </w:r>
      <w:r w:rsidRPr="00841185">
        <w:tab/>
        <w:t xml:space="preserve">minder om konklusionerne i den revisionsrapport om agenturet af 16. december 2022, som EDPS gennemførte i form af specifikke kontroller af agenturets datasæt vedrørende tredjelandsstatsborgere; minder om, at EDPS fandt, at den generelle procedure for vurdering af oplysninger fra partnere om mindreårige (herunder mindreårige under 15 år) er tydelig og veludviklet; minder om, at EDPS fandt flere tilfælde, hvor den samme grad af mistanke (hvad angår klassificering) tilskrives oplysninger om mindreårige, der tilsyneladende har været indblandet i relativt små overtrædelser i en bredere kontekst af en organiseret kriminel gruppe, og at dette muligvis ikke når op på tærsklen for "streng proportionalitet"; understreger, at agenturet er forpligtet til at overholde princippet om "streng proportionalitet", der er fastsat i artikel 30, stk. 1, i </w:t>
      </w:r>
      <w:proofErr w:type="spellStart"/>
      <w:r w:rsidRPr="00841185">
        <w:t>Europolforordningen</w:t>
      </w:r>
      <w:proofErr w:type="spellEnd"/>
      <w:r w:rsidRPr="00841185">
        <w:t>;</w:t>
      </w:r>
    </w:p>
    <w:p w14:paraId="282324FF" w14:textId="77777777" w:rsidR="00AA0F42" w:rsidRPr="00841185" w:rsidRDefault="00AA0F42" w:rsidP="00AA0F42">
      <w:pPr>
        <w:pStyle w:val="NormalCenter12a"/>
      </w:pPr>
      <w:r w:rsidRPr="00841185">
        <w:t>°</w:t>
      </w:r>
    </w:p>
    <w:p w14:paraId="674F0574" w14:textId="77777777" w:rsidR="00AA0F42" w:rsidRPr="00841185" w:rsidRDefault="00AA0F42" w:rsidP="00AA0F42">
      <w:pPr>
        <w:pStyle w:val="NormalCenter12a"/>
      </w:pPr>
      <w:r w:rsidRPr="00841185">
        <w:t>°</w:t>
      </w:r>
      <w:r w:rsidRPr="00841185">
        <w:tab/>
        <w:t>°</w:t>
      </w:r>
    </w:p>
    <w:p w14:paraId="5D912388" w14:textId="7655076A" w:rsidR="00AA0F42" w:rsidRPr="00841185" w:rsidRDefault="00AA0F42" w:rsidP="00722AB7">
      <w:pPr>
        <w:ind w:left="567" w:hanging="567"/>
      </w:pPr>
      <w:r w:rsidRPr="00841185">
        <w:t>29.</w:t>
      </w:r>
      <w:r w:rsidRPr="00841185">
        <w:tab/>
        <w:t xml:space="preserve">henviser med hensyn til de øvrige bemærkninger, der ledsager dechargeafgørelsen, og som er af horisontal karakter, til sin beslutning af </w:t>
      </w:r>
      <w:r w:rsidR="00962DA2" w:rsidRPr="00841185">
        <w:t>11. april 2024</w:t>
      </w:r>
      <w:r w:rsidRPr="00841185">
        <w:rPr>
          <w:rStyle w:val="FootnoteReference"/>
        </w:rPr>
        <w:footnoteReference w:id="12"/>
      </w:r>
      <w:r w:rsidRPr="00841185">
        <w:t xml:space="preserve"> om agenturernes resultater, økonomiske forvaltning og kontrol.</w:t>
      </w:r>
    </w:p>
    <w:p w14:paraId="240D03EE" w14:textId="77777777" w:rsidR="00E365E1" w:rsidRPr="00841185" w:rsidRDefault="00E365E1" w:rsidP="00290EE0">
      <w:bookmarkStart w:id="15" w:name="TextBodyEnd"/>
      <w:bookmarkEnd w:id="15"/>
    </w:p>
    <w:sectPr w:rsidR="00E365E1" w:rsidRPr="00841185" w:rsidSect="003E004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8191C" w14:textId="77777777" w:rsidR="00290EE0" w:rsidRPr="003E0048" w:rsidRDefault="00290EE0">
      <w:r w:rsidRPr="003E0048">
        <w:separator/>
      </w:r>
    </w:p>
  </w:endnote>
  <w:endnote w:type="continuationSeparator" w:id="0">
    <w:p w14:paraId="4B97A32F" w14:textId="77777777" w:rsidR="00290EE0" w:rsidRPr="003E0048" w:rsidRDefault="00290EE0">
      <w:r w:rsidRPr="003E00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1C66D" w14:textId="77777777" w:rsidR="00AA0F42" w:rsidRPr="003E0048" w:rsidRDefault="00AA0F42" w:rsidP="00396D4F">
    <w:pPr>
      <w:pStyle w:val="EPFooter"/>
    </w:pPr>
    <w:r w:rsidRPr="003E0048">
      <w:t>PE</w:t>
    </w:r>
    <w:r w:rsidRPr="003E0048">
      <w:rPr>
        <w:rStyle w:val="HideTWBExt"/>
      </w:rPr>
      <w:t>&lt;</w:t>
    </w:r>
    <w:proofErr w:type="spellStart"/>
    <w:r w:rsidRPr="003E0048">
      <w:rPr>
        <w:rStyle w:val="HideTWBExt"/>
      </w:rPr>
      <w:t>NoPE</w:t>
    </w:r>
    <w:proofErr w:type="spellEnd"/>
    <w:r w:rsidRPr="003E0048">
      <w:rPr>
        <w:rStyle w:val="HideTWBExt"/>
      </w:rPr>
      <w:t>&gt;</w:t>
    </w:r>
    <w:r w:rsidRPr="003E0048">
      <w:t>753.540</w:t>
    </w:r>
    <w:r w:rsidRPr="003E0048">
      <w:rPr>
        <w:rStyle w:val="HideTWBExt"/>
      </w:rPr>
      <w:t>&lt;/</w:t>
    </w:r>
    <w:proofErr w:type="spellStart"/>
    <w:r w:rsidRPr="003E0048">
      <w:rPr>
        <w:rStyle w:val="HideTWBExt"/>
      </w:rPr>
      <w:t>NoPE</w:t>
    </w:r>
    <w:proofErr w:type="spellEnd"/>
    <w:r w:rsidRPr="003E0048">
      <w:rPr>
        <w:rStyle w:val="HideTWBExt"/>
      </w:rPr>
      <w:t>&gt;&lt;Version&gt;</w:t>
    </w:r>
    <w:r w:rsidRPr="003E0048">
      <w:t>v02-00</w:t>
    </w:r>
    <w:r w:rsidRPr="003E0048">
      <w:rPr>
        <w:rStyle w:val="HideTWBExt"/>
      </w:rPr>
      <w:t>&lt;/Version&gt;</w:t>
    </w:r>
    <w:r w:rsidRPr="003E0048">
      <w:tab/>
    </w:r>
    <w:r w:rsidRPr="003E0048">
      <w:fldChar w:fldCharType="begin"/>
    </w:r>
    <w:r w:rsidRPr="003E0048">
      <w:instrText xml:space="preserve"> PAGE  \* MERGEFORMAT </w:instrText>
    </w:r>
    <w:r w:rsidRPr="003E0048">
      <w:fldChar w:fldCharType="separate"/>
    </w:r>
    <w:r w:rsidRPr="003E0048">
      <w:rPr>
        <w:noProof/>
      </w:rPr>
      <w:t>4</w:t>
    </w:r>
    <w:r w:rsidRPr="003E0048">
      <w:fldChar w:fldCharType="end"/>
    </w:r>
    <w:r w:rsidRPr="003E0048">
      <w:t>/</w:t>
    </w:r>
    <w:fldSimple w:instr=" NUMPAGES  \* MERGEFORMAT ">
      <w:r w:rsidRPr="003E0048">
        <w:rPr>
          <w:noProof/>
        </w:rPr>
        <w:t>4</w:t>
      </w:r>
    </w:fldSimple>
    <w:r w:rsidRPr="003E0048">
      <w:tab/>
    </w:r>
    <w:r w:rsidRPr="003E0048">
      <w:rPr>
        <w:rStyle w:val="HideTWBExt"/>
      </w:rPr>
      <w:t>&lt;PathFdR&gt;</w:t>
    </w:r>
    <w:r w:rsidRPr="003E0048">
      <w:t>RR\1299015DA.docx</w:t>
    </w:r>
    <w:r w:rsidRPr="003E0048">
      <w:rPr>
        <w:rStyle w:val="HideTWBExt"/>
      </w:rPr>
      <w:t>&lt;/</w:t>
    </w:r>
    <w:proofErr w:type="spellStart"/>
    <w:r w:rsidRPr="003E0048">
      <w:rPr>
        <w:rStyle w:val="HideTWBExt"/>
      </w:rPr>
      <w:t>PathFdR</w:t>
    </w:r>
    <w:proofErr w:type="spellEnd"/>
    <w:r w:rsidRPr="003E0048">
      <w:rPr>
        <w:rStyle w:val="HideTWBExt"/>
      </w:rPr>
      <w:t>&gt;</w:t>
    </w:r>
  </w:p>
  <w:p w14:paraId="69463616" w14:textId="77777777" w:rsidR="00AA0F42" w:rsidRPr="003E0048" w:rsidRDefault="00AA0F42" w:rsidP="00396D4F">
    <w:pPr>
      <w:pStyle w:val="EPFooter2"/>
    </w:pPr>
    <w:r w:rsidRPr="003E0048">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B6FD7" w14:textId="77777777" w:rsidR="00AA0F42" w:rsidRPr="003E0048" w:rsidRDefault="00AA0F42" w:rsidP="00396D4F">
    <w:pPr>
      <w:pStyle w:val="EPFooter"/>
    </w:pPr>
    <w:r w:rsidRPr="003E0048">
      <w:rPr>
        <w:rStyle w:val="HideTWBExt"/>
      </w:rPr>
      <w:t>&lt;PathFdR&gt;</w:t>
    </w:r>
    <w:r w:rsidRPr="003E0048">
      <w:t>RR\1299015DA.docx</w:t>
    </w:r>
    <w:r w:rsidRPr="003E0048">
      <w:rPr>
        <w:rStyle w:val="HideTWBExt"/>
      </w:rPr>
      <w:t>&lt;/</w:t>
    </w:r>
    <w:proofErr w:type="spellStart"/>
    <w:r w:rsidRPr="003E0048">
      <w:rPr>
        <w:rStyle w:val="HideTWBExt"/>
      </w:rPr>
      <w:t>PathFdR</w:t>
    </w:r>
    <w:proofErr w:type="spellEnd"/>
    <w:r w:rsidRPr="003E0048">
      <w:rPr>
        <w:rStyle w:val="HideTWBExt"/>
      </w:rPr>
      <w:t>&gt;</w:t>
    </w:r>
    <w:r w:rsidRPr="003E0048">
      <w:tab/>
    </w:r>
    <w:r w:rsidRPr="003E0048">
      <w:tab/>
      <w:t>PE</w:t>
    </w:r>
    <w:r w:rsidRPr="003E0048">
      <w:rPr>
        <w:rStyle w:val="HideTWBExt"/>
      </w:rPr>
      <w:t>&lt;</w:t>
    </w:r>
    <w:proofErr w:type="spellStart"/>
    <w:r w:rsidRPr="003E0048">
      <w:rPr>
        <w:rStyle w:val="HideTWBExt"/>
      </w:rPr>
      <w:t>NoPE</w:t>
    </w:r>
    <w:proofErr w:type="spellEnd"/>
    <w:r w:rsidRPr="003E0048">
      <w:rPr>
        <w:rStyle w:val="HideTWBExt"/>
      </w:rPr>
      <w:t>&gt;</w:t>
    </w:r>
    <w:r w:rsidRPr="003E0048">
      <w:t>753.540</w:t>
    </w:r>
    <w:r w:rsidRPr="003E0048">
      <w:rPr>
        <w:rStyle w:val="HideTWBExt"/>
      </w:rPr>
      <w:t>&lt;/</w:t>
    </w:r>
    <w:proofErr w:type="spellStart"/>
    <w:r w:rsidRPr="003E0048">
      <w:rPr>
        <w:rStyle w:val="HideTWBExt"/>
      </w:rPr>
      <w:t>NoPE</w:t>
    </w:r>
    <w:proofErr w:type="spellEnd"/>
    <w:r w:rsidRPr="003E0048">
      <w:rPr>
        <w:rStyle w:val="HideTWBExt"/>
      </w:rPr>
      <w:t>&gt;&lt;Version&gt;</w:t>
    </w:r>
    <w:r w:rsidRPr="003E0048">
      <w:t>v02-00</w:t>
    </w:r>
    <w:r w:rsidRPr="003E0048">
      <w:rPr>
        <w:rStyle w:val="HideTWBExt"/>
      </w:rPr>
      <w:t>&lt;/Version&gt;</w:t>
    </w:r>
  </w:p>
  <w:p w14:paraId="6BEE617F" w14:textId="77777777" w:rsidR="00AA0F42" w:rsidRPr="003E0048" w:rsidRDefault="00AA0F42" w:rsidP="00396D4F">
    <w:pPr>
      <w:pStyle w:val="EPFooter2"/>
    </w:pPr>
    <w:r w:rsidRPr="003E0048">
      <w:t>DA</w:t>
    </w:r>
    <w:r w:rsidRPr="003E0048">
      <w:tab/>
    </w:r>
    <w:r w:rsidRPr="003E0048">
      <w:rPr>
        <w:b w:val="0"/>
        <w:i/>
        <w:color w:val="C0C0C0"/>
        <w:sz w:val="22"/>
      </w:rPr>
      <w:t>Forenet i mangfoldighed</w:t>
    </w:r>
    <w:r w:rsidRPr="003E0048">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EFCC7" w14:textId="77777777" w:rsidR="00064002" w:rsidRPr="003E004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525EB" w14:textId="77777777" w:rsidR="00064002" w:rsidRPr="003E004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1AE9A" w14:textId="77777777" w:rsidR="00064002" w:rsidRPr="003E00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435D2" w14:textId="77777777" w:rsidR="00290EE0" w:rsidRPr="003E0048" w:rsidRDefault="00290EE0">
      <w:r w:rsidRPr="003E0048">
        <w:separator/>
      </w:r>
    </w:p>
  </w:footnote>
  <w:footnote w:type="continuationSeparator" w:id="0">
    <w:p w14:paraId="579C2ADE" w14:textId="77777777" w:rsidR="00290EE0" w:rsidRPr="003E0048" w:rsidRDefault="00290EE0">
      <w:r w:rsidRPr="003E0048">
        <w:continuationSeparator/>
      </w:r>
    </w:p>
  </w:footnote>
  <w:footnote w:id="1">
    <w:p w14:paraId="112D7DF3" w14:textId="77777777" w:rsidR="00AA0F42" w:rsidRPr="00841185" w:rsidRDefault="00AA0F42" w:rsidP="003E0048">
      <w:pPr>
        <w:pStyle w:val="FootnoteText"/>
        <w:ind w:left="567" w:hanging="567"/>
        <w:rPr>
          <w:sz w:val="24"/>
        </w:rPr>
      </w:pPr>
      <w:r w:rsidRPr="003E0048">
        <w:rPr>
          <w:rStyle w:val="FootnoteReference"/>
          <w:sz w:val="24"/>
          <w:lang w:val="da-DK"/>
        </w:rPr>
        <w:footnoteRef/>
      </w:r>
      <w:r w:rsidR="003E0048" w:rsidRPr="00841185">
        <w:rPr>
          <w:sz w:val="24"/>
        </w:rPr>
        <w:t xml:space="preserve"> </w:t>
      </w:r>
      <w:r w:rsidR="003E0048" w:rsidRPr="00841185">
        <w:rPr>
          <w:sz w:val="24"/>
        </w:rPr>
        <w:tab/>
      </w:r>
      <w:r w:rsidRPr="00841185">
        <w:rPr>
          <w:sz w:val="24"/>
        </w:rPr>
        <w:t>EUT C, C/2023/594, 27.10.2023.</w:t>
      </w:r>
    </w:p>
  </w:footnote>
  <w:footnote w:id="2">
    <w:p w14:paraId="194597B1" w14:textId="77777777" w:rsidR="00AA0F42" w:rsidRPr="00841185" w:rsidRDefault="00AA0F42" w:rsidP="003E0048">
      <w:pPr>
        <w:pStyle w:val="FootnoteText"/>
        <w:ind w:left="567" w:hanging="567"/>
        <w:rPr>
          <w:sz w:val="24"/>
        </w:rPr>
      </w:pPr>
      <w:r w:rsidRPr="003E0048">
        <w:rPr>
          <w:rStyle w:val="FootnoteReference"/>
          <w:sz w:val="24"/>
          <w:lang w:val="da-DK"/>
        </w:rPr>
        <w:footnoteRef/>
      </w:r>
      <w:r w:rsidR="003E0048" w:rsidRPr="00841185">
        <w:rPr>
          <w:sz w:val="24"/>
        </w:rPr>
        <w:t xml:space="preserve"> </w:t>
      </w:r>
      <w:r w:rsidR="003E0048" w:rsidRPr="00841185">
        <w:rPr>
          <w:sz w:val="24"/>
        </w:rPr>
        <w:tab/>
      </w:r>
      <w:r w:rsidRPr="00841185">
        <w:rPr>
          <w:sz w:val="24"/>
        </w:rPr>
        <w:t>EUT C, C/2023/112, 12.10.2023.</w:t>
      </w:r>
    </w:p>
  </w:footnote>
  <w:footnote w:id="3">
    <w:p w14:paraId="1DD90E8F" w14:textId="77777777" w:rsidR="00AA0F42" w:rsidRPr="003E0048" w:rsidRDefault="00AA0F42" w:rsidP="003E0048">
      <w:pPr>
        <w:pStyle w:val="FootnoteText"/>
        <w:ind w:left="567" w:hanging="567"/>
        <w:rPr>
          <w:sz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L 193 af 30.7.2018, s. 1.</w:t>
      </w:r>
    </w:p>
  </w:footnote>
  <w:footnote w:id="4">
    <w:p w14:paraId="2B1052B3" w14:textId="77777777" w:rsidR="00AA0F42" w:rsidRPr="003E0048" w:rsidRDefault="00AA0F42" w:rsidP="003E0048">
      <w:pPr>
        <w:pStyle w:val="FootnoteText"/>
        <w:ind w:left="567" w:hanging="567"/>
        <w:rPr>
          <w:sz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L 135 af 24.5.2016, s. 53.</w:t>
      </w:r>
    </w:p>
  </w:footnote>
  <w:footnote w:id="5">
    <w:p w14:paraId="2C417332" w14:textId="77777777" w:rsidR="00AA0F42" w:rsidRPr="003E0048" w:rsidRDefault="00AA0F42" w:rsidP="003E0048">
      <w:pPr>
        <w:pStyle w:val="FootnoteText"/>
        <w:ind w:left="567" w:hanging="567"/>
        <w:rPr>
          <w:sz w:val="24"/>
          <w:szCs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L 122 af 10.5.2019, s. 1.</w:t>
      </w:r>
    </w:p>
  </w:footnote>
  <w:footnote w:id="6">
    <w:p w14:paraId="65ED1AA8" w14:textId="77777777" w:rsidR="00AA0F42" w:rsidRPr="003E0048" w:rsidRDefault="00AA0F42" w:rsidP="003E0048">
      <w:pPr>
        <w:pStyle w:val="FootnoteText"/>
        <w:ind w:left="567" w:hanging="567"/>
        <w:rPr>
          <w:sz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C, C/2023/594, 27.10.2023.</w:t>
      </w:r>
    </w:p>
  </w:footnote>
  <w:footnote w:id="7">
    <w:p w14:paraId="54248289" w14:textId="77777777" w:rsidR="00AA0F42" w:rsidRPr="00841185" w:rsidRDefault="00AA0F42" w:rsidP="003E0048">
      <w:pPr>
        <w:pStyle w:val="FootnoteText"/>
        <w:ind w:left="567" w:hanging="567"/>
        <w:rPr>
          <w:sz w:val="24"/>
        </w:rPr>
      </w:pPr>
      <w:r w:rsidRPr="003E0048">
        <w:rPr>
          <w:rStyle w:val="FootnoteReference"/>
          <w:sz w:val="24"/>
          <w:lang w:val="da-DK"/>
        </w:rPr>
        <w:footnoteRef/>
      </w:r>
      <w:r w:rsidR="003E0048" w:rsidRPr="00841185">
        <w:rPr>
          <w:sz w:val="24"/>
        </w:rPr>
        <w:t xml:space="preserve"> </w:t>
      </w:r>
      <w:r w:rsidR="003E0048" w:rsidRPr="00841185">
        <w:rPr>
          <w:sz w:val="24"/>
        </w:rPr>
        <w:tab/>
      </w:r>
      <w:r w:rsidRPr="00841185">
        <w:rPr>
          <w:sz w:val="24"/>
        </w:rPr>
        <w:t>EUT C, C/2023/112, 12.10.2023.</w:t>
      </w:r>
    </w:p>
  </w:footnote>
  <w:footnote w:id="8">
    <w:p w14:paraId="17B0A401" w14:textId="77777777" w:rsidR="00AA0F42" w:rsidRPr="00841185" w:rsidRDefault="00AA0F42" w:rsidP="003E0048">
      <w:pPr>
        <w:pStyle w:val="FootnoteText"/>
        <w:ind w:left="567" w:hanging="567"/>
        <w:rPr>
          <w:sz w:val="24"/>
        </w:rPr>
      </w:pPr>
      <w:r w:rsidRPr="003E0048">
        <w:rPr>
          <w:rStyle w:val="FootnoteReference"/>
          <w:sz w:val="24"/>
          <w:lang w:val="da-DK"/>
        </w:rPr>
        <w:footnoteRef/>
      </w:r>
      <w:r w:rsidR="003E0048" w:rsidRPr="00841185">
        <w:rPr>
          <w:sz w:val="24"/>
        </w:rPr>
        <w:t xml:space="preserve"> </w:t>
      </w:r>
      <w:r w:rsidR="003E0048" w:rsidRPr="00841185">
        <w:rPr>
          <w:sz w:val="24"/>
        </w:rPr>
        <w:tab/>
      </w:r>
      <w:r w:rsidRPr="00841185">
        <w:rPr>
          <w:sz w:val="24"/>
        </w:rPr>
        <w:t xml:space="preserve">EUT L 193 </w:t>
      </w:r>
      <w:proofErr w:type="spellStart"/>
      <w:r w:rsidRPr="00841185">
        <w:rPr>
          <w:sz w:val="24"/>
        </w:rPr>
        <w:t>af</w:t>
      </w:r>
      <w:proofErr w:type="spellEnd"/>
      <w:r w:rsidRPr="00841185">
        <w:rPr>
          <w:sz w:val="24"/>
        </w:rPr>
        <w:t xml:space="preserve"> 30.7.2018, s. 1.</w:t>
      </w:r>
    </w:p>
  </w:footnote>
  <w:footnote w:id="9">
    <w:p w14:paraId="6E9072DB" w14:textId="77777777" w:rsidR="00AA0F42" w:rsidRPr="003E0048" w:rsidRDefault="00AA0F42" w:rsidP="003E0048">
      <w:pPr>
        <w:pStyle w:val="FootnoteText"/>
        <w:ind w:left="567" w:hanging="567"/>
        <w:rPr>
          <w:sz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L 135 af 24.5.2016, s. 53.</w:t>
      </w:r>
    </w:p>
  </w:footnote>
  <w:footnote w:id="10">
    <w:p w14:paraId="36933A1D" w14:textId="77777777" w:rsidR="00AA0F42" w:rsidRPr="003E0048" w:rsidRDefault="00AA0F42" w:rsidP="003E0048">
      <w:pPr>
        <w:pStyle w:val="FootnoteText"/>
        <w:ind w:left="567" w:hanging="567"/>
        <w:rPr>
          <w:sz w:val="24"/>
          <w:szCs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L 122 af 10.5.2019, s. 1.</w:t>
      </w:r>
    </w:p>
  </w:footnote>
  <w:footnote w:id="11">
    <w:p w14:paraId="49293C6E" w14:textId="77777777" w:rsidR="00AA0F42" w:rsidRPr="003E0048" w:rsidRDefault="00AA0F42" w:rsidP="003E0048">
      <w:pPr>
        <w:pStyle w:val="FootnoteText"/>
        <w:ind w:left="567" w:hanging="567"/>
        <w:rPr>
          <w:sz w:val="24"/>
          <w:lang w:val="da-DK"/>
        </w:rPr>
      </w:pPr>
      <w:r w:rsidRPr="003E0048">
        <w:rPr>
          <w:rStyle w:val="FootnoteReference"/>
          <w:sz w:val="24"/>
          <w:lang w:val="da-DK"/>
        </w:rPr>
        <w:footnoteRef/>
      </w:r>
      <w:r w:rsidR="003E0048" w:rsidRPr="003E0048">
        <w:rPr>
          <w:sz w:val="24"/>
          <w:lang w:val="da-DK"/>
        </w:rPr>
        <w:t xml:space="preserve"> </w:t>
      </w:r>
      <w:r w:rsidR="003E0048" w:rsidRPr="003E0048">
        <w:rPr>
          <w:sz w:val="24"/>
          <w:lang w:val="da-DK"/>
        </w:rPr>
        <w:tab/>
      </w:r>
      <w:r w:rsidRPr="003E0048">
        <w:rPr>
          <w:sz w:val="24"/>
          <w:lang w:val="da-DK"/>
        </w:rPr>
        <w:t>EUT C 38 af 31.1.2023, s. 160.</w:t>
      </w:r>
    </w:p>
  </w:footnote>
  <w:footnote w:id="12">
    <w:p w14:paraId="4E003641" w14:textId="532E80E7" w:rsidR="00AA0F42" w:rsidRPr="003E0048" w:rsidRDefault="00AA0F42" w:rsidP="003E0048">
      <w:pPr>
        <w:pStyle w:val="FootnoteText"/>
        <w:ind w:left="567" w:hanging="567"/>
        <w:rPr>
          <w:sz w:val="24"/>
          <w:szCs w:val="24"/>
          <w:lang w:val="da-DK"/>
        </w:rPr>
      </w:pPr>
      <w:r w:rsidRPr="003E0048">
        <w:rPr>
          <w:rStyle w:val="FootnoteReference"/>
          <w:sz w:val="24"/>
          <w:szCs w:val="24"/>
          <w:lang w:val="da-DK"/>
        </w:rPr>
        <w:footnoteRef/>
      </w:r>
      <w:r w:rsidR="003E0048" w:rsidRPr="003E0048">
        <w:rPr>
          <w:sz w:val="24"/>
          <w:lang w:val="da-DK"/>
        </w:rPr>
        <w:t xml:space="preserve"> </w:t>
      </w:r>
      <w:r w:rsidR="003E0048" w:rsidRPr="003E0048">
        <w:rPr>
          <w:sz w:val="24"/>
          <w:lang w:val="da-DK"/>
        </w:rPr>
        <w:tab/>
      </w:r>
      <w:r w:rsidRPr="003E0048">
        <w:rPr>
          <w:sz w:val="24"/>
          <w:lang w:val="da-DK"/>
        </w:rPr>
        <w:t>Vedtagne tekster, P9_</w:t>
      </w:r>
      <w:proofErr w:type="gramStart"/>
      <w:r w:rsidRPr="003E0048">
        <w:rPr>
          <w:sz w:val="24"/>
          <w:lang w:val="da-DK"/>
        </w:rPr>
        <w:t>TA(</w:t>
      </w:r>
      <w:proofErr w:type="gramEnd"/>
      <w:r w:rsidRPr="003E0048">
        <w:rPr>
          <w:sz w:val="24"/>
          <w:lang w:val="da-DK"/>
        </w:rPr>
        <w:t>2024)</w:t>
      </w:r>
      <w:r w:rsidR="00515283">
        <w:rPr>
          <w:sz w:val="24"/>
          <w:lang w:val="da-DK"/>
        </w:rPr>
        <w:t>0280.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F71E9" w14:textId="77777777" w:rsidR="00064002" w:rsidRPr="003E00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B634B" w14:textId="77777777" w:rsidR="00064002" w:rsidRPr="003E00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269D0" w14:textId="77777777" w:rsidR="00064002" w:rsidRPr="003E00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DA"/>
    <w:docVar w:name="dvnumam" w:val="0"/>
    <w:docVar w:name="dvpe" w:val="753.540"/>
    <w:docVar w:name="dvrapporteur" w:val="Ordfører: "/>
    <w:docVar w:name="dvtitre" w:val="1. Europa-Parlamentets afgørelse af 11. april 2024 om decharge for gennemførelsen af budgettet for Den Europæiske Unions Agentur for Retshåndhævelsessamarbejde (Europol) for regnskabsåret 2022(2023/2169(DEC))"/>
  </w:docVars>
  <w:rsids>
    <w:rsidRoot w:val="00290EE0"/>
    <w:rsid w:val="00002272"/>
    <w:rsid w:val="00064002"/>
    <w:rsid w:val="000677B9"/>
    <w:rsid w:val="000831BA"/>
    <w:rsid w:val="000A42CC"/>
    <w:rsid w:val="000E7DD9"/>
    <w:rsid w:val="0010095E"/>
    <w:rsid w:val="00125B37"/>
    <w:rsid w:val="00187494"/>
    <w:rsid w:val="001F32AE"/>
    <w:rsid w:val="002767FF"/>
    <w:rsid w:val="00290EE0"/>
    <w:rsid w:val="002B18FE"/>
    <w:rsid w:val="002B5493"/>
    <w:rsid w:val="00343214"/>
    <w:rsid w:val="00361C00"/>
    <w:rsid w:val="00395FA1"/>
    <w:rsid w:val="003E0048"/>
    <w:rsid w:val="003E15D4"/>
    <w:rsid w:val="00411CCE"/>
    <w:rsid w:val="0041666E"/>
    <w:rsid w:val="00421060"/>
    <w:rsid w:val="00471C19"/>
    <w:rsid w:val="004867E3"/>
    <w:rsid w:val="00494A28"/>
    <w:rsid w:val="004C0004"/>
    <w:rsid w:val="004C5D52"/>
    <w:rsid w:val="0050519A"/>
    <w:rsid w:val="005072A1"/>
    <w:rsid w:val="00514517"/>
    <w:rsid w:val="00515283"/>
    <w:rsid w:val="00545827"/>
    <w:rsid w:val="00560270"/>
    <w:rsid w:val="005C2568"/>
    <w:rsid w:val="006037C0"/>
    <w:rsid w:val="006631B6"/>
    <w:rsid w:val="00680577"/>
    <w:rsid w:val="006F74FA"/>
    <w:rsid w:val="00722AB7"/>
    <w:rsid w:val="00731ADD"/>
    <w:rsid w:val="00734777"/>
    <w:rsid w:val="00747932"/>
    <w:rsid w:val="00751A4A"/>
    <w:rsid w:val="00756632"/>
    <w:rsid w:val="00762C74"/>
    <w:rsid w:val="00786EC0"/>
    <w:rsid w:val="007D1690"/>
    <w:rsid w:val="007E22AD"/>
    <w:rsid w:val="00817416"/>
    <w:rsid w:val="00841185"/>
    <w:rsid w:val="00842779"/>
    <w:rsid w:val="00865F67"/>
    <w:rsid w:val="00881A7B"/>
    <w:rsid w:val="008840E5"/>
    <w:rsid w:val="00887B3E"/>
    <w:rsid w:val="008C2AC6"/>
    <w:rsid w:val="00930C23"/>
    <w:rsid w:val="0093193B"/>
    <w:rsid w:val="009509D8"/>
    <w:rsid w:val="00950B64"/>
    <w:rsid w:val="00962DA2"/>
    <w:rsid w:val="00981893"/>
    <w:rsid w:val="00A1687D"/>
    <w:rsid w:val="00A43E52"/>
    <w:rsid w:val="00A4678D"/>
    <w:rsid w:val="00A778C7"/>
    <w:rsid w:val="00AA0F4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567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40697"/>
  <w15:chartTrackingRefBased/>
  <w15:docId w15:val="{6F55942E-27CA-43FE-9DDA-3BA0EA385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A0F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A0F42"/>
    <w:pPr>
      <w:spacing w:before="480" w:after="240"/>
    </w:pPr>
  </w:style>
  <w:style w:type="paragraph" w:customStyle="1" w:styleId="PageHeading">
    <w:name w:val="PageHeading"/>
    <w:basedOn w:val="Normal"/>
    <w:rsid w:val="00AA0F42"/>
    <w:pPr>
      <w:keepNext/>
      <w:spacing w:after="480"/>
      <w:jc w:val="center"/>
    </w:pPr>
    <w:rPr>
      <w:rFonts w:ascii="Arial" w:hAnsi="Arial" w:cs="Arial"/>
      <w:b/>
    </w:rPr>
  </w:style>
  <w:style w:type="paragraph" w:customStyle="1" w:styleId="NormalBold">
    <w:name w:val="NormalBold"/>
    <w:basedOn w:val="Normal"/>
    <w:rsid w:val="00AA0F42"/>
    <w:rPr>
      <w:b/>
    </w:rPr>
  </w:style>
  <w:style w:type="paragraph" w:customStyle="1" w:styleId="NormalHanging12a">
    <w:name w:val="NormalHanging12a"/>
    <w:basedOn w:val="Normal"/>
    <w:link w:val="NormalHanging12aChar"/>
    <w:rsid w:val="00AA0F42"/>
    <w:pPr>
      <w:spacing w:after="240"/>
      <w:ind w:left="567" w:hanging="567"/>
    </w:pPr>
  </w:style>
  <w:style w:type="paragraph" w:customStyle="1" w:styleId="NormalCenter12a">
    <w:name w:val="NormalCenter12a"/>
    <w:basedOn w:val="Normal"/>
    <w:rsid w:val="00AA0F42"/>
    <w:pPr>
      <w:spacing w:after="240"/>
      <w:jc w:val="center"/>
    </w:pPr>
  </w:style>
  <w:style w:type="paragraph" w:styleId="Header">
    <w:name w:val="header"/>
    <w:basedOn w:val="Normal"/>
    <w:link w:val="HeaderChar"/>
    <w:rsid w:val="00AA0F42"/>
    <w:pPr>
      <w:tabs>
        <w:tab w:val="center" w:pos="4513"/>
        <w:tab w:val="right" w:pos="9026"/>
      </w:tabs>
    </w:pPr>
  </w:style>
  <w:style w:type="character" w:customStyle="1" w:styleId="HeaderChar">
    <w:name w:val="Header Char"/>
    <w:basedOn w:val="DefaultParagraphFont"/>
    <w:link w:val="Header"/>
    <w:rsid w:val="00AA0F42"/>
    <w:rPr>
      <w:sz w:val="24"/>
      <w:lang w:val="da-DK"/>
    </w:rPr>
  </w:style>
  <w:style w:type="paragraph" w:customStyle="1" w:styleId="EPFooter">
    <w:name w:val="EPFooter"/>
    <w:basedOn w:val="Normal"/>
    <w:rsid w:val="00AA0F42"/>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AA0F42"/>
    <w:rPr>
      <w:sz w:val="24"/>
      <w:lang w:val="da-DK"/>
    </w:rPr>
  </w:style>
  <w:style w:type="paragraph" w:customStyle="1" w:styleId="Normal12Hanging">
    <w:name w:val="Normal12Hanging"/>
    <w:basedOn w:val="Normal"/>
    <w:rsid w:val="00AA0F42"/>
    <w:pPr>
      <w:spacing w:after="240"/>
      <w:ind w:left="567" w:hanging="567"/>
    </w:pPr>
  </w:style>
  <w:style w:type="paragraph" w:styleId="Footer">
    <w:name w:val="footer"/>
    <w:basedOn w:val="Normal"/>
    <w:link w:val="FooterChar"/>
    <w:rsid w:val="00722AB7"/>
    <w:pPr>
      <w:tabs>
        <w:tab w:val="center" w:pos="4513"/>
        <w:tab w:val="right" w:pos="9026"/>
      </w:tabs>
    </w:pPr>
  </w:style>
  <w:style w:type="character" w:customStyle="1" w:styleId="FooterChar">
    <w:name w:val="Footer Char"/>
    <w:basedOn w:val="DefaultParagraphFont"/>
    <w:link w:val="Footer"/>
    <w:rsid w:val="00722AB7"/>
    <w:rPr>
      <w:sz w:val="24"/>
      <w:lang w:val="da-DK"/>
    </w:rPr>
  </w:style>
  <w:style w:type="paragraph" w:styleId="BalloonText">
    <w:name w:val="Balloon Text"/>
    <w:basedOn w:val="Normal"/>
    <w:link w:val="BalloonTextChar"/>
    <w:rsid w:val="00962DA2"/>
    <w:rPr>
      <w:rFonts w:ascii="Segoe UI" w:hAnsi="Segoe UI" w:cs="Segoe UI"/>
      <w:sz w:val="18"/>
      <w:szCs w:val="18"/>
    </w:rPr>
  </w:style>
  <w:style w:type="character" w:customStyle="1" w:styleId="BalloonTextChar">
    <w:name w:val="Balloon Text Char"/>
    <w:basedOn w:val="DefaultParagraphFont"/>
    <w:link w:val="BalloonText"/>
    <w:rsid w:val="00962DA2"/>
    <w:rPr>
      <w:rFonts w:ascii="Segoe UI" w:hAnsi="Segoe UI" w:cs="Segoe UI"/>
      <w:sz w:val="18"/>
      <w:szCs w:val="18"/>
      <w:lang w:val="da-DK"/>
    </w:rPr>
  </w:style>
  <w:style w:type="character" w:styleId="CommentReference">
    <w:name w:val="annotation reference"/>
    <w:basedOn w:val="DefaultParagraphFont"/>
    <w:rsid w:val="00962DA2"/>
    <w:rPr>
      <w:sz w:val="16"/>
      <w:szCs w:val="16"/>
    </w:rPr>
  </w:style>
  <w:style w:type="paragraph" w:styleId="CommentText">
    <w:name w:val="annotation text"/>
    <w:basedOn w:val="Normal"/>
    <w:link w:val="CommentTextChar"/>
    <w:rsid w:val="00962DA2"/>
    <w:rPr>
      <w:sz w:val="20"/>
    </w:rPr>
  </w:style>
  <w:style w:type="character" w:customStyle="1" w:styleId="CommentTextChar">
    <w:name w:val="Comment Text Char"/>
    <w:basedOn w:val="DefaultParagraphFont"/>
    <w:link w:val="CommentText"/>
    <w:rsid w:val="00962DA2"/>
    <w:rPr>
      <w:lang w:val="da-DK"/>
    </w:rPr>
  </w:style>
  <w:style w:type="paragraph" w:styleId="CommentSubject">
    <w:name w:val="annotation subject"/>
    <w:basedOn w:val="CommentText"/>
    <w:next w:val="CommentText"/>
    <w:link w:val="CommentSubjectChar"/>
    <w:rsid w:val="00962DA2"/>
    <w:rPr>
      <w:b/>
      <w:bCs/>
    </w:rPr>
  </w:style>
  <w:style w:type="character" w:customStyle="1" w:styleId="CommentSubjectChar">
    <w:name w:val="Comment Subject Char"/>
    <w:basedOn w:val="CommentTextChar"/>
    <w:link w:val="CommentSubject"/>
    <w:rsid w:val="00962DA2"/>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E24D9-BCB3-4957-AFEC-833F1ACBE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4490</Words>
  <Characters>28464</Characters>
  <Application>Microsoft Office Word</Application>
  <DocSecurity>0</DocSecurity>
  <Lines>237</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2024-05-21T14:24:00Z</dcterms:created>
  <dcterms:modified xsi:type="dcterms:W3CDTF">2024-05-21T14:24:00Z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P9_TA(2024)0260_</vt:lpwstr>
  </property>
  <property fmtid="{D5CDD505-2E9C-101B-9397-08002B2CF9AE}" pid="4" name="&lt;Type&gt;">
    <vt:lpwstr>RR</vt:lpwstr>
  </property>
</Properties>
</file>