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5DA" w:rsidTr="0010095E">
        <w:trPr>
          <w:trHeight w:hRule="exact" w:val="1418"/>
        </w:trPr>
        <w:tc>
          <w:tcPr>
            <w:tcW w:w="6804" w:type="dxa"/>
            <w:shd w:val="clear" w:color="auto" w:fill="auto"/>
            <w:vAlign w:val="center"/>
          </w:tcPr>
          <w:p w:rsidR="00751A4A" w:rsidRPr="00CF75DA" w:rsidRDefault="00DD5B78" w:rsidP="0010095E">
            <w:pPr>
              <w:pStyle w:val="EPName"/>
            </w:pPr>
            <w:r w:rsidRPr="00CF75DA">
              <w:t>Ευρωπαϊκό Κοινοβούλιο</w:t>
            </w:r>
          </w:p>
          <w:p w:rsidR="00751A4A" w:rsidRPr="00CF75DA" w:rsidRDefault="00817416" w:rsidP="00756632">
            <w:pPr>
              <w:pStyle w:val="EPTerm"/>
              <w:rPr>
                <w:rStyle w:val="HideTWBExt"/>
                <w:noProof w:val="0"/>
                <w:vanish w:val="0"/>
                <w:color w:val="auto"/>
              </w:rPr>
            </w:pPr>
            <w:r w:rsidRPr="00CF75DA">
              <w:t>2019-2024</w:t>
            </w:r>
          </w:p>
        </w:tc>
        <w:tc>
          <w:tcPr>
            <w:tcW w:w="2268" w:type="dxa"/>
            <w:shd w:val="clear" w:color="auto" w:fill="auto"/>
          </w:tcPr>
          <w:p w:rsidR="00751A4A" w:rsidRPr="00CF75DA" w:rsidRDefault="00187494" w:rsidP="0010095E">
            <w:pPr>
              <w:pStyle w:val="EPLogo"/>
            </w:pPr>
            <w:r w:rsidRPr="00CF75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75DA" w:rsidRDefault="00D058B8" w:rsidP="004C5D52">
      <w:pPr>
        <w:pStyle w:val="LineTop"/>
      </w:pPr>
    </w:p>
    <w:p w:rsidR="00680577" w:rsidRPr="00CF75DA" w:rsidRDefault="00DD5B78" w:rsidP="00680577">
      <w:pPr>
        <w:pStyle w:val="EPBodyTA1"/>
      </w:pPr>
      <w:r w:rsidRPr="00CF75DA">
        <w:t>ΚΕΙΜΕΝΑ ΠΟΥ ΕΓΚΡΙΘΗΚΑΝ</w:t>
      </w:r>
    </w:p>
    <w:p w:rsidR="00D058B8" w:rsidRPr="00CF75DA" w:rsidRDefault="00D058B8" w:rsidP="00D058B8">
      <w:pPr>
        <w:pStyle w:val="LineBottom"/>
      </w:pPr>
    </w:p>
    <w:p w:rsidR="00DD5B78" w:rsidRPr="00CF75DA" w:rsidRDefault="00DD5B78" w:rsidP="00DD5B78">
      <w:pPr>
        <w:pStyle w:val="ATHeading1"/>
      </w:pPr>
      <w:bookmarkStart w:id="0" w:name="TANumber"/>
      <w:r w:rsidRPr="00CF75DA">
        <w:t>P9_TA(2024)</w:t>
      </w:r>
      <w:bookmarkEnd w:id="0"/>
      <w:r w:rsidR="00E969A1" w:rsidRPr="00CF75DA">
        <w:t>0</w:t>
      </w:r>
      <w:r w:rsidR="00E969A1">
        <w:t>260</w:t>
      </w:r>
    </w:p>
    <w:p w:rsidR="00DD5B78" w:rsidRPr="00CF75DA" w:rsidRDefault="00DD5B78" w:rsidP="00DD5B78">
      <w:pPr>
        <w:pStyle w:val="ATHeading2"/>
      </w:pPr>
      <w:bookmarkStart w:id="1" w:name="title"/>
      <w:r w:rsidRPr="00CF75DA">
        <w:t>Απαλλαγή 2022: Οργανισμός της Ευρωπαϊκής Ένωσης για τη Συνεργασία στον Τομέα της Επιβολής του Νόμου (Ευρωπόλ)</w:t>
      </w:r>
      <w:bookmarkEnd w:id="1"/>
    </w:p>
    <w:p w:rsidR="00DD5B78" w:rsidRPr="00CF75DA" w:rsidRDefault="00DD5B78" w:rsidP="00DD5B78">
      <w:pPr>
        <w:rPr>
          <w:i/>
          <w:vanish/>
        </w:rPr>
      </w:pPr>
      <w:r w:rsidRPr="00CF75DA">
        <w:rPr>
          <w:i/>
        </w:rPr>
        <w:fldChar w:fldCharType="begin"/>
      </w:r>
      <w:r w:rsidRPr="00CF75DA">
        <w:rPr>
          <w:i/>
        </w:rPr>
        <w:instrText xml:space="preserve"> TC"(</w:instrText>
      </w:r>
      <w:bookmarkStart w:id="2" w:name="DocNumber"/>
      <w:r w:rsidRPr="00CF75DA">
        <w:rPr>
          <w:i/>
        </w:rPr>
        <w:instrText>A9-0119/2024</w:instrText>
      </w:r>
      <w:bookmarkEnd w:id="2"/>
      <w:r w:rsidRPr="00CF75DA">
        <w:rPr>
          <w:i/>
        </w:rPr>
        <w:instrText xml:space="preserve"> - Εισηγητής: Petri Sarvamaa)"\l3 \n&gt; \* MERGEFORMAT </w:instrText>
      </w:r>
      <w:r w:rsidRPr="00CF75DA">
        <w:rPr>
          <w:i/>
        </w:rPr>
        <w:fldChar w:fldCharType="end"/>
      </w:r>
    </w:p>
    <w:p w:rsidR="00DD5B78" w:rsidRPr="00CF75DA" w:rsidRDefault="00DD5B78" w:rsidP="00DD5B78">
      <w:pPr>
        <w:rPr>
          <w:vanish/>
        </w:rPr>
      </w:pPr>
      <w:bookmarkStart w:id="3" w:name="Commission"/>
      <w:r w:rsidRPr="00CF75DA">
        <w:rPr>
          <w:vanish/>
        </w:rPr>
        <w:t>Επιτροπή Ελέγχου του Προϋπολογισμού</w:t>
      </w:r>
      <w:bookmarkEnd w:id="3"/>
    </w:p>
    <w:p w:rsidR="00DD5B78" w:rsidRPr="00CF75DA" w:rsidRDefault="00DD5B78" w:rsidP="00DD5B78">
      <w:pPr>
        <w:rPr>
          <w:vanish/>
        </w:rPr>
      </w:pPr>
      <w:bookmarkStart w:id="4" w:name="PE"/>
      <w:r w:rsidRPr="00CF75DA">
        <w:rPr>
          <w:vanish/>
        </w:rPr>
        <w:t>PE753.540</w:t>
      </w:r>
      <w:bookmarkEnd w:id="4"/>
    </w:p>
    <w:p w:rsidR="00DD5B78" w:rsidRPr="00CF75DA" w:rsidRDefault="00E07A19" w:rsidP="00DD5B78">
      <w:pPr>
        <w:pStyle w:val="ATHeading3"/>
      </w:pPr>
      <w:bookmarkStart w:id="5" w:name="Sujet"/>
      <w:r>
        <w:t xml:space="preserve">1. </w:t>
      </w:r>
      <w:r w:rsidR="00DD5B78" w:rsidRPr="00CF75DA">
        <w:t xml:space="preserve">Απόφαση του Ευρωπαϊκού Κοινοβουλίου </w:t>
      </w:r>
      <w:r w:rsidR="00A52A5A">
        <w:t xml:space="preserve">της 11ης Απριλίου 2024 </w:t>
      </w:r>
      <w:r w:rsidR="00DD5B78" w:rsidRPr="00CF75DA">
        <w:t>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(Ευρωπόλ) για το οικονομικό έτος 2022</w:t>
      </w:r>
      <w:bookmarkEnd w:id="5"/>
      <w:r w:rsidR="00DD5B78" w:rsidRPr="00CF75DA">
        <w:t xml:space="preserve"> </w:t>
      </w:r>
      <w:bookmarkStart w:id="6" w:name="References"/>
      <w:r w:rsidR="00DD5B78" w:rsidRPr="00CF75DA">
        <w:t>(2023/2169(DEC))</w:t>
      </w:r>
      <w:bookmarkEnd w:id="6"/>
    </w:p>
    <w:p w:rsidR="00C50ACD" w:rsidRPr="00CF75DA" w:rsidRDefault="00C50ACD" w:rsidP="00C50ACD">
      <w:pPr>
        <w:pStyle w:val="EPComma"/>
      </w:pPr>
      <w:bookmarkStart w:id="7" w:name="TextBodyBegin"/>
      <w:bookmarkEnd w:id="7"/>
      <w:r w:rsidRPr="00CF75DA">
        <w:rPr>
          <w:i/>
        </w:rPr>
        <w:t>Το Ευρωπαϊκό Κοινοβούλιο</w:t>
      </w:r>
      <w:r w:rsidRPr="00CF75DA">
        <w:t>,</w:t>
      </w:r>
    </w:p>
    <w:p w:rsidR="00C50ACD" w:rsidRPr="00CF75DA" w:rsidRDefault="00C50ACD" w:rsidP="00C50ACD">
      <w:pPr>
        <w:pStyle w:val="NormalHanging12a"/>
      </w:pPr>
      <w:r w:rsidRPr="00CF75DA">
        <w:t>–</w:t>
      </w:r>
      <w:r w:rsidRPr="00CF75DA">
        <w:tab/>
        <w:t>έχοντας υπόψη τους οριστικούς ετήσιους λογαριασμούς του Οργανισμού της Ευρωπαϊκής Ένωσης για τη Συνεργασία στον Τομέα της Επιβολής του Νόμου (Ευρωπόλ) για το οικονομικό έτος 2022,</w:t>
      </w:r>
    </w:p>
    <w:p w:rsidR="00C50ACD" w:rsidRPr="00CF75DA" w:rsidRDefault="00C50ACD" w:rsidP="00C50ACD">
      <w:pPr>
        <w:pStyle w:val="NormalHanging12a"/>
      </w:pPr>
      <w:r w:rsidRPr="00CF75DA">
        <w:t>–</w:t>
      </w:r>
      <w:r w:rsidRPr="00CF75DA">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CF75DA">
        <w:rPr>
          <w:rStyle w:val="FootnoteReference"/>
        </w:rPr>
        <w:footnoteReference w:id="1"/>
      </w:r>
      <w:r w:rsidRPr="00CF75DA">
        <w:t>,</w:t>
      </w:r>
    </w:p>
    <w:p w:rsidR="00C50ACD" w:rsidRPr="00CF75DA" w:rsidRDefault="00C50ACD" w:rsidP="00C50ACD">
      <w:pPr>
        <w:pStyle w:val="NormalHanging12a"/>
      </w:pPr>
      <w:r w:rsidRPr="00CF75DA">
        <w:t>–</w:t>
      </w:r>
      <w:r w:rsidRPr="00CF75DA">
        <w:tab/>
        <w:t>έχοντας υπόψη τη δήλωση αξιοπιστίας</w:t>
      </w:r>
      <w:r w:rsidRPr="00CF75DA">
        <w:rPr>
          <w:rStyle w:val="FootnoteReference"/>
        </w:rPr>
        <w:footnoteReference w:id="2"/>
      </w:r>
      <w:r w:rsidRPr="00CF75DA">
        <w:t xml:space="preserve"> σχετικά με την ακρίβεια των λογαριασμών και τη νομιμότητα και κανονικότητα των σχετικών πράξεων, την οποία </w:t>
      </w:r>
      <w:proofErr w:type="spellStart"/>
      <w:r w:rsidRPr="00CF75DA">
        <w:t>ενεχείρισε</w:t>
      </w:r>
      <w:proofErr w:type="spellEnd"/>
      <w:r w:rsidRPr="00CF75DA">
        <w:t xml:space="preserve"> το Ελεγκτικό Συνέδριο για το οικονομικό έτος 2022, σύμφωνα με το άρθρο 287 της Συνθήκης για τη λειτουργία της Ευρωπαϊκής Ένωσης,</w:t>
      </w:r>
    </w:p>
    <w:p w:rsidR="00C50ACD" w:rsidRPr="00CF75DA" w:rsidRDefault="00C50ACD" w:rsidP="00C50ACD">
      <w:pPr>
        <w:pStyle w:val="NormalHanging12a"/>
      </w:pPr>
      <w:r w:rsidRPr="00CF75DA">
        <w:t>–</w:t>
      </w:r>
      <w:r w:rsidRPr="00CF75DA">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A52A5A" w:rsidRPr="00CF75DA">
        <w:t>0</w:t>
      </w:r>
      <w:r w:rsidR="00A52A5A">
        <w:t>6180</w:t>
      </w:r>
      <w:r w:rsidRPr="00CF75DA">
        <w:t>/2024 – C9</w:t>
      </w:r>
      <w:r w:rsidRPr="00CF75DA">
        <w:noBreakHyphen/>
      </w:r>
      <w:r w:rsidR="00A52A5A" w:rsidRPr="00CF75DA">
        <w:t>0</w:t>
      </w:r>
      <w:r w:rsidR="00A52A5A">
        <w:t>107</w:t>
      </w:r>
      <w:r w:rsidRPr="00CF75DA">
        <w:t>/2024),</w:t>
      </w:r>
    </w:p>
    <w:p w:rsidR="00C50ACD" w:rsidRPr="00CF75DA" w:rsidRDefault="00C50ACD" w:rsidP="00C50ACD">
      <w:pPr>
        <w:pStyle w:val="NormalHanging12a"/>
      </w:pPr>
      <w:r w:rsidRPr="00CF75DA">
        <w:t>–</w:t>
      </w:r>
      <w:r w:rsidRPr="00CF75DA">
        <w:tab/>
        <w:t>έχοντας υπόψη το άρθρο 319 της Συνθήκης για τη λειτουργία της Ευρωπαϊκής Ένωσης,</w:t>
      </w:r>
    </w:p>
    <w:p w:rsidR="00C50ACD" w:rsidRPr="00CF75DA" w:rsidRDefault="00C50ACD" w:rsidP="00C50ACD">
      <w:pPr>
        <w:pStyle w:val="NormalHanging12a"/>
      </w:pPr>
      <w:r w:rsidRPr="00CF75DA">
        <w:t>–</w:t>
      </w:r>
      <w:r w:rsidRPr="00CF75DA">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CF75DA">
        <w:lastRenderedPageBreak/>
        <w:t>(ΕΕ) αριθ. 223/2014, (ΕΕ) αριθ. 283/2014 και της απόφασης αριθ. 541/2014/ΕΕ και για την κατάργηση του κανονισμού (ΕΕ, Ευρατόμ) αριθ. 966/2012</w:t>
      </w:r>
      <w:r w:rsidRPr="00CF75DA">
        <w:rPr>
          <w:rStyle w:val="FootnoteReference"/>
        </w:rPr>
        <w:footnoteReference w:id="3"/>
      </w:r>
      <w:r w:rsidRPr="00CF75DA">
        <w:t>, και ιδίως το άρθρο 70,</w:t>
      </w:r>
    </w:p>
    <w:p w:rsidR="00C50ACD" w:rsidRPr="00CF75DA" w:rsidRDefault="00C50ACD" w:rsidP="00C50ACD">
      <w:pPr>
        <w:pStyle w:val="NormalHanging12a"/>
      </w:pPr>
      <w:r w:rsidRPr="00CF75DA">
        <w:t>–</w:t>
      </w:r>
      <w:r w:rsidRPr="00CF75DA">
        <w:tab/>
        <w:t>έχοντας υπόψη τον κανονισμό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w:t>
      </w:r>
      <w:r w:rsidRPr="00CF75DA">
        <w:rPr>
          <w:rStyle w:val="FootnoteReference"/>
        </w:rPr>
        <w:footnoteReference w:id="4"/>
      </w:r>
      <w:r w:rsidRPr="00CF75DA">
        <w:t>, και ιδίως το άρθρο 60,</w:t>
      </w:r>
    </w:p>
    <w:p w:rsidR="00C50ACD" w:rsidRPr="00CF75DA" w:rsidRDefault="00C50ACD" w:rsidP="00C50ACD">
      <w:pPr>
        <w:pStyle w:val="NormalHanging12a"/>
      </w:pPr>
      <w:r w:rsidRPr="00CF75DA">
        <w:t>–</w:t>
      </w:r>
      <w:r w:rsidRPr="00CF75DA">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CF75DA">
        <w:rPr>
          <w:rStyle w:val="FootnoteReference"/>
        </w:rPr>
        <w:footnoteReference w:id="5"/>
      </w:r>
      <w:r w:rsidRPr="00CF75DA">
        <w:t>, και ιδίως το άρθρο 105,</w:t>
      </w:r>
    </w:p>
    <w:p w:rsidR="00C50ACD" w:rsidRPr="00CF75DA" w:rsidRDefault="00C50ACD" w:rsidP="00C50ACD">
      <w:pPr>
        <w:pStyle w:val="NormalHanging12a"/>
      </w:pPr>
      <w:r w:rsidRPr="00CF75DA">
        <w:t>–</w:t>
      </w:r>
      <w:r w:rsidRPr="00CF75DA">
        <w:tab/>
        <w:t>έχοντας υπόψη το άρθρο 100 και το παράρτημα V του Κανονισμού του,</w:t>
      </w:r>
    </w:p>
    <w:p w:rsidR="00C50ACD" w:rsidRPr="00CF75DA" w:rsidRDefault="00C50ACD" w:rsidP="00C50ACD">
      <w:pPr>
        <w:pStyle w:val="NormalHanging12a"/>
      </w:pPr>
      <w:r w:rsidRPr="00CF75DA">
        <w:t>–</w:t>
      </w:r>
      <w:r w:rsidRPr="00CF75DA">
        <w:tab/>
        <w:t>έχοντας υπόψη τη γνωμοδότηση της Επιτροπής Πολιτικών Ελευθεριών, Δικαιοσύνης και Εσωτερικών Υποθέσεων,</w:t>
      </w:r>
    </w:p>
    <w:p w:rsidR="00C50ACD" w:rsidRPr="00CF75DA" w:rsidRDefault="00C50ACD" w:rsidP="00C50ACD">
      <w:pPr>
        <w:pStyle w:val="NormalHanging12a"/>
      </w:pPr>
      <w:r w:rsidRPr="00CF75DA">
        <w:t>–</w:t>
      </w:r>
      <w:r w:rsidRPr="00CF75DA">
        <w:tab/>
        <w:t>έχοντας υπόψη την έκθεση της Επιτροπής Ελέγχου του Προϋπολογισμού (A9-0119/2024),</w:t>
      </w:r>
    </w:p>
    <w:p w:rsidR="00C50ACD" w:rsidRPr="00CF75DA" w:rsidRDefault="00E969A1" w:rsidP="00E969A1">
      <w:pPr>
        <w:pStyle w:val="NormalHanging12a"/>
        <w:ind w:hanging="570"/>
      </w:pPr>
      <w:r w:rsidRPr="00CF75DA">
        <w:t>1.</w:t>
      </w:r>
      <w:r w:rsidRPr="00CF75DA">
        <w:tab/>
      </w:r>
      <w:r w:rsidR="00C50ACD" w:rsidRPr="00CF75DA">
        <w:t>χορηγεί απαλλαγή στην εκτελεστική διευθύντρια του Οργανισμού της Ευρωπαϊκής Ένωσης για τη Συνεργασία στον Τομέα της Επιβολής του Νόμου (Ευρωπόλ), όσον αφορά την εκτέλεση του προϋπολογισμού του Οργανισμού για το οικονομικό έτος 2022·</w:t>
      </w:r>
    </w:p>
    <w:p w:rsidR="00C50ACD" w:rsidRPr="00CF75DA" w:rsidRDefault="00E969A1" w:rsidP="00E969A1">
      <w:pPr>
        <w:pStyle w:val="NormalHanging12a"/>
        <w:ind w:hanging="570"/>
      </w:pPr>
      <w:r w:rsidRPr="00CF75DA">
        <w:t>2.</w:t>
      </w:r>
      <w:r w:rsidRPr="00CF75DA">
        <w:tab/>
      </w:r>
      <w:r w:rsidR="00C50ACD" w:rsidRPr="00CF75DA">
        <w:t>εκθέτει τις παρατηρήσεις του στο ψήφισμα που ακολουθεί·</w:t>
      </w:r>
    </w:p>
    <w:p w:rsidR="00C50ACD" w:rsidRPr="00CF75DA" w:rsidRDefault="00E969A1" w:rsidP="00E969A1">
      <w:pPr>
        <w:pStyle w:val="NormalHanging12a"/>
        <w:ind w:hanging="570"/>
      </w:pPr>
      <w:r w:rsidRPr="00CF75DA">
        <w:t>3.</w:t>
      </w:r>
      <w:r w:rsidRPr="00CF75DA">
        <w:tab/>
      </w:r>
      <w:r w:rsidR="00C50ACD" w:rsidRPr="00CF75DA">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τη Συνεργασία στον Τομέα της Επιβολής του Νόμου (Ευρωπόλ), στο Συμβούλιο, στην Επιτροπή και στο Ελεγκτικό Συνέδριο, και να μεριμνήσει για τη δημοσίευσή τους στην </w:t>
      </w:r>
      <w:r w:rsidR="00C50ACD" w:rsidRPr="00CF75DA">
        <w:rPr>
          <w:i/>
          <w:iCs/>
        </w:rPr>
        <w:t>Επίσημη Εφημερίδα της Ευρωπαϊκής Ένωσης</w:t>
      </w:r>
      <w:r w:rsidR="00C50ACD" w:rsidRPr="00CF75DA">
        <w:t xml:space="preserve"> (σειρά L).</w:t>
      </w:r>
    </w:p>
    <w:p w:rsidR="00C50ACD" w:rsidRPr="00CF75DA" w:rsidRDefault="00C50ACD" w:rsidP="00C50ACD"/>
    <w:p w:rsidR="00C50ACD" w:rsidRPr="00CF75DA" w:rsidRDefault="00C50ACD" w:rsidP="00C50ACD">
      <w:pPr>
        <w:widowControl/>
        <w:rPr>
          <w:rFonts w:ascii="Arial" w:hAnsi="Arial" w:cs="Arial"/>
          <w:b/>
        </w:rPr>
        <w:sectPr w:rsidR="00C50ACD" w:rsidRPr="00CF75DA" w:rsidSect="00CF75D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50ACD" w:rsidRPr="00CF75DA" w:rsidRDefault="00E07A19" w:rsidP="00A52A5A">
      <w:pPr>
        <w:pStyle w:val="ATHeading3"/>
      </w:pPr>
      <w:r>
        <w:t xml:space="preserve">2. Απόφαση του Ευρωπαϊκού Κοινοβουλίου </w:t>
      </w:r>
      <w:r w:rsidR="00A52A5A">
        <w:t xml:space="preserve">της 11ης Απριλίου 2024 </w:t>
      </w:r>
      <w:r w:rsidR="00C50ACD" w:rsidRPr="00CF75DA">
        <w:t>σχετικά με το κλείσιμο των λογαριασμών του Οργανισμού της Ευρωπαϊκής Ένωσης για τη Συνεργασία στον Τομέα της Επιβολής του Νόμου (Ευρωπόλ) για το οικονομικό έτος 2022</w:t>
      </w:r>
      <w:r>
        <w:t xml:space="preserve"> </w:t>
      </w:r>
      <w:r w:rsidR="00C50ACD" w:rsidRPr="00CF75DA">
        <w:t>(2023/2169(DEC))</w:t>
      </w:r>
    </w:p>
    <w:p w:rsidR="00C50ACD" w:rsidRPr="00CF75DA" w:rsidRDefault="00C50ACD" w:rsidP="00C50ACD">
      <w:pPr>
        <w:pStyle w:val="EPComma"/>
      </w:pPr>
      <w:r w:rsidRPr="00CF75DA">
        <w:rPr>
          <w:i/>
        </w:rPr>
        <w:t>Το Ευρωπαϊκό Κοινοβούλιο</w:t>
      </w:r>
      <w:r w:rsidRPr="00CF75DA">
        <w:t>,</w:t>
      </w:r>
    </w:p>
    <w:p w:rsidR="00C50ACD" w:rsidRPr="00CF75DA" w:rsidRDefault="00C50ACD" w:rsidP="00C50ACD">
      <w:pPr>
        <w:pStyle w:val="NormalHanging12a"/>
      </w:pPr>
      <w:r w:rsidRPr="00CF75DA">
        <w:t>–</w:t>
      </w:r>
      <w:r w:rsidRPr="00CF75DA">
        <w:tab/>
        <w:t>έχοντας υπόψη τους οριστικούς ετήσιους λογαριασμούς του Οργανισμού της Ευρωπαϊκής Ένωσης για τη Συνεργασία στον Τομέα της Επιβολής του Νόμου (Ευρωπόλ) για το οικονομικό έτος 2022,</w:t>
      </w:r>
    </w:p>
    <w:p w:rsidR="00C50ACD" w:rsidRPr="00CF75DA" w:rsidRDefault="00C50ACD" w:rsidP="00C50ACD">
      <w:pPr>
        <w:pStyle w:val="NormalHanging12a"/>
      </w:pPr>
      <w:r w:rsidRPr="00CF75DA">
        <w:t>–</w:t>
      </w:r>
      <w:r w:rsidRPr="00CF75DA">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CF75DA">
        <w:rPr>
          <w:rStyle w:val="FootnoteReference"/>
        </w:rPr>
        <w:footnoteReference w:id="6"/>
      </w:r>
      <w:r w:rsidRPr="00CF75DA">
        <w:t>,</w:t>
      </w:r>
    </w:p>
    <w:p w:rsidR="00C50ACD" w:rsidRPr="00CF75DA" w:rsidRDefault="00C50ACD" w:rsidP="00C50ACD">
      <w:pPr>
        <w:pStyle w:val="NormalHanging12a"/>
      </w:pPr>
      <w:r w:rsidRPr="00CF75DA">
        <w:t>–</w:t>
      </w:r>
      <w:r w:rsidRPr="00CF75DA">
        <w:tab/>
        <w:t>έχοντας υπόψη τη δήλωση αξιοπιστίας</w:t>
      </w:r>
      <w:r w:rsidRPr="00CF75DA">
        <w:rPr>
          <w:rStyle w:val="FootnoteReference"/>
        </w:rPr>
        <w:footnoteReference w:id="7"/>
      </w:r>
      <w:r w:rsidRPr="00CF75DA">
        <w:t xml:space="preserve"> σχετικά με την ακρίβεια των λογαριασμών και τη νομιμότητα και κανονικότητα των σχετικών πράξεων, την οποία </w:t>
      </w:r>
      <w:proofErr w:type="spellStart"/>
      <w:r w:rsidRPr="00CF75DA">
        <w:t>ενεχείρισε</w:t>
      </w:r>
      <w:proofErr w:type="spellEnd"/>
      <w:r w:rsidRPr="00CF75DA">
        <w:t xml:space="preserve"> το Ελεγκτικό Συνέδριο για το οικονομικό έτος 2022, σύμφωνα με το άρθρο 287 της Συνθήκης για τη λειτουργία της Ευρωπαϊκής Ένωσης,</w:t>
      </w:r>
    </w:p>
    <w:p w:rsidR="00C50ACD" w:rsidRPr="00CF75DA" w:rsidRDefault="00C50ACD" w:rsidP="00C50ACD">
      <w:pPr>
        <w:pStyle w:val="NormalHanging12a"/>
      </w:pPr>
      <w:r w:rsidRPr="00CF75DA">
        <w:t>–</w:t>
      </w:r>
      <w:r w:rsidRPr="00CF75DA">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A52A5A" w:rsidRPr="00CF75DA">
        <w:t>0</w:t>
      </w:r>
      <w:r w:rsidR="00A52A5A">
        <w:t>6180</w:t>
      </w:r>
      <w:r w:rsidRPr="00CF75DA">
        <w:t>/2024 – C9</w:t>
      </w:r>
      <w:r w:rsidRPr="00CF75DA">
        <w:noBreakHyphen/>
      </w:r>
      <w:r w:rsidR="00A52A5A" w:rsidRPr="00CF75DA">
        <w:t>0</w:t>
      </w:r>
      <w:r w:rsidR="00A52A5A">
        <w:t>107</w:t>
      </w:r>
      <w:r w:rsidRPr="00CF75DA">
        <w:t>/2024),</w:t>
      </w:r>
    </w:p>
    <w:p w:rsidR="00C50ACD" w:rsidRPr="00CF75DA" w:rsidRDefault="00C50ACD" w:rsidP="00C50ACD">
      <w:pPr>
        <w:pStyle w:val="NormalHanging12a"/>
      </w:pPr>
      <w:r w:rsidRPr="00CF75DA">
        <w:t>–</w:t>
      </w:r>
      <w:r w:rsidRPr="00CF75DA">
        <w:tab/>
        <w:t>έχοντας υπόψη το άρθρο 319 της Συνθήκης για τη λειτουργία της Ευρωπαϊκής Ένωσης,</w:t>
      </w:r>
    </w:p>
    <w:p w:rsidR="00C50ACD" w:rsidRPr="00CF75DA" w:rsidRDefault="00C50ACD" w:rsidP="00C50ACD">
      <w:pPr>
        <w:pStyle w:val="NormalHanging12a"/>
      </w:pPr>
      <w:r w:rsidRPr="00CF75DA">
        <w:t>–</w:t>
      </w:r>
      <w:r w:rsidRPr="00CF75DA">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F75DA">
        <w:rPr>
          <w:rStyle w:val="FootnoteReference"/>
        </w:rPr>
        <w:footnoteReference w:id="8"/>
      </w:r>
      <w:r w:rsidRPr="00CF75DA">
        <w:t>, και ιδίως το άρθρο 70,</w:t>
      </w:r>
    </w:p>
    <w:p w:rsidR="00C50ACD" w:rsidRPr="00CF75DA" w:rsidRDefault="00C50ACD" w:rsidP="00C50ACD">
      <w:pPr>
        <w:pStyle w:val="NormalHanging12a"/>
      </w:pPr>
      <w:r w:rsidRPr="00CF75DA">
        <w:t>–</w:t>
      </w:r>
      <w:r w:rsidRPr="00CF75DA">
        <w:tab/>
        <w:t>έχοντας υπόψη τον κανονισμό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w:t>
      </w:r>
      <w:r w:rsidRPr="00CF75DA">
        <w:rPr>
          <w:rStyle w:val="FootnoteReference"/>
        </w:rPr>
        <w:footnoteReference w:id="9"/>
      </w:r>
      <w:r w:rsidRPr="00CF75DA">
        <w:t>, και ιδίως το άρθρο 60,</w:t>
      </w:r>
    </w:p>
    <w:p w:rsidR="00C50ACD" w:rsidRPr="00CF75DA" w:rsidRDefault="00C50ACD" w:rsidP="00C50ACD">
      <w:pPr>
        <w:pStyle w:val="NormalHanging12a"/>
      </w:pPr>
      <w:r w:rsidRPr="00CF75DA">
        <w:t>–</w:t>
      </w:r>
      <w:r w:rsidRPr="00CF75DA">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CF75DA">
        <w:rPr>
          <w:rStyle w:val="FootnoteReference"/>
        </w:rPr>
        <w:footnoteReference w:id="10"/>
      </w:r>
      <w:r w:rsidRPr="00CF75DA">
        <w:t>, και ιδίως το άρθρο 105,</w:t>
      </w:r>
    </w:p>
    <w:p w:rsidR="00C50ACD" w:rsidRPr="00CF75DA" w:rsidRDefault="00C50ACD" w:rsidP="00C50ACD">
      <w:pPr>
        <w:pStyle w:val="NormalHanging12a"/>
      </w:pPr>
      <w:r w:rsidRPr="00CF75DA">
        <w:t>–</w:t>
      </w:r>
      <w:r w:rsidRPr="00CF75DA">
        <w:tab/>
        <w:t>έχοντας υπόψη το άρθρο 100 και το παράρτημα V του Κανονισμού του,</w:t>
      </w:r>
    </w:p>
    <w:p w:rsidR="00C50ACD" w:rsidRPr="00CF75DA" w:rsidRDefault="00C50ACD" w:rsidP="00C50ACD">
      <w:pPr>
        <w:pStyle w:val="NormalHanging12a"/>
      </w:pPr>
      <w:r w:rsidRPr="00CF75DA">
        <w:t>–</w:t>
      </w:r>
      <w:r w:rsidRPr="00CF75DA">
        <w:tab/>
        <w:t>έχοντας υπόψη τη γνωμοδότηση της Επιτροπής Πολιτικών Ελευθεριών, Δικαιοσύνης και Εσωτερικών Υποθέσεων,</w:t>
      </w:r>
    </w:p>
    <w:p w:rsidR="00C50ACD" w:rsidRPr="00CF75DA" w:rsidRDefault="00C50ACD" w:rsidP="00C50ACD">
      <w:pPr>
        <w:pStyle w:val="NormalHanging12a"/>
      </w:pPr>
      <w:r w:rsidRPr="00CF75DA">
        <w:t>–</w:t>
      </w:r>
      <w:r w:rsidRPr="00CF75DA">
        <w:tab/>
        <w:t>έχοντας υπόψη την έκθεση της Επιτροπής Ελέγχου του Προϋπολογισμού (A9-0119/2024),</w:t>
      </w:r>
    </w:p>
    <w:p w:rsidR="00C50ACD" w:rsidRPr="00CF75DA" w:rsidRDefault="00E969A1" w:rsidP="00E969A1">
      <w:pPr>
        <w:pStyle w:val="NormalHanging12a"/>
        <w:ind w:hanging="570"/>
      </w:pPr>
      <w:r w:rsidRPr="00CF75DA">
        <w:t>1.</w:t>
      </w:r>
      <w:r w:rsidRPr="00CF75DA">
        <w:tab/>
      </w:r>
      <w:r w:rsidR="00C50ACD" w:rsidRPr="00CF75DA">
        <w:t>εγκρίνει το κλείσιμο των λογαριασμών του Οργανισμού της Ευρωπαϊκής Ένωσης για τη Συνεργασία στον Τομέα της Επιβολής του Νόμου (Ευρωπόλ) για το οικονομικό έτος 2022·</w:t>
      </w:r>
    </w:p>
    <w:p w:rsidR="00C50ACD" w:rsidRPr="00CF75DA" w:rsidRDefault="00E969A1" w:rsidP="00E969A1">
      <w:pPr>
        <w:pStyle w:val="NormalHanging12a"/>
        <w:ind w:hanging="570"/>
      </w:pPr>
      <w:r w:rsidRPr="00CF75DA">
        <w:t>2.</w:t>
      </w:r>
      <w:r w:rsidRPr="00CF75DA">
        <w:tab/>
      </w:r>
      <w:r w:rsidR="00C50ACD" w:rsidRPr="00CF75DA">
        <w:t xml:space="preserve">αναθέτει στην Πρόεδρό του να διαβιβάσει την παρούσα απόφαση στην εκτελεστική διευθύντρια του Οργανισμού της Ευρωπαϊκής Ένωσης για τη Συνεργασία στον Τομέα της Επιβολής του Νόμου (Ευρωπόλ), στο Συμβούλιο, στην Επιτροπή και στο Ελεγκτικό Συνέδριο, και να μεριμνήσει για τη δημοσίευσή της στην </w:t>
      </w:r>
      <w:r w:rsidR="00C50ACD" w:rsidRPr="00CF75DA">
        <w:rPr>
          <w:i/>
          <w:iCs/>
        </w:rPr>
        <w:t>Επίσημη Εφημερίδα της Ευρωπαϊκής Ένωσης</w:t>
      </w:r>
      <w:r w:rsidR="00C50ACD" w:rsidRPr="00CF75DA">
        <w:t xml:space="preserve"> (σειρά L).</w:t>
      </w:r>
    </w:p>
    <w:p w:rsidR="00C50ACD" w:rsidRPr="00CF75DA" w:rsidRDefault="00C50ACD" w:rsidP="00C50ACD"/>
    <w:p w:rsidR="00C50ACD" w:rsidRPr="00CF75DA" w:rsidRDefault="00C50ACD" w:rsidP="00C50ACD">
      <w:pPr>
        <w:widowControl/>
        <w:rPr>
          <w:rFonts w:ascii="Arial" w:hAnsi="Arial" w:cs="Arial"/>
          <w:b/>
        </w:rPr>
        <w:sectPr w:rsidR="00C50ACD" w:rsidRPr="00CF75DA" w:rsidSect="00CF75DA">
          <w:footnotePr>
            <w:numRestart w:val="eachPage"/>
          </w:footnotePr>
          <w:endnotePr>
            <w:numFmt w:val="decimal"/>
          </w:endnotePr>
          <w:pgSz w:w="11906" w:h="16838"/>
          <w:pgMar w:top="1134" w:right="1418" w:bottom="1418" w:left="1418" w:header="567" w:footer="567" w:gutter="0"/>
          <w:cols w:space="720"/>
          <w:docGrid w:linePitch="326"/>
        </w:sectPr>
      </w:pPr>
    </w:p>
    <w:p w:rsidR="00C50ACD" w:rsidRPr="00CF75DA" w:rsidRDefault="00E07A19" w:rsidP="00A52A5A">
      <w:pPr>
        <w:pStyle w:val="ATHeading3"/>
      </w:pPr>
      <w:r>
        <w:t xml:space="preserve">3. Ψήφισμα του Ευρωπαϊκού Κοινοβουλίου </w:t>
      </w:r>
      <w:r w:rsidR="00A52A5A">
        <w:t xml:space="preserve">της 11ης Απριλίου 2024 </w:t>
      </w:r>
      <w:r w:rsidR="00C50ACD" w:rsidRPr="00CF75DA">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(Ευρωπόλ) για το οικονομικό έτος 2022</w:t>
      </w:r>
      <w:r>
        <w:t xml:space="preserve"> </w:t>
      </w:r>
      <w:r w:rsidR="00C50ACD" w:rsidRPr="00CF75DA">
        <w:t>(2023/2169(DEC))</w:t>
      </w:r>
    </w:p>
    <w:p w:rsidR="00C50ACD" w:rsidRPr="00CF75DA" w:rsidRDefault="00C50ACD" w:rsidP="00C50ACD">
      <w:pPr>
        <w:pStyle w:val="EPComma"/>
      </w:pPr>
      <w:r w:rsidRPr="00CF75DA">
        <w:rPr>
          <w:i/>
        </w:rPr>
        <w:t>Το Ευρωπαϊκό Κοινοβούλιο</w:t>
      </w:r>
      <w:r w:rsidRPr="00CF75DA">
        <w:t>,</w:t>
      </w:r>
    </w:p>
    <w:p w:rsidR="00C50ACD" w:rsidRPr="00CF75DA" w:rsidRDefault="00C50ACD" w:rsidP="00C50ACD">
      <w:pPr>
        <w:pStyle w:val="NormalHanging12a"/>
      </w:pPr>
      <w:r w:rsidRPr="00CF75DA">
        <w:t>–</w:t>
      </w:r>
      <w:r w:rsidRPr="00CF75DA">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(Ευρωπόλ) για το οικονομικό έτος 2022,</w:t>
      </w:r>
    </w:p>
    <w:p w:rsidR="00C50ACD" w:rsidRPr="00CF75DA" w:rsidRDefault="00C50ACD" w:rsidP="00C50ACD">
      <w:pPr>
        <w:pStyle w:val="NormalHanging12a"/>
      </w:pPr>
      <w:r w:rsidRPr="00CF75DA">
        <w:t>–</w:t>
      </w:r>
      <w:r w:rsidRPr="00CF75DA">
        <w:tab/>
        <w:t>έχοντας υπόψη το άρθρο 100 και το παράρτημα V του Κανονισμού του,</w:t>
      </w:r>
    </w:p>
    <w:p w:rsidR="00C50ACD" w:rsidRPr="00CF75DA" w:rsidRDefault="00C50ACD" w:rsidP="00C50ACD">
      <w:pPr>
        <w:pStyle w:val="NormalHanging12a"/>
      </w:pPr>
      <w:r w:rsidRPr="00CF75DA">
        <w:t>–</w:t>
      </w:r>
      <w:r w:rsidRPr="00CF75DA">
        <w:tab/>
        <w:t>έχοντας υπόψη τη γνωμοδότηση της Επιτροπής Πολιτικών Ελευθεριών, Δικαιοσύνης και Εσωτερικών Υποθέσεων,</w:t>
      </w:r>
    </w:p>
    <w:p w:rsidR="00C50ACD" w:rsidRPr="00CF75DA" w:rsidRDefault="00C50ACD" w:rsidP="00C50ACD">
      <w:pPr>
        <w:pStyle w:val="NormalHanging12a"/>
      </w:pPr>
      <w:r w:rsidRPr="00CF75DA">
        <w:t>–</w:t>
      </w:r>
      <w:r w:rsidRPr="00CF75DA">
        <w:tab/>
        <w:t>έχοντας υπόψη την έκθεση της Επιτροπής Ελέγχου του Προϋπολογισμού (A9-0119/2024),</w:t>
      </w:r>
    </w:p>
    <w:p w:rsidR="00C50ACD" w:rsidRPr="00CF75DA" w:rsidRDefault="00C50ACD" w:rsidP="00C50ACD">
      <w:pPr>
        <w:pStyle w:val="Normal12Hanging"/>
        <w:widowControl/>
        <w:rPr>
          <w:szCs w:val="24"/>
        </w:rPr>
      </w:pPr>
      <w:r w:rsidRPr="00CF75DA">
        <w:t>Α.</w:t>
      </w:r>
      <w:r w:rsidRPr="00CF75DA">
        <w:tab/>
        <w:t>λαμβάνοντας υπόψη ότι, σύμφωνα με την κατάσταση εσόδων και δαπανών του</w:t>
      </w:r>
      <w:r w:rsidRPr="00CF75DA">
        <w:rPr>
          <w:szCs w:val="24"/>
          <w:vertAlign w:val="superscript"/>
        </w:rPr>
        <w:footnoteReference w:id="11"/>
      </w:r>
      <w:r w:rsidRPr="00CF75DA">
        <w:t>, ο οριστικός προϋπολογισμός του Οργανισμού της Ευρωπαϊκής Ένωσης για τη Συνεργασία στον Τομέα της Επιβολής του Νόμου (Ευρωπόλ) (</w:t>
      </w:r>
      <w:r w:rsidR="00D03379">
        <w:t>ο «</w:t>
      </w:r>
      <w:r w:rsidRPr="00CF75DA">
        <w:t>Οργανισμός</w:t>
      </w:r>
      <w:r w:rsidR="00D03379">
        <w:t>»</w:t>
      </w:r>
      <w:r w:rsidRPr="00CF75DA">
        <w:t>) για το οικονομικό έτος 2022 ανήλθε σε 197 759 722 EUR, ποσό που συνιστά αύξηση κατά 10,91 % σε σύγκριση με το 2021· λαμβάνοντας υπόψη ότι ο προϋπολογισμός του Οργανισμού προέρχεται κυρίως από τον προϋπολογισμό της Ένωσης·</w:t>
      </w:r>
    </w:p>
    <w:p w:rsidR="00C50ACD" w:rsidRPr="00CF75DA" w:rsidRDefault="00C50ACD" w:rsidP="00C50ACD">
      <w:pPr>
        <w:pStyle w:val="Normal12Hanging"/>
        <w:widowControl/>
        <w:rPr>
          <w:szCs w:val="24"/>
        </w:rPr>
      </w:pPr>
      <w:r w:rsidRPr="00CF75DA">
        <w:t>Β.</w:t>
      </w:r>
      <w:r w:rsidRPr="00CF75DA">
        <w:tab/>
        <w:t>λαμβάνοντας υπόψη ότι το Ελεγκτικό Συνέδριο, στην έκθεσή του για τους ετήσιους λογαριασμούς του Οργανισμού της Ευρωπαϊκής Ένωσης για τη Συνεργασία στον Τομέα της Επιβολής του Νόμου (Ευρωπόλ) για το οικονομικό έτος 2022 (</w:t>
      </w:r>
      <w:r w:rsidR="00D03379">
        <w:t>«</w:t>
      </w:r>
      <w:r w:rsidRPr="00CF75DA">
        <w:t>έκθεση του Ελεγκτικού Συνεδρίου</w:t>
      </w:r>
      <w:r w:rsidR="00D03379">
        <w:t>»</w:t>
      </w:r>
      <w:r w:rsidRPr="00CF75DA">
        <w:t>),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C50ACD" w:rsidRPr="00CF75DA" w:rsidRDefault="00C50ACD" w:rsidP="00C50ACD">
      <w:pPr>
        <w:pStyle w:val="Normal12Hanging"/>
        <w:widowControl/>
        <w:ind w:left="0" w:firstLine="0"/>
        <w:rPr>
          <w:b/>
          <w:i/>
          <w:szCs w:val="24"/>
        </w:rPr>
      </w:pPr>
      <w:r w:rsidRPr="00CF75DA">
        <w:rPr>
          <w:b/>
          <w:i/>
        </w:rPr>
        <w:t>Δημοσιονομική και χρηματοοικονομική διαχείριση</w:t>
      </w:r>
    </w:p>
    <w:p w:rsidR="00C50ACD" w:rsidRPr="00CF75DA" w:rsidRDefault="00E969A1" w:rsidP="00E969A1">
      <w:pPr>
        <w:pStyle w:val="NormalHanging12a"/>
        <w:ind w:hanging="570"/>
      </w:pPr>
      <w:r w:rsidRPr="00CF75DA">
        <w:t>1.</w:t>
      </w:r>
      <w:r w:rsidRPr="00CF75DA">
        <w:tab/>
      </w:r>
      <w:r w:rsidR="00C50ACD" w:rsidRPr="00CF75DA">
        <w:t>σημειώνει ότι οι προσπάθειες παρακολούθησης του προϋπολογισμού είχαν ως αποτέλεσμα ποσοστό εκτέλεσης του προϋπολογισμού 96,62 % το 2022 σε πιστώσεις ανάληψης υποχρεώσεων, το οποίο συνιστά μείωση κατά 2,10 % σε σύγκριση με το 2021· σημειώνει ότι το ποσοστό εκτέλεσης των πιστώσεων πληρωμών του τρέχοντος έτους ήταν 79,73 %, ποσοστό που συνιστά μείωση κατά 3,78 % σε σύγκριση με το 2021· επαινεί τις προσπάθειες του Οργανισμού να μειώσει περαιτέρω τις καθυστερήσεις πληρωμών του από 32,8 % το 2020 και 7,8 % το 2021 σε 7,2 % το 2022·</w:t>
      </w:r>
      <w:r w:rsidR="00C50ACD" w:rsidRPr="00CF75DA">
        <w:rPr>
          <w:b/>
          <w:i/>
        </w:rPr>
        <w:t xml:space="preserve"> </w:t>
      </w:r>
      <w:r w:rsidR="00C50ACD" w:rsidRPr="00CF75DA">
        <w:t>ωστόσο, σημειώνει με ανησυχία ότι η παρατήρηση του Ελεγκτικού Συνεδρίου, στην οποία τονίζεται πως ο Οργανισμός αντιμετωπίζει προκλήσεις όσον αφορά τις καθυστερήσεις πληρωμών, εξακολουθεί να ισχύει· συμμερίζεται την άποψη του Ελεγκτικού Συνεδρίου ότι η εν λόγω επαναλαμβανόμενη αδυναμία εκθέτει τον Οργανισμό σε κινδύνους δυσφήμησης·</w:t>
      </w:r>
    </w:p>
    <w:p w:rsidR="00C50ACD" w:rsidRPr="00CF75DA" w:rsidRDefault="00E969A1" w:rsidP="00E969A1">
      <w:pPr>
        <w:pStyle w:val="Normal12Hanging"/>
        <w:widowControl/>
        <w:ind w:hanging="570"/>
        <w:rPr>
          <w:szCs w:val="24"/>
        </w:rPr>
      </w:pPr>
      <w:r w:rsidRPr="00CF75DA">
        <w:rPr>
          <w:szCs w:val="24"/>
        </w:rPr>
        <w:t>2.</w:t>
      </w:r>
      <w:r w:rsidRPr="00CF75DA">
        <w:rPr>
          <w:szCs w:val="24"/>
        </w:rPr>
        <w:tab/>
      </w:r>
      <w:r w:rsidR="00C50ACD" w:rsidRPr="00CF75DA">
        <w:t xml:space="preserve">σημειώνει το χαμηλό ποσοστό εκτέλεσης (85 %) των κονδυλίων (C8) που μεταφέρθηκαν από το 2021 στο 2022, με αποτέλεσμα μη </w:t>
      </w:r>
      <w:proofErr w:type="spellStart"/>
      <w:r w:rsidR="00C50ACD" w:rsidRPr="00CF75DA">
        <w:t>χρησιμοποιηθέν</w:t>
      </w:r>
      <w:proofErr w:type="spellEnd"/>
      <w:r w:rsidR="00C50ACD" w:rsidRPr="00CF75DA">
        <w:t xml:space="preserve"> ποσό πιστώσεων ύψους 3,8 εκατομμυρίων EUR· σημειώνει με ανησυχία ότι οι πιστώσεις που σχετίζονται με τον τρέχοντα προϋπολογισμό που μεταφέρθηκαν από το 2022 στο 2023 βρίσκονται σε σχετικά υψηλό επίπεδο, της τάξης του 17 % ή 32,5 εκατομμυρίων EUR· παρατηρεί περαιτέρω μια ανοδική τάση κατά τα τελευταία έτη (2020 έως 2022) όσον αφορά το πλεόνασμα του Οργανισμού (αποτέλεσμα προϋπολογισμού) στο τέλος του οικονομικού έτους, ενώ για το 2022 το πλεόνασμα αυτό ανήλθε σε 10,3 εκατομμύρια EUR, υπερδιπλάσιο του ίδιου ποσού το 2021 (5,1 εκατομμύρια EUR)· σημειώνει ότι, σύμφωνα με την ετήσια έκθεση δραστηριοτήτων του Οργανισμού για το 2022 και την έκθεση του Οργανισμού για την παρακολούθηση της απόφαση απαλλαγής του Κοινοβουλίου σχετικά με την εκτέλεση του προϋπολογισμού του Οργανισμού για το 2021, ο Οργανισμός αξιολόγησε τα βαθύτερα αίτια των υψηλών επιπέδων πλεονάσματος στο τέλος του οικονομικού έτους και τις επιδόσεις της εκτέλεσης του προϋπολογισμού που μεταφέρθηκε στο επόμενο οικονομικό έτος· σημειώνει, στο πλαίσιο αυτό, ότι ο Οργανισμός εκπόνησε επίσης σχέδιο δράσης· ζητεί από τον Οργανισμό να κρατήσει ενήμερη την αρμόδια για την απαλλαγή αρχή όσον αφορά τη σχετική πρόοδο·</w:t>
      </w:r>
    </w:p>
    <w:p w:rsidR="00C50ACD" w:rsidRPr="00CF75DA" w:rsidRDefault="00E969A1" w:rsidP="00E969A1">
      <w:pPr>
        <w:pStyle w:val="Normal12Hanging"/>
        <w:widowControl/>
        <w:ind w:hanging="570"/>
        <w:rPr>
          <w:szCs w:val="24"/>
        </w:rPr>
      </w:pPr>
      <w:r w:rsidRPr="00CF75DA">
        <w:rPr>
          <w:szCs w:val="24"/>
        </w:rPr>
        <w:t>3.</w:t>
      </w:r>
      <w:r w:rsidRPr="00CF75DA">
        <w:rPr>
          <w:szCs w:val="24"/>
        </w:rPr>
        <w:tab/>
      </w:r>
      <w:r w:rsidR="00C50ACD" w:rsidRPr="00CF75DA">
        <w:t>σημειώνει ότι ο οριστικός προϋπολογισμός του Οργανισμού για το 2022 είναι αποτέλεσμα μιας πρώτης τροποποίησης ύψους 4,3 εκατομμυρίων EUR για τη συνεισφορά της Δανίας για το 2022, και μιας δεύτερης τροποποίησης ύψους 1,1 εκατομμυρίων EUR για συμφωνίες συνεισφοράς και συμφωνίες επιπέδου υπηρεσιών·</w:t>
      </w:r>
    </w:p>
    <w:p w:rsidR="00C50ACD" w:rsidRPr="00CF75DA" w:rsidRDefault="00C50ACD" w:rsidP="00C50ACD">
      <w:pPr>
        <w:pStyle w:val="Normal12Hanging"/>
        <w:widowControl/>
        <w:rPr>
          <w:b/>
          <w:i/>
          <w:szCs w:val="24"/>
        </w:rPr>
      </w:pPr>
      <w:r w:rsidRPr="00CF75DA">
        <w:rPr>
          <w:b/>
          <w:i/>
        </w:rPr>
        <w:t>Επιδόσεις</w:t>
      </w:r>
    </w:p>
    <w:p w:rsidR="00C50ACD" w:rsidRPr="00CF75DA" w:rsidRDefault="00E969A1" w:rsidP="00E969A1">
      <w:pPr>
        <w:pStyle w:val="Normal12Hanging"/>
        <w:widowControl/>
        <w:ind w:hanging="570"/>
        <w:rPr>
          <w:szCs w:val="24"/>
        </w:rPr>
      </w:pPr>
      <w:r w:rsidRPr="00CF75DA">
        <w:rPr>
          <w:szCs w:val="24"/>
        </w:rPr>
        <w:t>4.</w:t>
      </w:r>
      <w:r w:rsidRPr="00CF75DA">
        <w:rPr>
          <w:szCs w:val="24"/>
        </w:rPr>
        <w:tab/>
      </w:r>
      <w:r w:rsidR="00C50ACD" w:rsidRPr="00CF75DA">
        <w:t>σημειώνει με ικανοποίηση από την ενοποιημένη ετήσια έκθεση δραστηριοτήτων του Οργανισμού ότι ο Οργανισμός χρησιμοποίησε βασικούς δείκτες επιδόσεων και δείκτες προγράμματος εργασίας για την αξιολόγηση της προστιθέμενης αξίας που παρέχουν οι δραστηριότητές του και άλλα μέτρα για τη βελτίωση της δημοσιονομικής του διαχείρισης το 2022· σημειώνει ότι ο Οργανισμός παρακολούθησε 15 βασικούς δείκτες επιδόσεων και 56 δείκτες προγράμματος εργασίας· σημειώνει ότι 10 βασικοί δείκτες επιδόσεων και οι 40 δείκτες προγράμματος εργασίας πέτυχαν ή υπερέβησαν τους καθορισμένους στόχους· εκτιμά, στο πλαίσιο αυτό, την αύξηση, σε σύγκριση με τα προηγούμενα έτη, ορισμένων βασικών δεικτών επιδόσεων που σχετίζονται με τον αριθμό των επιχειρήσεων (2 758) και τον αριθμό των ημερών δράσης (394) που υποστηρίζονται από τον Οργανισμό, καθώς και τον αριθμό των αναζητήσεων που πραγματοποιήθηκαν στο EIS και το QUEST (13 εκατομμύρια) και τον αριθμό των διασυνοριακών ελέγχων εγκλημάτων στο EIS που αφορούν πρόσωπα (2 339)·</w:t>
      </w:r>
    </w:p>
    <w:p w:rsidR="00C50ACD" w:rsidRPr="00CF75DA" w:rsidRDefault="00E969A1" w:rsidP="00E969A1">
      <w:pPr>
        <w:pStyle w:val="Normal12Hanging"/>
        <w:widowControl/>
        <w:ind w:hanging="570"/>
        <w:rPr>
          <w:szCs w:val="24"/>
        </w:rPr>
      </w:pPr>
      <w:r w:rsidRPr="00CF75DA">
        <w:rPr>
          <w:szCs w:val="24"/>
        </w:rPr>
        <w:t>5.</w:t>
      </w:r>
      <w:r w:rsidRPr="00CF75DA">
        <w:rPr>
          <w:szCs w:val="24"/>
        </w:rPr>
        <w:tab/>
      </w:r>
      <w:r w:rsidR="00C50ACD" w:rsidRPr="00CF75DA">
        <w:t>συγχαίρει τον Οργανισμό για τα σημαντικά επιτεύγματά του όσον αφορά την επίτευξη των πέντε πολυετών στρατηγικών προτεραιοτήτων του που ορίζονται στη στρατηγική της Ευρωπόλ για το 2020+· σημειώνει ειδικότερα τη σύσταση της Μονάδας Διαχείρισης Πληροφοριών, την ανάπτυξη μιας στρατηγικής ΤΠΕ, η οποία αναμένεται να συμβάλει στην εφαρμογή της στρατηγικής του Οργανισμού στον τομέα της διαχείρισης πληροφοριών και στην εφαρμογή ενός νέου μοντέλου επιχειρηματικής αξίας για την παρακολούθηση της προόδου της υλοποίησης των ΤΠΕ· σημειώνει ότι το εργαστήριο καινοτομίας της Ευρωπόλ έγινε μέρος της Μονάδας Διαχείρισης Πληροφοριών σε μια δομή που αναμένεται να οδηγήσει σε στενότερη συνεργασία που απαιτείται για την εφαρμογή του αναθεωρημένου κανονισμού της Ευρωπόλ και δρομολόγησε το αποθετήριο εργαλείων της Ευρωπόλ για τη στήριξη της έρευνας και της καινοτομίας στα κράτη μέλη, την ενθάρρυνση της ανταλλαγής εμπειριών και την προώθηση συνεργειών· σημειώνει περαιτέρω τη δρομολόγηση της Μονάδας Ψηφιακής Υποστήριξης με στόχο την αποδοτική και αποτελεσματική απάντηση στις ερευνητικές ανάγκες των κρατών μελών και εντός του Οργανισμού, ιδίως όσον αφορά πολύπλοκες υποθέσεις που απαιτούν ψηφιακή εγκληματολογική υποστήριξη·</w:t>
      </w:r>
    </w:p>
    <w:p w:rsidR="00C50ACD" w:rsidRPr="00CF75DA" w:rsidRDefault="00E969A1" w:rsidP="00E969A1">
      <w:pPr>
        <w:pStyle w:val="Normal12Hanging"/>
        <w:widowControl/>
        <w:ind w:hanging="570"/>
      </w:pPr>
      <w:r w:rsidRPr="00CF75DA">
        <w:t>6.</w:t>
      </w:r>
      <w:r w:rsidRPr="00CF75DA">
        <w:tab/>
      </w:r>
      <w:r w:rsidR="00C50ACD" w:rsidRPr="00CF75DA">
        <w:t>επαινεί την άμεση ανταπόκριση του Οργανισμού και τη στήριξή του προς τα κράτη μέλη για την καταπολέμηση του εγκλήματος μετά την παράνομη και απρόκλητη ρωσική εισβολή στην Ουκρανία, για παράδειγμα με την αποστολή εμπειρογνωμόνων και προσκεκλημένων υπαλλήλων για τη στήριξη των τοπικών αρχών επιβολής του νόμου σε χώρες που συνορεύουν με την Ουκρανία ή με τη στήριξη οικονομικών ερευνών με στόχο περιουσιακά στοιχεία εγκληματικής προέλευσης που ανήκουν σε φυσικά και νομικά πρόσωπα στα οποία έχουν επιβληθεί κυρώσεις στο πλαίσιο του εν λόγω πολέμου· σημειώνει, επιπλέον, ότι το 2022 ο Οργανισμός εξέδωσε διάφορες αξιολογήσεις απειλών σχετικά με τις πιθανές επιπτώσεις του πολέμου, καθώς και κοινοποιήσεις έγκαιρης προειδοποίησης και συλλογής πληροφοριών σχετικά π.χ. με την εμπορία όπλων και την εμπορία ανθρώπων· ενθαρρύνει περαιτέρω τον Οργανισμό να καταβάλει κάθε δυνατή προσπάθεια για να στηρίξει τις δράσεις της Ένωσης και των κρατών μελών στον τομέα αυτό· σημειώνει ότι η παράνομη στρατιωτική εισβολή έχει προκαλέσει ανθρωπιστική κρίση και έχει ωθήσει μεγάλο αριθμό προσφύγων να εγκαταλείψουν την Ουκρανία προς την Ένωση, επιτρέποντας σε καιροσκοπικά εγκληματικά δίκτυα να εκμεταλλευτούν αυτή την κατάσταση για να προωθήσουν τις εγκληματικές τους δραστηριότητες· επισημαίνει περαιτέρω ότι η επέκταση των αρμοδιοτήτων του Οργανισμού όσον αφορά τη στήριξη προς τα κράτη μέλη και τη συνεργασία με ιδιωτικούς φορείς, τρίτες χώρες και διεθνείς οργανισμούς θα απαιτούσε τη θέσπιση πρόσθετων εσωτερικών και εξωτερικών μηχανισμών εποπτείας για τη διασφάλιση της τήρησης του δικαίου της Ένωσης και της προστασίας των θεμελιωδών δικαιωμάτων·</w:t>
      </w:r>
    </w:p>
    <w:p w:rsidR="00C50ACD" w:rsidRPr="00CF75DA" w:rsidRDefault="00E969A1" w:rsidP="00E969A1">
      <w:pPr>
        <w:pStyle w:val="Normal12Hanging"/>
        <w:widowControl/>
        <w:ind w:hanging="570"/>
      </w:pPr>
      <w:r w:rsidRPr="00CF75DA">
        <w:t>7.</w:t>
      </w:r>
      <w:r w:rsidRPr="00CF75DA">
        <w:tab/>
      </w:r>
      <w:r w:rsidR="00C50ACD" w:rsidRPr="00CF75DA">
        <w:t xml:space="preserve">σημειώνει ότι ο Οργανισμός συνέχισε να συνεργάζεται στενά με τον </w:t>
      </w:r>
      <w:proofErr w:type="spellStart"/>
      <w:r w:rsidR="00C50ACD" w:rsidRPr="00CF75DA">
        <w:t>eu</w:t>
      </w:r>
      <w:proofErr w:type="spellEnd"/>
      <w:r w:rsidR="00C50ACD" w:rsidRPr="00CF75DA">
        <w:t xml:space="preserve">-LISA για την καθιέρωση αυτοματοποιημένων ελέγχων για την αντιστοίχιση των δεδομένων των ταξιδιωτικών αιτήσεων που υποβάλλονται στο πλαίσιο του Ευρωπαϊκού Συστήματος Πληροφοριών και Αδειοδότησης </w:t>
      </w:r>
      <w:proofErr w:type="spellStart"/>
      <w:r w:rsidR="00C50ACD" w:rsidRPr="00CF75DA">
        <w:t>Ταξιδίου</w:t>
      </w:r>
      <w:proofErr w:type="spellEnd"/>
      <w:r w:rsidR="00C50ACD" w:rsidRPr="00CF75DA">
        <w:t xml:space="preserve"> (ETIAS) με τα δεδομένα της Ευρωπόλ· σημειώνει ότι η έναρξη λειτουργίας του ETIAS αναβλήθηκε για τον Νοέμβριο του 2023 με απόφαση του Συμβουλίου· εκφράζει την ικανοποίησή του για το γεγονός ότι ο Οργανισμός επέκτεινε τη συνεργασία του με την Ευρωπαϊκή Εισαγγελία το 2022, ενώ έως το τέλος του έτους στήριξε 21 σημαντικές επιχειρήσεις της Ευρωπαϊκής Εισαγγελίας στον τομέα της φοροδιαφυγής·</w:t>
      </w:r>
    </w:p>
    <w:p w:rsidR="00C50ACD" w:rsidRPr="00CF75DA" w:rsidRDefault="00C50ACD" w:rsidP="00C50ACD">
      <w:pPr>
        <w:pStyle w:val="NormalHanging12a"/>
        <w:widowControl/>
        <w:rPr>
          <w:b/>
          <w:i/>
          <w:szCs w:val="24"/>
        </w:rPr>
      </w:pPr>
      <w:r w:rsidRPr="00CF75DA">
        <w:rPr>
          <w:b/>
          <w:i/>
        </w:rPr>
        <w:t>Αποδοτικότητα και οφέλη</w:t>
      </w:r>
    </w:p>
    <w:p w:rsidR="00C50ACD" w:rsidRPr="00CF75DA" w:rsidRDefault="00E969A1" w:rsidP="00E969A1">
      <w:pPr>
        <w:pStyle w:val="Normal12Hanging"/>
        <w:widowControl/>
        <w:ind w:hanging="570"/>
      </w:pPr>
      <w:r w:rsidRPr="00CF75DA">
        <w:t>8.</w:t>
      </w:r>
      <w:r w:rsidRPr="00CF75DA">
        <w:tab/>
      </w:r>
      <w:r w:rsidR="00C50ACD" w:rsidRPr="00CF75DA">
        <w:t xml:space="preserve">σημειώνει με ικανοποίηση ότι ο Οργανισμός αναθεώρησε τη στρατηγική του για την Ευρωπόλ 2020+, προσαρμόζοντας τις στρατηγικές προτεραιότητές του στις τρέχουσες επιχειρησιακές ανάγκες των κρατών μελών και στις απειλές κατά της ασφάλειας που αντιμετωπίζουν, με στόχο τη βελτίωση των επιδόσεων του Οργανισμού· σημειώνει, στο πλαίσιο αυτό, μια νέα στρατηγική προτεραιότητα για την προσέγγιση των σχετικών εταίρων για τη διασυνοριακή συνεργασία και κοινή δράση, συμπεριλαμβανομένων των συνδεδεμένων χωρών Σένγκεν, της </w:t>
      </w:r>
      <w:proofErr w:type="spellStart"/>
      <w:r w:rsidR="00C50ACD" w:rsidRPr="00CF75DA">
        <w:t>Ιντερπόλ</w:t>
      </w:r>
      <w:proofErr w:type="spellEnd"/>
      <w:r w:rsidR="00C50ACD" w:rsidRPr="00CF75DA">
        <w:t xml:space="preserve"> και των οργανισμών της Ένωσης στον τομέα της δικαιοσύνης και των εσωτερικών υποθέσεων·</w:t>
      </w:r>
    </w:p>
    <w:p w:rsidR="00C50ACD" w:rsidRPr="00CF75DA" w:rsidRDefault="00E969A1" w:rsidP="00E969A1">
      <w:pPr>
        <w:pStyle w:val="NormalHanging12a"/>
        <w:widowControl/>
        <w:ind w:hanging="570"/>
        <w:rPr>
          <w:szCs w:val="24"/>
        </w:rPr>
      </w:pPr>
      <w:r w:rsidRPr="00CF75DA">
        <w:rPr>
          <w:szCs w:val="24"/>
        </w:rPr>
        <w:t>9.</w:t>
      </w:r>
      <w:r w:rsidRPr="00CF75DA">
        <w:rPr>
          <w:szCs w:val="24"/>
        </w:rPr>
        <w:tab/>
      </w:r>
      <w:r w:rsidR="00C50ACD" w:rsidRPr="00CF75DA">
        <w:t xml:space="preserve">σημειώνει με ικανοποίηση, με βάση τις απαντήσεις του Οργανισμού στις γραπτές ερωτήσεις του Κοινοβουλίου, την επέκταση των μέτρων και των πρακτικών του Οργανισμού που αποσκοπούν στη βελτίωση της αποδοτικότητας </w:t>
      </w:r>
      <w:r w:rsidR="00C64200">
        <w:t xml:space="preserve">και των οφελών </w:t>
      </w:r>
      <w:r w:rsidR="00C50ACD" w:rsidRPr="00CF75DA">
        <w:t>στους τομείς των βασικών επιχειρηματικών λύσεων ΤΠΕ (εσωτερική ανάθεση αντί της εξωτερικής ανάθεσης), της ψηφιοποίησης των υπηρεσιών ανθρώπινων πόρων (ηλεκτρονικές προσλήψεις, ηλεκτρονική κατάρτιση) και των εργαλείων για την παρακολούθηση της εκτέλεσης του προϋπολογισμού, του ποσοστού κενών θέσεων, των συμβατικών ανώτατων ορίων στις διαδικασίες σύναψης συμβάσεων και των περιβαλλοντικών δεικτών, μεταξύ άλλων· συγχαίρει τον Οργανισμό για τη θέση σε εφαρμογή του εργαλείου διαχείρισης δημόσιων συμβάσεων, καθώς και για τον επιμερισμό των διαδικασιών σύναψης συμβάσεων με άλλους οργανισμούς·</w:t>
      </w:r>
    </w:p>
    <w:p w:rsidR="00C50ACD" w:rsidRPr="00CF75DA" w:rsidRDefault="00E969A1" w:rsidP="00E969A1">
      <w:pPr>
        <w:pStyle w:val="NormalHanging12a"/>
        <w:widowControl/>
        <w:ind w:hanging="570"/>
        <w:rPr>
          <w:szCs w:val="24"/>
        </w:rPr>
      </w:pPr>
      <w:r w:rsidRPr="00CF75DA">
        <w:rPr>
          <w:szCs w:val="24"/>
        </w:rPr>
        <w:t>10.</w:t>
      </w:r>
      <w:r w:rsidRPr="00CF75DA">
        <w:rPr>
          <w:szCs w:val="24"/>
        </w:rPr>
        <w:tab/>
      </w:r>
      <w:r w:rsidR="00C50ACD" w:rsidRPr="00CF75DA">
        <w:t xml:space="preserve">σημειώνει ότι, μετά την αλλαγή στον σχεδιασμό του θεματολογίου διαλειτουργικότητας της Ένωσης, κατέστη αναγκαίος ο ανασχεδιασμός των εσωτερικών δραστηριοτήτων και πόρων του Οργανισμού, γεγονός που δημιούργησε την ανάγκη για πρόσθετο προσωπικό· σημειώνει, στο πλαίσιο αυτό, τη συμφωνία που επιτεύχθηκε, βάσει της οποίας 25 υπάλληλοι του Ευρωπαϊκού Οργανισμού </w:t>
      </w:r>
      <w:proofErr w:type="spellStart"/>
      <w:r w:rsidR="00C50ACD" w:rsidRPr="00CF75DA">
        <w:t>Συνοριοφυλακής</w:t>
      </w:r>
      <w:proofErr w:type="spellEnd"/>
      <w:r w:rsidR="00C50ACD" w:rsidRPr="00CF75DA">
        <w:t xml:space="preserve"> και Ακτοφυλακής θα βοηθούν τον Οργανισμό να εκπληρώνει τις υποχρεώσεις του στο πλαίσιο του θεματολογίου διαλειτουργικότητας από το 2024 και μετά· σημειώνει επίσης ότι οι πόροι του Οργανισμού που συνδέονται με τις διαδικασίες διαβούλευσης με τον Ευρωπαίο Επόπτη Προστασίας Δεδομένων (ΕΕΠΔ) υφίστανται πίεση, δεδομένου ότι 25 μέλη του προσωπικού του Οργανισμού έχουν αναλάβει δράσεις που σχετίζονται με τον ΕΕΠΔ· συγχαίρει τον Οργανισμό για τη στενή συνεργασία του με τον ΕΕΠΔ και για την ανταπόκριση στις συστάσεις του τελευταίου όσον αφορά τη χρήση διαφόρων συστημάτων όπως τα EPRIS, ADEP, SIS, PERCI και QUEST+· σημειώνει την παρατήρηση του Οργανισμού όσον αφορά την καθυστέρηση στην ανάπτυξη της PERCI (της ενωσιακής πλατφόρμας για το παράνομο περιεχόμενο στο διαδίκτυο) λόγω του αντικτύπου που είχαν οι γνωμοδοτήσεις του ΕΕΠΔ και οι επακόλουθες συστάσεις στις εξελίξεις καίριας επιχειρησιακής σημασίας· συγχαίρει τον Οργανισμό για τον διορισμό του υπευθύνου θεμελιωδών δικαιωμάτων, ο οποίος θα τον βοηθά να διασφαλίζει τον σεβασμό των θεμελιωδών δικαιωμάτων σε όλες τις δραστηριότητες και τα καθήκοντά του·</w:t>
      </w:r>
    </w:p>
    <w:p w:rsidR="00C50ACD" w:rsidRPr="00CF75DA" w:rsidRDefault="00E969A1" w:rsidP="00E969A1">
      <w:pPr>
        <w:pStyle w:val="NormalHanging12a"/>
        <w:ind w:hanging="570"/>
      </w:pPr>
      <w:r w:rsidRPr="00CF75DA">
        <w:t>11.</w:t>
      </w:r>
      <w:r w:rsidRPr="00CF75DA">
        <w:tab/>
      </w:r>
      <w:r w:rsidR="00C50ACD" w:rsidRPr="00CF75DA">
        <w:t>συγχαίρει τον Οργανισμό για την καταχώρισή του στο σύστημα οικολογικής διαχείρισης και οικολογικού ελέγχου (EMAS) το 2022· συγχαίρει επίσης τον Οργανισμό για τη χρήση κριτηρίων για τις πράσινες δημόσιες συμβάσεις, καθώς και για την ενσωμάτωση της περιβαλλοντικής πολιτικής και των περιβαλλοντικών στόχων του Οργανισμού στις διαδικασίες σύναψης συμβάσεων· σημειώνει ότι ο Οργανισμός δρομολόγησε ένα έργο μελέτης σκοπιμότητας για την ανάπτυξη του περιβαλλοντικού οράματος του Οργανισμού για το 2030, προκειμένου να καθοριστούν στόχοι μείωσης των εκπομπών αερίων θερμοκηπίου του Οργανισμού και τα μέτρα βελτίωσης που απαιτούνται για την επίτευξη των στόχων αυτών· καλεί τον Οργανισμό να γνωστοποιήσει στην αρμόδια για την απαλλαγή αρχή τα αποτελέσματα αυτής της μελέτης·</w:t>
      </w:r>
      <w:r w:rsidR="00C50ACD" w:rsidRPr="00CF75DA">
        <w:rPr>
          <w:b/>
          <w:i/>
        </w:rPr>
        <w:t xml:space="preserve"> </w:t>
      </w:r>
      <w:r w:rsidR="00C50ACD" w:rsidRPr="00CF75DA">
        <w:t>καλεί τον Οργανισμό να εξετάσει επίσης το ενδεχόμενο εφαρμογής ενδιάμεσων βιώσιμων και ενεργειακά αποδοτικών λύσεων τόσο στις υποδομές του όσο και στις εσωτερικές του διαδικασίες, όπως η αυξημένη χρήση ψηφιακών εργαλείων και η διαχείριση εγγράφων·</w:t>
      </w:r>
    </w:p>
    <w:p w:rsidR="00C50ACD" w:rsidRPr="00CF75DA" w:rsidRDefault="00C50ACD" w:rsidP="00C50ACD">
      <w:pPr>
        <w:pStyle w:val="Normal12Hanging"/>
        <w:widowControl/>
        <w:rPr>
          <w:b/>
          <w:i/>
          <w:szCs w:val="24"/>
        </w:rPr>
      </w:pPr>
      <w:r w:rsidRPr="00CF75DA">
        <w:rPr>
          <w:b/>
          <w:i/>
        </w:rPr>
        <w:t>Πολιτική προσωπικού</w:t>
      </w:r>
    </w:p>
    <w:p w:rsidR="00C50ACD" w:rsidRPr="00CF75DA" w:rsidRDefault="00E969A1" w:rsidP="00E969A1">
      <w:pPr>
        <w:pStyle w:val="Normal12Hanging"/>
        <w:widowControl/>
        <w:rPr>
          <w:szCs w:val="24"/>
        </w:rPr>
      </w:pPr>
      <w:r w:rsidRPr="00CF75DA">
        <w:rPr>
          <w:szCs w:val="24"/>
        </w:rPr>
        <w:t>12.</w:t>
      </w:r>
      <w:r w:rsidRPr="00CF75DA">
        <w:rPr>
          <w:szCs w:val="24"/>
        </w:rPr>
        <w:tab/>
      </w:r>
      <w:r w:rsidR="00C50ACD" w:rsidRPr="00CF75DA">
        <w:t>επισημαίνει ότι, στις 31 Δεκεμβρίου 2022, η εφαρμογή του οργανογράμματος ανερχόταν στο 99,41 %, δεδομένου ότι είχαν καλυφθεί 682 θέσεις έκτακτων υπαλλήλων (ΕΥ) από τις 686 που είχαν εγκριθεί στον προϋπολογισμό της Ένωσης (615 το 2021)· σημειώνει ότι, επιπλέον, 236 συμβασιούχοι υπάλληλοι (19 εκ των οποίων χρηματοδοτήθηκαν από επιχορηγήσεις/συμφωνίες) και 55 αποσπασμένοι εθνικοί εμπειρογνώμονες εργάστηκαν για τον Οργανισμό το 2022, με τις εγκεκριμένες θέσεις να είναι 235 και 71 αντίστοιχα· σημειώνει επίσης ότι, προκειμένου να διατηρηθεί στο ελάχιστο ο αριθμός των κενών θέσεων, 11 πρόσθετες θέσεις έκτακτων υπαλλήλων, που δεν περιλαμβάνονταν στον πίνακα προσωπικού για το 2022, διατέθηκαν για περιορισμένο χρονικό διάστημα· σημειώνει ότι ο Οργανισμός κάνει διάκριση μεταξύ πέντε κατηγοριών αποσπασμένων εθνικών εμπειρογνωμόνων, με τέσσερις από τις κατηγορίες να επιβαρύνουν με μηδενικό ή περιορισμένο κόστος τον προϋπολογισμό του Οργανισμού και να αντιπροσωπεύουν άλλα 152 άτομα, με αποτέλεσμα ο συνολικός αριθμός των αποσπασμένων εθνικών εμπειρογνωμόνων να ανέρχεται σε 207 το 2022· επιδοκιμάζει το χαμηλό ποσοστό κενών θέσεων του Οργανισμού (0,6 %) το 2022, πολύ χαμηλότερο από τον ετήσιο στόχο για μέγιστο ποσοστό κενών θέσεων 2 %· σημειώνει επίσης αύξηση του ποσοστού εναλλαγής προσωπικού του Οργανισμού από 6,9 % το 2021 σε 9,12 % το 2022·</w:t>
      </w:r>
    </w:p>
    <w:p w:rsidR="00C50ACD" w:rsidRPr="00CF75DA" w:rsidRDefault="00E969A1" w:rsidP="00E969A1">
      <w:pPr>
        <w:pStyle w:val="NormalHanging12a"/>
      </w:pPr>
      <w:r w:rsidRPr="00CF75DA">
        <w:t>13.</w:t>
      </w:r>
      <w:r w:rsidRPr="00CF75DA">
        <w:tab/>
      </w:r>
      <w:r w:rsidR="00C50ACD" w:rsidRPr="00CF75DA">
        <w:t>επισημαίνει ότι, μετά την εισβολή της Ρωσίας στην Ουκρανία το 2022, ο Οργανισμός έχει αναπτύξει επιχειρησιακές ομάδες αποτελούμενες από αποσπασμένους άνευ εξόδων εθνικούς εμπειρογνώμονες (ΑΕΕ) σε διάφορα κράτη μέλη, όπως η Λιθουανία, η Σλοβακία, η Ουγγαρία, η Ρουμανία ή η Βουλγαρία, καθώς και σε χώρες εταίρους όπως η Μολδαβία, αυξάνοντας έτσι τη χρήση αποσπασμένων άνευ εξόδων εθνικών εμπειρογνωμόνων· επισημαίνει ότι τα εισοδήματα των αποσπασμένων άνευ εξόδων εθνικών εμπειρογνωμόνων εξακολουθούν να εξαρτώνται από εθνικές αποφάσεις και ότι ορισμένα κράτη μέλη έχουν αποφασίσει να μη συνεχίσουν να καταβάλλουν μισθούς στην περίπτωση τέτοιων καταστάσεων, με αποτέλεσμα να εξαρτώνται από τα ποσά που τους καταβάλλονται ως ημερήσια αποζημίωση· υπενθυμίζει ότι, ενώ η ημερήσια αποζημίωση θα πρέπει να προσαρμόζεται με τον διορθωτικό συντελεστή και να αντισταθμίζει το υψηλότερο κόστος ζωής, με τα αριθμητικά στοιχεία για τον πληθωρισμό, κάθε 3 έτη, τα ποσοστά αυτά έχουν παραμείνει αμετάβλητα τα τελευταία 6 έτη· καλεί τον Οργανισμό να ξεκινήσει ουσιαστικό διάλογο με την Επιτροπή και τις αρμόδιες εθνικές αρχές, προκειμένου να διασφαλιστεί δίκαιη αποζημίωση για όλους τους εμπειρογνώμονες που απασχολούνται από τον Οργανισμό·</w:t>
      </w:r>
    </w:p>
    <w:p w:rsidR="00C50ACD" w:rsidRPr="00CF75DA" w:rsidRDefault="00E969A1" w:rsidP="00E969A1">
      <w:pPr>
        <w:pStyle w:val="NormalHanging12a"/>
      </w:pPr>
      <w:r w:rsidRPr="00CF75DA">
        <w:t>14.</w:t>
      </w:r>
      <w:r w:rsidRPr="00CF75DA">
        <w:tab/>
      </w:r>
      <w:r w:rsidR="00C50ACD" w:rsidRPr="00CF75DA">
        <w:t xml:space="preserve">σημειώνει με ανησυχία την κατανομή των φύλων που καταγράφηκε για το 2022 στις θέσεις των ανώτερων και μεσαίων διοικητικών στελεχών του Οργανισμού, με 82 % να είναι άνδρες (28 άνδρες και 6 γυναίκες), στο διοικητικό συμβούλιο (ΔΣ), με 75 % να είναι άνδρες (38 άνδρες και 13 γυναίκες) και στο συνολικό προσωπικό, με 65 % να είναι άνδρες (556 άνδρες και 295 γυναίκες)· αναγνωρίζει ότι το ποσοστό των γυναικών (35 %) που απασχολούνταν στον Οργανισμό το 2022 υπερβαίνει τον μέσο όρο του ποσοστού των γυναικών (21,6 % με βάση τα στατιστικά στοιχεία της </w:t>
      </w:r>
      <w:proofErr w:type="spellStart"/>
      <w:r w:rsidR="00C50ACD" w:rsidRPr="00CF75DA">
        <w:t>Eurostat</w:t>
      </w:r>
      <w:proofErr w:type="spellEnd"/>
      <w:r w:rsidR="00C50ACD" w:rsidRPr="00CF75DA">
        <w:t xml:space="preserve"> για το 2021) που απασχολούνταν σε υπηρεσίες επιβολής του νόμου στην Ένωση (αστυνομικοί, επαγγελματίες δικαστές και σωφρονιστικό προσωπικό)· υπενθυμίζει ότι είναι σημαντικό να διασφαλιστεί η ισόρροπη εκπροσώπηση των φύλων, και καλεί τον Οργανισμό να λαμβάνει υπόψη την πτυχή αυτή όσον αφορά τις μελλοντικές προσλήψεις προσωπικού και τους διορισμούς σε ανώτερες και μεσαίες διευθυντικές θέσεις· ζητεί από την Επιτροπή και τα κράτη μέλη να λαμβάνουν υπόψη τη σημασία που έχει η διασφάλιση της ισόρροπης εκπροσώπησης των φύλων όταν υποβάλλουν τις προτάσεις τους για τον διορισμό των μελών του ΔΣ του Οργανισμού·</w:t>
      </w:r>
    </w:p>
    <w:p w:rsidR="00C50ACD" w:rsidRPr="00CF75DA" w:rsidRDefault="00E969A1" w:rsidP="00E969A1">
      <w:pPr>
        <w:pStyle w:val="NormalHanging12a"/>
      </w:pPr>
      <w:r w:rsidRPr="00CF75DA">
        <w:t>15.</w:t>
      </w:r>
      <w:r w:rsidRPr="00CF75DA">
        <w:tab/>
      </w:r>
      <w:r w:rsidR="00C50ACD" w:rsidRPr="00CF75DA">
        <w:t>παρατηρεί ότι η ιατρική υπηρεσία του οργανισμού ανέφερε τρεις νέες περιπτώσεις επαγγελματικής εξουθένωσης το 2022· παρατηρεί επίσης ότι ο Οργανισμός έχει εφαρμόσει μέτρα για τη βελτίωση της ευημερίας του προσωπικού του, όπως, μεταξύ άλλων, συμβουλές για την υγεία και τον τρόπο ζωής στην εργασία, τη δυνατότητα μερικής απασχόλησης για ιατρικούς λόγους, παραπομπές σε ειδικούς ιατρούς και συμβουλές σε διευθυντικά στελέχη με αρμοδιότητες υποστήριξης του προσωπικού· σημειώνει ότι το διοικητικό συμβούλιο συμφώνησε να εφαρμόσει, κατ’ αναλογία προς τον Οργανισμό, την απόφαση C (2022) της Επιτροπής σχετικά με τον χρόνο εργασίας και την υβριδική εργασία, η οποία αντικαθιστά τις προηγούμενες εκτελεστικές διατάξεις σχετικά με τον χρόνο εργασίας και την τηλεργασία, με στόχο την παροχή ενός πλαισίου όπου η εργασία στο γραφείο και η τηλεργασία θεωρούνται ισοδύναμοι τρόποι εργασίας· καλεί τον Οργανισμό να συνεχίσει να διερευνά λύσεις για τη μείωση των περιπτώσεων επαγγελματικής εξουθένωσης και να ενημερώνει την αρμόδια για την απαλλαγή αρχή σχετικά με την πρόοδο που σημειώνεται·</w:t>
      </w:r>
    </w:p>
    <w:p w:rsidR="00C50ACD" w:rsidRPr="00CF75DA" w:rsidRDefault="00E969A1" w:rsidP="00E969A1">
      <w:pPr>
        <w:pStyle w:val="NormalHanging12a"/>
      </w:pPr>
      <w:r w:rsidRPr="00CF75DA">
        <w:t>16.</w:t>
      </w:r>
      <w:r w:rsidRPr="00CF75DA">
        <w:tab/>
      </w:r>
      <w:r w:rsidR="00C50ACD" w:rsidRPr="00CF75DA">
        <w:t>σημειώνει ότι, σύμφωνα με τις απαντήσεις του Οργανισμού στις γραπτές ερωτήσεις του Κοινοβουλίου, παρόλο που ο Οργανισμός δεν έχει εφαρμόσει τον «Χάρτη για τη διαφορετικότητα και τη συμπερίληψη», έχει θέσει σε εφαρμογή τη δική του στρατηγική για τη διαφορετικότητα και τη συμπερίληψη· σημειώνει, επιπλέον, ότι το 2022 ο Οργανισμός αναθεώρησε και ενέκρινε το εγχειρίδιο διαδικασιών για την εφαρμογή της απόφασης του ΔΣ σχετικά με την πολιτική για την προστασία της αξιοπρέπειας του ατόμου και την πρόληψη της ψυχολογικής και σεξουαλικής παρενόχλησης· σημειώνει ότι, κατά την περίοδο 2017-2022, ο Οργανισμός ζήτησε εξωτερικές νομικές συμβουλές σχετικά με δύο περιπτώσεις εικαζόμενης παρενόχλησης· σημειώνει ότι το 2022 δεν παραπέμφθηκαν ενώπιον δικαστηρίου υποθέσεις παρενόχλησης που αφορούν το προσωπικό του Οργανισμού·</w:t>
      </w:r>
      <w:r w:rsidR="00C50ACD" w:rsidRPr="00CF75DA">
        <w:rPr>
          <w:b/>
          <w:i/>
        </w:rPr>
        <w:t xml:space="preserve"> </w:t>
      </w:r>
      <w:r w:rsidR="00C50ACD" w:rsidRPr="00CF75DA">
        <w:t>τονίζει τη σημασία της ύπαρξης ισχυρών πλαισίων κατά της παρενόχλησης, ιδίως σε εξαιρετικά αγχωτικά και απαιτητικά εργασιακά περιβάλλοντα· καλεί τον Οργανισμό να θεσπίσει σχετικό πρόγραμμα κατάρτισης τόσο για τους νεοεισερχόμενους όσο και για το υφιστάμενο προσωπικό·</w:t>
      </w:r>
    </w:p>
    <w:p w:rsidR="00C50ACD" w:rsidRPr="00CF75DA" w:rsidRDefault="00C50ACD" w:rsidP="00C50ACD">
      <w:pPr>
        <w:pStyle w:val="NormalHanging12a"/>
        <w:widowControl/>
        <w:rPr>
          <w:b/>
          <w:i/>
          <w:szCs w:val="24"/>
        </w:rPr>
      </w:pPr>
      <w:r w:rsidRPr="00CF75DA">
        <w:rPr>
          <w:b/>
          <w:i/>
        </w:rPr>
        <w:t>Δημόσιες συμβάσεις</w:t>
      </w:r>
    </w:p>
    <w:p w:rsidR="00C50ACD" w:rsidRPr="00CF75DA" w:rsidRDefault="00E969A1" w:rsidP="00E969A1">
      <w:pPr>
        <w:pStyle w:val="NormalHanging12a"/>
        <w:widowControl/>
        <w:ind w:hanging="570"/>
        <w:rPr>
          <w:szCs w:val="24"/>
        </w:rPr>
      </w:pPr>
      <w:r w:rsidRPr="00CF75DA">
        <w:rPr>
          <w:szCs w:val="24"/>
        </w:rPr>
        <w:t>17.</w:t>
      </w:r>
      <w:r w:rsidRPr="00CF75DA">
        <w:rPr>
          <w:szCs w:val="24"/>
        </w:rPr>
        <w:tab/>
      </w:r>
      <w:r w:rsidR="00C50ACD" w:rsidRPr="00CF75DA">
        <w:t xml:space="preserve">σημειώνει την παρατήρηση του Ελεγκτικού Συνεδρίου ότι, το 2022, η Ευρωπόλ κατέβαλε επιχορήγηση ύψους 3,3 εκατομμυρίων EUR για τη χρηματοδότηση των δραστηριοτήτων εθνικής αστυνομικής δύναμης σε κράτος μέλος, εκ των οποίων 1,4 εκατομμύρια EUR ως επιστροφή για την αγορά πέντε σκαφών και πρόβλεψη 7 % για τα σχετικά γενικά έξοδα, συμπεριλαμβανομένου του ΦΠΑ· σημειώνει ότι, σύμφωνα με την εκτίμηση του Ελεγκτικού Συνεδρίου, στην περίπτωση της απόκτησης σκαφών για την εκπαίδευση της αστυνομίας, υπό το πρίσμα του άρθρου 186 παράγραφος 4 στοιχείο γ) του δημοσιονομικού κανονισμού, ο ΦΠΑ δεν θα έπρεπε να είχε επιστραφεί, διότι ο δικαιούχος είναι δημόσια αρχή που </w:t>
      </w:r>
      <w:proofErr w:type="spellStart"/>
      <w:r w:rsidR="00C50ACD" w:rsidRPr="00CF75DA">
        <w:t>διέπεται</w:t>
      </w:r>
      <w:proofErr w:type="spellEnd"/>
      <w:r w:rsidR="00C50ACD" w:rsidRPr="00CF75DA">
        <w:t xml:space="preserve"> από το δημόσιο δίκαιο και ασκεί δραστηριότητες δημόσιας αρχής και, ως εκ τούτου, το αντίστοιχο μέρος της επιχορήγησης, ύψους 0,2 εκατομμυρίων EUR, κρίθηκε παράτυπο· σημειώνει ότι, με βάση την απάντηση του Οργανισμού και έχοντας υπόψη το άρθρο 5 της απόφασης 2008/617/ΔΕΥ του Συμβουλίου για τη βελτίωση της συνεργασίας σε καταστάσεις κρίσεως μεταξύ των ειδικών μονάδων επέμβασης των κρατών μελών της Ευρωπαϊκής Ένωσης, το οποίο ορίζει ότι οι ειδικές μονάδες επέμβασης διασφαλίζουν την υλοποίηση κοινών εκπαιδευτικών ασκήσεων, και δεδομένου ότι η επιχορήγηση λειτουργίας αφορούσε τις δραστηριότητες των ειδικών μονάδων επέμβασης που συντονίζονται από ένα κράτος μέλος, ο Οργανισμός έκρινε ότι, σύμφωνα με το άρθρο 186 παράγραφος 4 στοιχείο γ) του δημοσιονομικού κανονισμού και τις αντίστοιχες ειδικές οδηγίες εφαρμογής της Επιτροπής σχετικά με τη διαχείριση των επιχορηγήσεων, ο ΦΠΑ είναι επιλέξιμο κόστος όταν δεν είναι ανακτήσιμος βάσει της ισχύουσας εθνικής νομοθεσίας και όταν αφορά δραστηριότητες κατάρτισης, ευαισθητοποίησης ή παρόμοιες δραστηριότητες στον τομέα της ασφάλειας, εκτός από την περίπτωση του ΦΠΑ που καταβάλλεται από τα κράτη μέλη όταν ενεργούν κυρίαρχα ως δημόσιες αρχές, ιδίως όταν οι ιδιωτικές εταιρείες δεν μπορούν να παρέχουν τις σχετικές υπηρεσίες· σημειώνει, τέλος, όσον αφορά τα επόμενα βήματα, τη δέσμευση του Οργανισμού να αξιολογήσει την επιλεξιμότητα του ΦΠΑ στις επιχειρησιακές επιχορηγήσεις με βάση τις παρατηρήσεις του Ελεγκτικού Συνεδρίου.</w:t>
      </w:r>
    </w:p>
    <w:p w:rsidR="00C50ACD" w:rsidRPr="00CF75DA" w:rsidRDefault="00C50ACD" w:rsidP="00C50ACD">
      <w:pPr>
        <w:pStyle w:val="NormalHanging12a"/>
        <w:widowControl/>
        <w:ind w:left="0" w:firstLine="0"/>
        <w:rPr>
          <w:b/>
          <w:i/>
          <w:szCs w:val="24"/>
        </w:rPr>
      </w:pPr>
      <w:r w:rsidRPr="00CF75DA">
        <w:rPr>
          <w:b/>
          <w:i/>
        </w:rPr>
        <w:t>Πρόληψη και διαχείριση συγκρούσεων συμφερόντων και διαφάνεια</w:t>
      </w:r>
    </w:p>
    <w:p w:rsidR="00C50ACD" w:rsidRPr="00CF75DA" w:rsidRDefault="00E969A1" w:rsidP="00E969A1">
      <w:pPr>
        <w:pStyle w:val="NormalHanging12a"/>
        <w:ind w:hanging="570"/>
      </w:pPr>
      <w:r w:rsidRPr="00CF75DA">
        <w:t>18.</w:t>
      </w:r>
      <w:r w:rsidRPr="00CF75DA">
        <w:tab/>
      </w:r>
      <w:r w:rsidR="00C50ACD" w:rsidRPr="00CF75DA">
        <w:t>σημειώνει τα υφιστάμενα μέτρα του Οργανισμού και τις συνεχιζόμενες προσπάθειές του για τη διασφάλιση της διαφάνειας, την πρόληψη και τη διαχείριση των συγκρούσεων συμφερόντων και την προστασία των μαρτύρων δημοσίου συμφέροντος· σημειώνει με ικανοποίηση ότι οι δηλώσεις συμφερόντων και τα βιογραφικά σημειώματα των μελών του ΔΣ και των ανώτερων διοικητικών στελεχών έχουν δημοσιευθεί στον ιστότοπο του Οργανισμού·</w:t>
      </w:r>
      <w:r w:rsidR="00C50ACD" w:rsidRPr="00CF75DA">
        <w:rPr>
          <w:b/>
          <w:i/>
        </w:rPr>
        <w:t xml:space="preserve"> </w:t>
      </w:r>
      <w:r w:rsidR="00C50ACD" w:rsidRPr="00CF75DA">
        <w:t>καλεί τον Οργανισμό να εξετάσει μέτρα για την πρόληψη επίσης των φαινομένων μεταπήδησης από τον δημόσιο στον ιδιωτικό τομέα·</w:t>
      </w:r>
    </w:p>
    <w:p w:rsidR="00C50ACD" w:rsidRPr="00CF75DA" w:rsidRDefault="00E969A1" w:rsidP="00E969A1">
      <w:pPr>
        <w:pStyle w:val="NormalHanging12a"/>
        <w:widowControl/>
        <w:ind w:hanging="570"/>
        <w:rPr>
          <w:szCs w:val="24"/>
        </w:rPr>
      </w:pPr>
      <w:r w:rsidRPr="00CF75DA">
        <w:rPr>
          <w:szCs w:val="24"/>
        </w:rPr>
        <w:t>19.</w:t>
      </w:r>
      <w:r w:rsidRPr="00CF75DA">
        <w:rPr>
          <w:szCs w:val="24"/>
        </w:rPr>
        <w:tab/>
      </w:r>
      <w:r w:rsidR="00C50ACD" w:rsidRPr="00CF75DA">
        <w:t>σημειώνει ότι, κατά τη διάρκεια του 2022, ο Οργανισμός χειρίστηκε έξι υποθέσεις που αφορούσαν καταστάσεις σύγκρουσης συμφερόντων, δύο εκ των οποίων αφορούσαν τον ρόλο του συμβούλου στη διαδικασία επιλογής, μία ανέκυψε κατά την πρόσληψη επιτυχόντος υποψηφίου πριν από την ανάληψη καθηκόντων στον Οργανισμό και δύο αφορούσαν μέλη του προσωπικού μετά την αποχώρησή τους από την υπηρεσία· σημειώνει περαιτέρω ότι ελήφθησαν επαρκή μέτρα σε σχέση με αυτές τις καταστάσεις, όπως άδειες απασχόλησης υπό όρους μετά την αποχώρηση από την υπηρεσία· σημειώνει ότι ο Οργανισμός χειρίστηκε μία υπόθεση καταγγελίας δυσλειτουργιών το 2022, η οποία έκλεισε χωρίς περαιτέρω ενέργειες όσον αφορά πιθανή παραβίαση επαγγελματικών υποχρεώσεων·</w:t>
      </w:r>
    </w:p>
    <w:p w:rsidR="00C50ACD" w:rsidRPr="00CF75DA" w:rsidRDefault="00E969A1" w:rsidP="00E969A1">
      <w:pPr>
        <w:pStyle w:val="NormalHanging12a"/>
        <w:ind w:hanging="570"/>
      </w:pPr>
      <w:r w:rsidRPr="00CF75DA">
        <w:t>20.</w:t>
      </w:r>
      <w:r w:rsidRPr="00CF75DA">
        <w:tab/>
      </w:r>
      <w:r w:rsidR="00C50ACD" w:rsidRPr="00CF75DA">
        <w:t xml:space="preserve">εκφράζει την ανησυχία του για τις αναφορές στα μέσα ενημέρωσης σχετικά με συγκρούσεις συμφερόντων μεταξύ μελών του προσωπικού του Οργανισμού· σημειώνει ότι, τον Δεκέμβριο του 2023, η Ευρωπαία </w:t>
      </w:r>
      <w:proofErr w:type="spellStart"/>
      <w:r w:rsidR="00C50ACD" w:rsidRPr="00CF75DA">
        <w:t>Διαμεσολαβήτρια</w:t>
      </w:r>
      <w:proofErr w:type="spellEnd"/>
      <w:r w:rsidR="00C50ACD" w:rsidRPr="00CF75DA">
        <w:t xml:space="preserve"> αποφάσισε να κινήσει έρευνα για να διερευνήσει τον τρόπο με τον οποίο ο Οργανισμός χειρίστηκε την ανάληψη από δύο πρώην μέλη του προσωπικού θέσεων που σχετίζονται με την καταπολέμηση της σεξουαλικής κακοποίησης παιδιών στο διαδίκτυο· σημειώνει ότι το πρώτο από αυτά τα μέλη του προσωπικού εντάχθηκε σε σημαντικό τεχνολογικό φορέα στις αρχές του 2022 και ότι το δεύτερο μέλος εντάχθηκε στον ίδιο φορέα ως μέλος του διοικητικού συμβουλίου στα τέλη του 2022· σημειώνει την απάντηση του Οργανισμού και ζητεί να διερευνηθούν διεξοδικά οι καταγγελίες και να αναφερθούν τα αποτελέσματα στην αρμόδια για την απαλλαγή αρχή·</w:t>
      </w:r>
    </w:p>
    <w:p w:rsidR="00C50ACD" w:rsidRPr="00CF75DA" w:rsidRDefault="00C50ACD" w:rsidP="00C50ACD">
      <w:pPr>
        <w:pStyle w:val="NormalHanging12a"/>
        <w:widowControl/>
        <w:rPr>
          <w:szCs w:val="24"/>
        </w:rPr>
      </w:pPr>
      <w:r w:rsidRPr="00CF75DA">
        <w:rPr>
          <w:b/>
          <w:i/>
        </w:rPr>
        <w:t>Εσωτερικοί έλεγχοι</w:t>
      </w:r>
    </w:p>
    <w:p w:rsidR="00C50ACD" w:rsidRPr="00CF75DA" w:rsidRDefault="00E969A1" w:rsidP="00E969A1">
      <w:pPr>
        <w:pStyle w:val="Normal12Hanging"/>
        <w:widowControl/>
        <w:rPr>
          <w:szCs w:val="24"/>
        </w:rPr>
      </w:pPr>
      <w:r w:rsidRPr="00CF75DA">
        <w:rPr>
          <w:szCs w:val="24"/>
        </w:rPr>
        <w:t>21.</w:t>
      </w:r>
      <w:r w:rsidRPr="00CF75DA">
        <w:rPr>
          <w:szCs w:val="24"/>
        </w:rPr>
        <w:tab/>
      </w:r>
      <w:r w:rsidR="00C50ACD" w:rsidRPr="00CF75DA">
        <w:t xml:space="preserve">σημειώνει την παρατήρηση του Ελεγκτικού Συνεδρίου ότι, κατά την περίοδο μεταξύ 2020 και 2022, ο Οργανισμός κατέβαλε ημερήσια αποζημίωση σε τρεις Ολλανδούς υπηκόους που απασχολούνταν ως αποσπασμένοι εθνικοί εμπειρογνώμονες· σημειώνει ότι, δεδομένου ότι ο Οργανισμός έχει την έδρα του στις Κάτω Χώρες, οι τρεις αποσπασμένοι εθνικοί εμπειρογνώμονες δεν δικαιούνταν τις αποζημιώσεις αυτές σύμφωνα με τον εσωτερικό κανονισμό του Οργανισμού· σημειώνει περαιτέρω ότι, παρόλο που τον Δεκέμβριο του 2022 ο Οργανισμός σταμάτησε την καταβολή της ημερήσιας αποζημίωσης στους τρεις αποσπασμένους εθνικούς εμπειρογνώμονες, ο Οργανισμός αποφάσισε να μην ζητήσει την επιστροφή των ποσών που καταβλήθηκαν </w:t>
      </w:r>
      <w:proofErr w:type="spellStart"/>
      <w:r w:rsidR="00C50ACD" w:rsidRPr="00CF75DA">
        <w:t>αχρεωστήτως</w:t>
      </w:r>
      <w:proofErr w:type="spellEnd"/>
      <w:r w:rsidR="00C50ACD" w:rsidRPr="00CF75DA">
        <w:t xml:space="preserve"> κατά τη διάρκεια της εν λόγω περιόδου· σημειώνει ότι το συνολικό ποσό που συνδέεται με τις εν λόγω πληρωμές ανήλθε σε 155 553 EUR, εκ των οποίων 90 605 EUR καταβλήθηκαν το 2022· εκφράζει την ανησυχία του για τις ελλείψεις που σχετίζονται με τους εκ των προτέρων ελέγχους του Οργανισμού για χρονικό διάστημα που εκτείνεται σε τρία χρόνια· σημειώνει ότι, σύμφωνα με την απάντηση του Οργανισμού στην παρατήρηση του Ελεγκτικού Συνεδρίου, ο Οργανισμός βελτίωσε τις εκ των προτέρων επαληθεύσεις προκειμένου να διασφαλιστεί η νομιμότητα των οικονομικών δικαιωμάτων του προσωπικού πριν από την πληρωμή·</w:t>
      </w:r>
    </w:p>
    <w:p w:rsidR="00C50ACD" w:rsidRPr="00CF75DA" w:rsidRDefault="00E969A1" w:rsidP="00E969A1">
      <w:pPr>
        <w:pStyle w:val="Normal12Hanging"/>
        <w:widowControl/>
        <w:rPr>
          <w:szCs w:val="24"/>
        </w:rPr>
      </w:pPr>
      <w:r w:rsidRPr="00CF75DA">
        <w:rPr>
          <w:szCs w:val="24"/>
        </w:rPr>
        <w:t>22.</w:t>
      </w:r>
      <w:r w:rsidRPr="00CF75DA">
        <w:rPr>
          <w:szCs w:val="24"/>
        </w:rPr>
        <w:tab/>
      </w:r>
      <w:r w:rsidR="00C50ACD" w:rsidRPr="00CF75DA">
        <w:t>συγχαίρει τον Οργανισμό για την πρόοδο που σημείωσε όσον αφορά την εφαρμογή των εκκρεμών συστάσεων ελέγχου, δεδομένου ότι το 89 % των εν λόγω κρίσιμων ή πολύ σημαντικών συστάσεων εφαρμόστηκε το 2022· σημειώνει ότι, στο τέλος του 2022, εξακολουθούσαν να εκκρεμούν επτά πολύ σημαντικές συστάσεις (προοριζόμενες για εφαρμογή και εφαρμοστέες) όσον αφορά τις εκθέσεις ελέγχων που διενεργήθηκαν το 2018, το 2019 και το 2021· σημειώνει ότι η Υπηρεσία Εσωτερικού Λογιστικού Ελέγχου της Επιτροπής εξέδωσε το στρατηγικό σχέδιο εσωτερικού ελέγχου για τον Οργανισμό για την περίοδο 2022-2024, το οποίο καλύπτει τρία θέματα, συμπεριλαμβανομένου ενός ελέγχου σχετικά με τον συντονισμό και τις πρακτικές ρυθμίσεις με τη ΓΔ HOME που διενεργήθηκε το 2022, τα αποτελέσματα του οποίου αναμένονται το 2023·</w:t>
      </w:r>
    </w:p>
    <w:p w:rsidR="00C50ACD" w:rsidRPr="00CF75DA" w:rsidRDefault="00E969A1" w:rsidP="00E969A1">
      <w:pPr>
        <w:pStyle w:val="Normal12Hanging"/>
        <w:widowControl/>
        <w:rPr>
          <w:szCs w:val="24"/>
        </w:rPr>
      </w:pPr>
      <w:r w:rsidRPr="00CF75DA">
        <w:rPr>
          <w:szCs w:val="24"/>
        </w:rPr>
        <w:t>23.</w:t>
      </w:r>
      <w:r w:rsidRPr="00CF75DA">
        <w:rPr>
          <w:szCs w:val="24"/>
        </w:rPr>
        <w:tab/>
      </w:r>
      <w:r w:rsidR="00C50ACD" w:rsidRPr="00CF75DA">
        <w:t xml:space="preserve">σημειώνει ότι η </w:t>
      </w:r>
      <w:proofErr w:type="spellStart"/>
      <w:r w:rsidR="00C50ACD" w:rsidRPr="00CF75DA">
        <w:t>αυτοαξιολόγηση</w:t>
      </w:r>
      <w:proofErr w:type="spellEnd"/>
      <w:r w:rsidR="00C50ACD" w:rsidRPr="00CF75DA">
        <w:t xml:space="preserve"> από τον Οργανισμό της αποτελεσματικότητας του συστήματος εσωτερικού ελέγχου, τόσο μέσω ποσοτικών μετρήσεων όσο και μέσω ποιοτικών πτυχών, συμπεριλαμβανομένου ενός συνόλου 76 δεικτών εσωτερικού ελέγχου, κατέληξε στο συμπέρασμα ότι, γενικά, όλες οι συνιστώσες του συστήματος εσωτερικού ελέγχου υπήρχαν και λειτουργούσαν με ολοκληρωμένο τρόπο και ότι δεν εντοπίστηκαν σημαντικές αδυναμίες στον εσωτερικό έλεγχο το 2022· σημειώνει ότι το κλιμάκιο εσωτερικού ελέγχου του Οργανισμού ολοκλήρωσε την επανεξέταση του πλαισίου εσωτερικού ελέγχου του Οργανισμού για το 2022, καταλήγοντας στο συμπέρασμα ότι ο Οργανισμός διέθετε ισχυρό σύστημα εσωτερικών ελέγχων·</w:t>
      </w:r>
    </w:p>
    <w:p w:rsidR="00C50ACD" w:rsidRPr="00CF75DA" w:rsidRDefault="00E969A1" w:rsidP="00E969A1">
      <w:pPr>
        <w:pStyle w:val="Normal12Hanging"/>
        <w:widowControl/>
        <w:rPr>
          <w:szCs w:val="24"/>
        </w:rPr>
      </w:pPr>
      <w:r w:rsidRPr="00CF75DA">
        <w:rPr>
          <w:szCs w:val="24"/>
        </w:rPr>
        <w:t>24.</w:t>
      </w:r>
      <w:r w:rsidRPr="00CF75DA">
        <w:rPr>
          <w:szCs w:val="24"/>
        </w:rPr>
        <w:tab/>
      </w:r>
      <w:r w:rsidR="00C50ACD" w:rsidRPr="00CF75DA">
        <w:t>σημειώνει ότι ο Οργανισμός ανέπτυξε και δημοσίευσε πολιτική διαχείρισης κινδύνων το 2022· παρατηρεί, επιπλέον, ότι το προφίλ εταιρικού κινδύνου του Οργανισμού το 2022 χαρακτηρίστηκε από την επέκταση της εντολής και των καθηκόντων, την αυξανόμενη ζήτηση για την επιτυχή παροχή βασικών λύσεων ΤΠΕ για την επεξεργασία δεδομένων προσωπικού χαρακτήρα, τη συνεχή αντίδραση για τον μετριασμό των επιπτώσεων του πολέμου στην Ουκρανία στην ασφάλεια και την επιβολή του νόμου και την αύξηση των εποπτικών και συναφών δραστηριοτήτων ελέγχου (συμπεριλαμβανομένης της προστασίας των δεδομένων), μεταξύ άλλων· συγχαίρει τον Οργανισμό για την έγκριση, το 2022, της αναθεωρημένης στρατηγικής του για την καταπολέμηση της απάτης για την περίοδο 2022-2024, η οποία αποτυπώνει τις αρχές, την αξιολόγηση του κινδύνου απάτης, τους στόχους και τις δράσεις καταπολέμησης της απάτης, καθώς και επανεξέταση της εφαρμογής των δράσεων της στρατηγικής για την καταπολέμηση της απάτης 2017-2020· σημειώνει ότι η Ευρωπαϊκή Υπηρεσία Καταπολέμησης της Απάτης περάτωσε έρευνα (σχετικά με ανακριβείς δηλώσεις εξόδων αποστολής ενός από τα μέλη του προσωπικού του Οργανισμού), η έκθεση της οποίας δημοσιεύτηκε το 2022· σημειώνει ότι η λήψη αποφάσεων από τον Οργανισμό στην περίπτωση αυτή βρίσκεται ακόμη στο τελικό στάδιο· καλεί τον Οργανισμό να υποβάλει έκθεση στην αρμόδια για την απαλλαγή αρχή σχετικά με τη συνέχεια που θα δοθεί και την τελική απόφαση επί της υπόθεσης·</w:t>
      </w:r>
    </w:p>
    <w:p w:rsidR="00C50ACD" w:rsidRPr="00CF75DA" w:rsidRDefault="00C50ACD" w:rsidP="00C50ACD">
      <w:pPr>
        <w:widowControl/>
        <w:spacing w:after="240"/>
        <w:ind w:left="567" w:hanging="567"/>
        <w:rPr>
          <w:b/>
          <w:i/>
          <w:szCs w:val="24"/>
        </w:rPr>
      </w:pPr>
      <w:r w:rsidRPr="00CF75DA">
        <w:rPr>
          <w:b/>
          <w:i/>
        </w:rPr>
        <w:t>Λοιπές παρατηρήσεις</w:t>
      </w:r>
    </w:p>
    <w:p w:rsidR="00C50ACD" w:rsidRPr="00CF75DA" w:rsidRDefault="00E969A1" w:rsidP="00E969A1">
      <w:pPr>
        <w:pStyle w:val="Normal12Hanging"/>
        <w:widowControl/>
        <w:ind w:hanging="573"/>
        <w:rPr>
          <w:szCs w:val="24"/>
        </w:rPr>
      </w:pPr>
      <w:r w:rsidRPr="00CF75DA">
        <w:rPr>
          <w:szCs w:val="24"/>
        </w:rPr>
        <w:t>25.</w:t>
      </w:r>
      <w:r w:rsidRPr="00CF75DA">
        <w:rPr>
          <w:szCs w:val="24"/>
        </w:rPr>
        <w:tab/>
      </w:r>
      <w:r w:rsidR="00C50ACD" w:rsidRPr="00CF75DA">
        <w:t xml:space="preserve">σημειώνει ότι ο Οργανισμός συνέχισε να εφαρμόζει διάφορα μέτρα για την αύξηση της δημόσιας και διαδικτυακής παρουσίας του μέσω της έναρξης μιας σειράς </w:t>
      </w:r>
      <w:proofErr w:type="spellStart"/>
      <w:r w:rsidR="00C50ACD" w:rsidRPr="00CF75DA">
        <w:t>podcast</w:t>
      </w:r>
      <w:proofErr w:type="spellEnd"/>
      <w:r w:rsidR="00C50ACD" w:rsidRPr="00CF75DA">
        <w:t xml:space="preserve">, της εδραίωσης του </w:t>
      </w:r>
      <w:proofErr w:type="spellStart"/>
      <w:r w:rsidR="00C50ACD" w:rsidRPr="00CF75DA">
        <w:t>ιστοτόπου</w:t>
      </w:r>
      <w:proofErr w:type="spellEnd"/>
      <w:r w:rsidR="00C50ACD" w:rsidRPr="00CF75DA">
        <w:t xml:space="preserve"> του, της διοργάνωσης συνεδρίων, της δημοσίευσης εκθέσεων (όπως η σειρά «</w:t>
      </w:r>
      <w:proofErr w:type="spellStart"/>
      <w:r w:rsidR="00C50ACD" w:rsidRPr="00CF75DA">
        <w:t>Spotlight</w:t>
      </w:r>
      <w:proofErr w:type="spellEnd"/>
      <w:r w:rsidR="00C50ACD" w:rsidRPr="00CF75DA">
        <w:t xml:space="preserve"> </w:t>
      </w:r>
      <w:proofErr w:type="spellStart"/>
      <w:r w:rsidR="00C50ACD" w:rsidRPr="00CF75DA">
        <w:t>Report</w:t>
      </w:r>
      <w:proofErr w:type="spellEnd"/>
      <w:r w:rsidR="00C50ACD" w:rsidRPr="00CF75DA">
        <w:t xml:space="preserve">» και η ανανεωμένη έκθεση «In </w:t>
      </w:r>
      <w:proofErr w:type="spellStart"/>
      <w:r w:rsidR="00C50ACD" w:rsidRPr="00CF75DA">
        <w:t>Brief</w:t>
      </w:r>
      <w:proofErr w:type="spellEnd"/>
      <w:r w:rsidR="00C50ACD" w:rsidRPr="00CF75DA">
        <w:t>») και της παρουσίας του στα μέσα κοινωνικής δικτύωσης (με περισσότερες από 1 100 αναρτήσεις που δημοσιεύθηκαν το 2022)· σημειώνει, στο πλαίσιο αυτό, την αύξηση των αναφορών στα μέσα ενημέρωσης με μεγάλο αντίκτυπο και τη σημαντική αύξηση των μετρήσεων του Οργανισμού στα μέσα κοινωνικής δικτύωσης το 2022 σε σύγκριση με το 2021·</w:t>
      </w:r>
    </w:p>
    <w:p w:rsidR="00C50ACD" w:rsidRPr="00CF75DA" w:rsidRDefault="00E969A1" w:rsidP="00E969A1">
      <w:pPr>
        <w:pStyle w:val="NormalHanging12a"/>
        <w:ind w:hanging="573"/>
      </w:pPr>
      <w:r w:rsidRPr="00CF75DA">
        <w:t>26.</w:t>
      </w:r>
      <w:r w:rsidRPr="00CF75DA">
        <w:tab/>
      </w:r>
      <w:r w:rsidR="00C50ACD" w:rsidRPr="00CF75DA">
        <w:t>καλεί τον Οργανισμό να λάβει μέτρα για να διασφαλίσει την πλήρη συμμόρφωση με τους κανόνες διαφάνειας της Ένωσης, καθώς και με τα θεμελιώδη δικαιώματα, τα πρότυπα προστασίας των δεδομένων και τη λογοδοσία, μεταξύ άλλων και κατά τη συνεργασία με άλλους οργανισμούς· θεωρεί ότι η δημοσιοποίηση των συνεδριάσεων και των αλληλεπιδράσεων μεταξύ του Οργανισμού και τρίτων μερών είναι απαραίτητη για τη διασφάλιση ενισχυμένης διαφάνειας· χαιρετίζει, στο πλαίσιο αυτό, τον διορισμό του υπευθύνου θεμελιωδών δικαιωμάτων του Οργανισμού·</w:t>
      </w:r>
    </w:p>
    <w:p w:rsidR="00C50ACD" w:rsidRPr="00CF75DA" w:rsidRDefault="00E969A1" w:rsidP="00E969A1">
      <w:pPr>
        <w:pStyle w:val="NormalHanging12a"/>
        <w:ind w:hanging="573"/>
        <w:jc w:val="both"/>
      </w:pPr>
      <w:r w:rsidRPr="00CF75DA">
        <w:t>27.</w:t>
      </w:r>
      <w:r w:rsidRPr="00CF75DA">
        <w:tab/>
      </w:r>
      <w:r w:rsidR="00C50ACD" w:rsidRPr="00CF75DA">
        <w:t>σημειώνει ότι, στις 16 Σεπτεμβρίου 2022, ο Ευρωπαίος Επόπτης Προστασίας Δεδομένων (ΕΕΠΔ) ζήτησε από το Δικαστήριο της Ευρωπαϊκής Ένωσης να ακυρώσει δύο διατάξεις του τροποποιημένου κανονισμού της Ευρωπόλ, και συγκεκριμένα τα άρθρα 74α και 74β, με το επιχείρημα ότι υπονομεύουν σοβαρά την ασφάλεια δικαίου για τα δεδομένα προσωπικού χαρακτήρα των φυσικών προσώπων και απειλούν την ανεξαρτησία του ΕΕΠΔ· σημειώνει επίσης τη διάταξη του Γενικού Δικαστηρίου στην υπόθεση T-578/22, της 6ης Σεπτεμβρίου 2023, σύμφωνα με την οποία η προσφυγή που άσκησε ο ΕΕΠΔ κατά του τροποποιημένου κανονισμού Ευρωπόλ κρίνεται απαράδεκτη και ότι, όσον αφορά τις ενδεχόμενες συνέπειες των προσβαλλομένων διατάξεων στην απόφαση του ΕΕΠΔ της 3ης Ιανουαρίου 2022, ο ΕΕΠΔ δεν δύναται να τις επικαλεστεί προς στήριξη της προσφυγής του· σημειώνει ότι ο ΕΕΠΔ έχει ασκήσει έφεση στην υπόθεση T-578/22 και ότι έχει εντολή, δυνάμει του κανονισμού (ΕΕ) 2016/794, να εποπτεύει τη νομιμότητα της επεξεργασίας από τον Οργανισμό δεδομένων προσωπικού χαρακτήρα· εκφράζει την ικανοποίησή του για τις προσπάθειες του Οργανισμού να ανταποκριθεί στις συστάσεις του ΕΕΠΔ, ιδίως για το γεγονός ότι όλες οι συνεισφορές πριν από την έναρξη ισχύος του τροποποιημένου κανονισμού Ευρωπόλ έχουν στο μεταξύ κατανεμηθεί σε κατηγορία υποκειμένων των δεδομένων (DSC)·</w:t>
      </w:r>
    </w:p>
    <w:p w:rsidR="00C50ACD" w:rsidRPr="00CF75DA" w:rsidRDefault="00E969A1" w:rsidP="00E969A1">
      <w:pPr>
        <w:widowControl/>
        <w:tabs>
          <w:tab w:val="left" w:pos="-720"/>
        </w:tabs>
        <w:spacing w:after="240"/>
        <w:ind w:left="567" w:hanging="573"/>
      </w:pPr>
      <w:r w:rsidRPr="00CF75DA">
        <w:t>28.</w:t>
      </w:r>
      <w:r w:rsidRPr="00CF75DA">
        <w:tab/>
      </w:r>
      <w:r w:rsidR="00C50ACD" w:rsidRPr="00CF75DA">
        <w:t>υπενθυμίζει τα πορίσματα της έκθεσης ελέγχου του ΕΕΠΔ σχετικά με τον Οργανισμό στις 16 Δεκεμβρίου 2022, στο πλαίσιο της οποίας διενεργήθηκαν συγκεκριμένοι έλεγχοι στα αρχεία των υπηκόων τρίτων χωρών που τηρούνται από τον Οργανισμό· υπενθυμίζει ότι ο ΕΕΠΔ διαπίστωσε ότι η γενική διαδικασία για την αξιολόγηση των πληροφοριών που παρέχουν οι εταίροι σχετικά με ανηλίκους (συμπεριλαμβανομένων των ανηλίκων κάτω των 15 ετών) είναι σαφής και καλά ανεπτυγμένη· υπενθυμίζει ότι ο ΕΕΠΔ εντόπισε πολλαπλές περιπτώσεις στις οποίες η απόδοση του ίδιου επιπέδου υποψίας (όσον αφορά την ταξινόμηση) σε δεδομένα ανηλίκων που προφανώς εμπλέκονται σε σχετικά ήσσονος σημασίας παράβαση σε ένα ευρύτερο πλαίσιο μιας ομάδας οργανωμένου εγκλήματος ενδέχεται να μην πληροί το όριο της «αυστηρής αναλογικότητας»· τονίζει ότι ο Οργανισμός έχει την υποχρέωση να τηρεί την αρχή της «αυστηρής αναλογικότητας» που θεσπίζεται στο άρθρο 30 παράγραφος 1 του κανονισμού για την Ευρωπόλ·</w:t>
      </w:r>
    </w:p>
    <w:p w:rsidR="00C50ACD" w:rsidRPr="00CF75DA" w:rsidRDefault="00C50ACD" w:rsidP="00C50ACD">
      <w:pPr>
        <w:pStyle w:val="NormalCenter12a"/>
      </w:pPr>
      <w:r w:rsidRPr="00CF75DA">
        <w:t>°</w:t>
      </w:r>
    </w:p>
    <w:p w:rsidR="00C50ACD" w:rsidRPr="00CF75DA" w:rsidRDefault="00C50ACD" w:rsidP="00C50ACD">
      <w:pPr>
        <w:pStyle w:val="NormalCenter12a"/>
      </w:pPr>
      <w:r w:rsidRPr="00CF75DA">
        <w:t>°</w:t>
      </w:r>
      <w:r w:rsidRPr="00CF75DA">
        <w:tab/>
        <w:t>°</w:t>
      </w:r>
    </w:p>
    <w:p w:rsidR="00C50ACD" w:rsidRPr="00CF75DA" w:rsidRDefault="00E969A1" w:rsidP="00E969A1">
      <w:pPr>
        <w:pStyle w:val="NormalHanging12a"/>
        <w:ind w:hanging="570"/>
      </w:pPr>
      <w:r w:rsidRPr="00CF75DA">
        <w:t>29.</w:t>
      </w:r>
      <w:r w:rsidRPr="00CF75DA">
        <w:tab/>
      </w:r>
      <w:r w:rsidR="00C50ACD" w:rsidRPr="00CF75DA">
        <w:t xml:space="preserve">παραπέμπει, όσον αφορά άλλες παρατηρήσεις οριζόντιου χαρακτήρα που συνοδεύουν την απόφαση απαλλαγής, στο ψήφισμά του της </w:t>
      </w:r>
      <w:r w:rsidR="00C64200">
        <w:t>11ης Απριλίου 2024</w:t>
      </w:r>
      <w:r w:rsidR="00C50ACD" w:rsidRPr="00CF75DA">
        <w:rPr>
          <w:rStyle w:val="FootnoteReference"/>
        </w:rPr>
        <w:footnoteReference w:id="12"/>
      </w:r>
      <w:r w:rsidR="00C50ACD" w:rsidRPr="00CF75DA">
        <w:t xml:space="preserve"> σχετικά με τις επιδόσεις, τη χρηματοοικονομική διαχείριση και τον έλεγχο των οργανισμών.</w:t>
      </w:r>
    </w:p>
    <w:p w:rsidR="00E365E1" w:rsidRPr="00CF75DA" w:rsidRDefault="00E365E1" w:rsidP="00DD5B78">
      <w:bookmarkStart w:id="8" w:name="TextBodyEnd"/>
      <w:bookmarkStart w:id="9" w:name="_GoBack"/>
      <w:bookmarkEnd w:id="8"/>
      <w:bookmarkEnd w:id="9"/>
    </w:p>
    <w:sectPr w:rsidR="00E365E1" w:rsidRPr="00CF75DA" w:rsidSect="00CF75D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B78" w:rsidRPr="00CF75DA" w:rsidRDefault="00DD5B78">
      <w:r w:rsidRPr="00CF75DA">
        <w:separator/>
      </w:r>
    </w:p>
  </w:endnote>
  <w:endnote w:type="continuationSeparator" w:id="0">
    <w:p w:rsidR="00DD5B78" w:rsidRPr="00CF75DA" w:rsidRDefault="00DD5B78">
      <w:r w:rsidRPr="00CF7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ACD" w:rsidRPr="00CF75DA" w:rsidRDefault="00C50ACD" w:rsidP="00692EB3">
    <w:pPr>
      <w:pStyle w:val="EPFooter"/>
    </w:pPr>
    <w:r w:rsidRPr="00CF75DA">
      <w:t>PE</w:t>
    </w:r>
    <w:r w:rsidRPr="00CF75DA">
      <w:rPr>
        <w:rStyle w:val="HideTWBExt"/>
      </w:rPr>
      <w:t>&lt;NoPE&gt;</w:t>
    </w:r>
    <w:r w:rsidRPr="00CF75DA">
      <w:t>753.540</w:t>
    </w:r>
    <w:r w:rsidRPr="00CF75DA">
      <w:rPr>
        <w:rStyle w:val="HideTWBExt"/>
      </w:rPr>
      <w:t>&lt;/NoPE&gt;&lt;Version&gt;</w:t>
    </w:r>
    <w:r w:rsidRPr="00CF75DA">
      <w:t>v02-00</w:t>
    </w:r>
    <w:r w:rsidRPr="00CF75DA">
      <w:rPr>
        <w:rStyle w:val="HideTWBExt"/>
      </w:rPr>
      <w:t>&lt;/Version&gt;</w:t>
    </w:r>
    <w:r w:rsidRPr="00CF75DA">
      <w:tab/>
    </w:r>
    <w:r w:rsidRPr="00CF75DA">
      <w:fldChar w:fldCharType="begin"/>
    </w:r>
    <w:r w:rsidRPr="00CF75DA">
      <w:instrText xml:space="preserve"> PAGE  \* MERGEFORMAT </w:instrText>
    </w:r>
    <w:r w:rsidRPr="00CF75DA">
      <w:fldChar w:fldCharType="separate"/>
    </w:r>
    <w:r w:rsidRPr="00CF75DA">
      <w:rPr>
        <w:noProof/>
      </w:rPr>
      <w:t>4</w:t>
    </w:r>
    <w:r w:rsidRPr="00CF75DA">
      <w:fldChar w:fldCharType="end"/>
    </w:r>
    <w:r w:rsidRPr="00CF75DA">
      <w:t>/</w:t>
    </w:r>
    <w:r w:rsidR="00E969A1">
      <w:fldChar w:fldCharType="begin"/>
    </w:r>
    <w:r w:rsidR="00E969A1">
      <w:instrText xml:space="preserve"> NUMPAGES  \* MERGEFORMAT </w:instrText>
    </w:r>
    <w:r w:rsidR="00E969A1">
      <w:fldChar w:fldCharType="separate"/>
    </w:r>
    <w:r w:rsidRPr="00CF75DA">
      <w:rPr>
        <w:noProof/>
      </w:rPr>
      <w:t>4</w:t>
    </w:r>
    <w:r w:rsidR="00E969A1">
      <w:rPr>
        <w:noProof/>
      </w:rPr>
      <w:fldChar w:fldCharType="end"/>
    </w:r>
    <w:r w:rsidRPr="00CF75DA">
      <w:tab/>
    </w:r>
    <w:r w:rsidRPr="00CF75DA">
      <w:rPr>
        <w:rStyle w:val="HideTWBExt"/>
      </w:rPr>
      <w:t>&lt;PathFdR&gt;</w:t>
    </w:r>
    <w:r w:rsidRPr="00CF75DA">
      <w:t>RR\1299015EL.docx</w:t>
    </w:r>
    <w:r w:rsidRPr="00CF75DA">
      <w:rPr>
        <w:rStyle w:val="HideTWBExt"/>
      </w:rPr>
      <w:t>&lt;/PathFdR&gt;</w:t>
    </w:r>
  </w:p>
  <w:p w:rsidR="00C50ACD" w:rsidRPr="00CF75DA" w:rsidRDefault="00C50ACD" w:rsidP="00692EB3">
    <w:pPr>
      <w:pStyle w:val="EPFooter2"/>
    </w:pPr>
    <w:r w:rsidRPr="00CF75D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ACD" w:rsidRPr="00CF75DA" w:rsidRDefault="00C50ACD" w:rsidP="00692EB3">
    <w:pPr>
      <w:pStyle w:val="EPFooter"/>
    </w:pPr>
    <w:r w:rsidRPr="00CF75DA">
      <w:rPr>
        <w:rStyle w:val="HideTWBExt"/>
      </w:rPr>
      <w:t>&lt;PathFdR&gt;</w:t>
    </w:r>
    <w:r w:rsidRPr="00CF75DA">
      <w:t>RR\1299015EL.docx</w:t>
    </w:r>
    <w:r w:rsidRPr="00CF75DA">
      <w:rPr>
        <w:rStyle w:val="HideTWBExt"/>
      </w:rPr>
      <w:t>&lt;/PathFdR&gt;</w:t>
    </w:r>
    <w:r w:rsidRPr="00CF75DA">
      <w:tab/>
    </w:r>
    <w:r w:rsidRPr="00CF75DA">
      <w:tab/>
      <w:t>PE</w:t>
    </w:r>
    <w:r w:rsidRPr="00CF75DA">
      <w:rPr>
        <w:rStyle w:val="HideTWBExt"/>
      </w:rPr>
      <w:t>&lt;NoPE&gt;</w:t>
    </w:r>
    <w:r w:rsidRPr="00CF75DA">
      <w:t>753.540</w:t>
    </w:r>
    <w:r w:rsidRPr="00CF75DA">
      <w:rPr>
        <w:rStyle w:val="HideTWBExt"/>
      </w:rPr>
      <w:t>&lt;/NoPE&gt;&lt;Version&gt;</w:t>
    </w:r>
    <w:r w:rsidRPr="00CF75DA">
      <w:t>v02-00</w:t>
    </w:r>
    <w:r w:rsidRPr="00CF75DA">
      <w:rPr>
        <w:rStyle w:val="HideTWBExt"/>
      </w:rPr>
      <w:t>&lt;/Version&gt;</w:t>
    </w:r>
  </w:p>
  <w:p w:rsidR="00C50ACD" w:rsidRPr="00CF75DA" w:rsidRDefault="00C50ACD" w:rsidP="00692EB3">
    <w:pPr>
      <w:pStyle w:val="EPFooter2"/>
    </w:pPr>
    <w:r w:rsidRPr="00CF75DA">
      <w:t>EL</w:t>
    </w:r>
    <w:r w:rsidRPr="00CF75DA">
      <w:tab/>
    </w:r>
    <w:r w:rsidRPr="00CF75DA">
      <w:rPr>
        <w:b w:val="0"/>
        <w:i/>
        <w:color w:val="C0C0C0"/>
        <w:sz w:val="22"/>
      </w:rPr>
      <w:t>Ενωμένη στην πολυμορφία</w:t>
    </w:r>
    <w:r w:rsidRPr="00CF75DA">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75D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75D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75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B78" w:rsidRPr="00CF75DA" w:rsidRDefault="00DD5B78">
      <w:r w:rsidRPr="00CF75DA">
        <w:separator/>
      </w:r>
    </w:p>
  </w:footnote>
  <w:footnote w:type="continuationSeparator" w:id="0">
    <w:p w:rsidR="00DD5B78" w:rsidRPr="00CF75DA" w:rsidRDefault="00DD5B78">
      <w:r w:rsidRPr="00CF75DA">
        <w:continuationSeparator/>
      </w:r>
    </w:p>
  </w:footnote>
  <w:footnote w:id="1">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C, C/2023/594, 27.10.2023.</w:t>
      </w:r>
    </w:p>
  </w:footnote>
  <w:footnote w:id="2">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C, C/2023/112, 12.10.2023.</w:t>
      </w:r>
    </w:p>
  </w:footnote>
  <w:footnote w:id="3">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L 193 της 30.7.2018, σ. 1.</w:t>
      </w:r>
    </w:p>
  </w:footnote>
  <w:footnote w:id="4">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L 135 της 24.5.2016, σ. 53.</w:t>
      </w:r>
    </w:p>
  </w:footnote>
  <w:footnote w:id="5">
    <w:p w:rsidR="00C50ACD" w:rsidRPr="00CF75DA" w:rsidRDefault="00C50ACD" w:rsidP="00CF75DA">
      <w:pPr>
        <w:pStyle w:val="FootnoteText"/>
        <w:ind w:left="567" w:hanging="567"/>
        <w:rPr>
          <w:sz w:val="24"/>
          <w:szCs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L 122 της 10.5.2019, σ. 1.</w:t>
      </w:r>
    </w:p>
  </w:footnote>
  <w:footnote w:id="6">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C, C/2023/594, 27.10.2023.</w:t>
      </w:r>
    </w:p>
  </w:footnote>
  <w:footnote w:id="7">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C, C/2023/112, 12.10.2023.</w:t>
      </w:r>
    </w:p>
  </w:footnote>
  <w:footnote w:id="8">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L 193 της 30.7.2018, σ. 1.</w:t>
      </w:r>
    </w:p>
  </w:footnote>
  <w:footnote w:id="9">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L 135 της 24.5.2016, σ. 53.</w:t>
      </w:r>
    </w:p>
  </w:footnote>
  <w:footnote w:id="10">
    <w:p w:rsidR="00C50ACD" w:rsidRPr="00CF75DA" w:rsidRDefault="00C50ACD" w:rsidP="00CF75DA">
      <w:pPr>
        <w:pStyle w:val="FootnoteText"/>
        <w:ind w:left="567" w:hanging="567"/>
        <w:rPr>
          <w:sz w:val="24"/>
          <w:szCs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L 122 της 10.5.2019, σ. 1.</w:t>
      </w:r>
    </w:p>
  </w:footnote>
  <w:footnote w:id="11">
    <w:p w:rsidR="00C50ACD" w:rsidRPr="00CF75DA" w:rsidRDefault="00C50ACD" w:rsidP="00CF75DA">
      <w:pPr>
        <w:pStyle w:val="FootnoteText"/>
        <w:ind w:left="567" w:hanging="567"/>
        <w:rPr>
          <w:sz w:val="24"/>
          <w:lang w:val="el-GR"/>
        </w:rPr>
      </w:pPr>
      <w:r w:rsidRPr="00CF75DA">
        <w:rPr>
          <w:rStyle w:val="FootnoteReference"/>
          <w:sz w:val="24"/>
          <w:lang w:val="el-GR"/>
        </w:rPr>
        <w:footnoteRef/>
      </w:r>
      <w:r w:rsidR="00CF75DA" w:rsidRPr="00CF75DA">
        <w:rPr>
          <w:sz w:val="24"/>
          <w:lang w:val="el-GR"/>
        </w:rPr>
        <w:t xml:space="preserve"> </w:t>
      </w:r>
      <w:r w:rsidR="00CF75DA" w:rsidRPr="00CF75DA">
        <w:rPr>
          <w:sz w:val="24"/>
          <w:lang w:val="el-GR"/>
        </w:rPr>
        <w:tab/>
      </w:r>
      <w:r w:rsidRPr="00CF75DA">
        <w:rPr>
          <w:sz w:val="24"/>
          <w:lang w:val="el-GR"/>
        </w:rPr>
        <w:t>ΕΕ C 38 της 31.1.2023, σ. 160.</w:t>
      </w:r>
    </w:p>
  </w:footnote>
  <w:footnote w:id="12">
    <w:p w:rsidR="00C50ACD" w:rsidRPr="00CF75DA" w:rsidRDefault="00C50ACD" w:rsidP="00CF75DA">
      <w:pPr>
        <w:pStyle w:val="FootnoteText"/>
        <w:ind w:left="567" w:hanging="567"/>
        <w:rPr>
          <w:sz w:val="24"/>
          <w:szCs w:val="24"/>
          <w:lang w:val="el-GR"/>
        </w:rPr>
      </w:pPr>
      <w:r w:rsidRPr="00CF75DA">
        <w:rPr>
          <w:rStyle w:val="FootnoteReference"/>
          <w:sz w:val="24"/>
          <w:szCs w:val="24"/>
          <w:lang w:val="el-GR"/>
        </w:rPr>
        <w:footnoteRef/>
      </w:r>
      <w:r w:rsidR="00CF75DA" w:rsidRPr="00CF75DA">
        <w:rPr>
          <w:sz w:val="24"/>
          <w:lang w:val="el-GR"/>
        </w:rPr>
        <w:t xml:space="preserve"> </w:t>
      </w:r>
      <w:r w:rsidR="00CF75DA" w:rsidRPr="00CF75DA">
        <w:rPr>
          <w:sz w:val="24"/>
          <w:lang w:val="el-GR"/>
        </w:rPr>
        <w:tab/>
      </w:r>
      <w:r w:rsidRPr="00CF75DA">
        <w:rPr>
          <w:sz w:val="24"/>
          <w:lang w:val="el-GR"/>
        </w:rPr>
        <w:t>Κείμενα που εγκρίθηκαν, P9_TA(2024)0</w:t>
      </w:r>
      <w:r w:rsidR="00E969A1">
        <w:rPr>
          <w:sz w:val="24"/>
          <w:lang w:val="el-GR"/>
        </w:rPr>
        <w:t>280</w:t>
      </w:r>
      <w:r w:rsidRPr="00CF75D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75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75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75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1D5024B"/>
    <w:multiLevelType w:val="hybridMultilevel"/>
    <w:tmpl w:val="F7FAE4DC"/>
    <w:lvl w:ilvl="0" w:tplc="A2F29B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7EA1B04"/>
    <w:multiLevelType w:val="hybridMultilevel"/>
    <w:tmpl w:val="CEDA1290"/>
    <w:lvl w:ilvl="0" w:tplc="A2F29B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2E569B"/>
    <w:multiLevelType w:val="multilevel"/>
    <w:tmpl w:val="A28432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A7C5EF7"/>
    <w:multiLevelType w:val="hybridMultilevel"/>
    <w:tmpl w:val="D26C1E82"/>
    <w:lvl w:ilvl="0" w:tplc="A2F29B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5"/>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EL"/>
    <w:docVar w:name="dvnumam" w:val="0"/>
    <w:docVar w:name="dvpe" w:val="753.540"/>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Ευρωπόλ) για το οικονομικό έτος 2022(2023/2169(DEC))"/>
  </w:docVars>
  <w:rsids>
    <w:rsidRoot w:val="00DD5B7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A5A"/>
    <w:rsid w:val="00A778C7"/>
    <w:rsid w:val="00AB441E"/>
    <w:rsid w:val="00AB6293"/>
    <w:rsid w:val="00AE0928"/>
    <w:rsid w:val="00AF3B82"/>
    <w:rsid w:val="00B12E95"/>
    <w:rsid w:val="00B22876"/>
    <w:rsid w:val="00B558F0"/>
    <w:rsid w:val="00BD48FE"/>
    <w:rsid w:val="00BD7BD8"/>
    <w:rsid w:val="00BE6ADC"/>
    <w:rsid w:val="00C05BFE"/>
    <w:rsid w:val="00C23CD4"/>
    <w:rsid w:val="00C50ACD"/>
    <w:rsid w:val="00C61C0C"/>
    <w:rsid w:val="00C64200"/>
    <w:rsid w:val="00C941CB"/>
    <w:rsid w:val="00CC2357"/>
    <w:rsid w:val="00CF071A"/>
    <w:rsid w:val="00CF75DA"/>
    <w:rsid w:val="00D03379"/>
    <w:rsid w:val="00D058B8"/>
    <w:rsid w:val="00D56C11"/>
    <w:rsid w:val="00D834A0"/>
    <w:rsid w:val="00D872DF"/>
    <w:rsid w:val="00D91E21"/>
    <w:rsid w:val="00DA7FCD"/>
    <w:rsid w:val="00DD5B78"/>
    <w:rsid w:val="00E07A19"/>
    <w:rsid w:val="00E365E1"/>
    <w:rsid w:val="00E820A4"/>
    <w:rsid w:val="00E969A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1EDFB"/>
  <w15:chartTrackingRefBased/>
  <w15:docId w15:val="{7A0DD398-3BC9-48C8-AD1C-F12CEA61A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0AC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0ACD"/>
    <w:pPr>
      <w:spacing w:before="480" w:after="240"/>
    </w:pPr>
  </w:style>
  <w:style w:type="paragraph" w:customStyle="1" w:styleId="PageHeading">
    <w:name w:val="PageHeading"/>
    <w:basedOn w:val="Normal"/>
    <w:rsid w:val="00C50ACD"/>
    <w:pPr>
      <w:keepNext/>
      <w:spacing w:after="480"/>
      <w:jc w:val="center"/>
    </w:pPr>
    <w:rPr>
      <w:rFonts w:ascii="Arial" w:hAnsi="Arial" w:cs="Arial"/>
      <w:b/>
    </w:rPr>
  </w:style>
  <w:style w:type="paragraph" w:customStyle="1" w:styleId="NormalBold">
    <w:name w:val="NormalBold"/>
    <w:basedOn w:val="Normal"/>
    <w:rsid w:val="00C50ACD"/>
    <w:rPr>
      <w:b/>
    </w:rPr>
  </w:style>
  <w:style w:type="paragraph" w:customStyle="1" w:styleId="NormalHanging12a">
    <w:name w:val="NormalHanging12a"/>
    <w:basedOn w:val="Normal"/>
    <w:link w:val="NormalHanging12aChar"/>
    <w:rsid w:val="00C50ACD"/>
    <w:pPr>
      <w:spacing w:after="240"/>
      <w:ind w:left="567" w:hanging="567"/>
    </w:pPr>
  </w:style>
  <w:style w:type="paragraph" w:customStyle="1" w:styleId="NormalCenter12a">
    <w:name w:val="NormalCenter12a"/>
    <w:basedOn w:val="Normal"/>
    <w:rsid w:val="00C50ACD"/>
    <w:pPr>
      <w:spacing w:after="240"/>
      <w:jc w:val="center"/>
    </w:pPr>
  </w:style>
  <w:style w:type="paragraph" w:styleId="Header">
    <w:name w:val="header"/>
    <w:basedOn w:val="Normal"/>
    <w:link w:val="HeaderChar"/>
    <w:rsid w:val="00C50ACD"/>
    <w:pPr>
      <w:tabs>
        <w:tab w:val="center" w:pos="4513"/>
        <w:tab w:val="right" w:pos="9026"/>
      </w:tabs>
    </w:pPr>
  </w:style>
  <w:style w:type="character" w:customStyle="1" w:styleId="HeaderChar">
    <w:name w:val="Header Char"/>
    <w:basedOn w:val="DefaultParagraphFont"/>
    <w:link w:val="Header"/>
    <w:rsid w:val="00C50ACD"/>
    <w:rPr>
      <w:sz w:val="24"/>
      <w:lang w:val="el-GR"/>
    </w:rPr>
  </w:style>
  <w:style w:type="paragraph" w:customStyle="1" w:styleId="EPFooter">
    <w:name w:val="EPFooter"/>
    <w:basedOn w:val="Normal"/>
    <w:rsid w:val="00C50AC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50ACD"/>
    <w:rPr>
      <w:sz w:val="24"/>
      <w:lang w:val="el-GR"/>
    </w:rPr>
  </w:style>
  <w:style w:type="paragraph" w:customStyle="1" w:styleId="Normal12Hanging">
    <w:name w:val="Normal12Hanging"/>
    <w:basedOn w:val="Normal"/>
    <w:rsid w:val="00C50ACD"/>
    <w:pPr>
      <w:spacing w:after="240"/>
      <w:ind w:left="567" w:hanging="567"/>
    </w:pPr>
  </w:style>
  <w:style w:type="paragraph" w:styleId="Footer">
    <w:name w:val="footer"/>
    <w:basedOn w:val="Normal"/>
    <w:link w:val="FooterChar"/>
    <w:rsid w:val="00E07A19"/>
    <w:pPr>
      <w:tabs>
        <w:tab w:val="center" w:pos="4513"/>
        <w:tab w:val="right" w:pos="9026"/>
      </w:tabs>
    </w:pPr>
  </w:style>
  <w:style w:type="character" w:customStyle="1" w:styleId="FooterChar">
    <w:name w:val="Footer Char"/>
    <w:basedOn w:val="DefaultParagraphFont"/>
    <w:link w:val="Footer"/>
    <w:rsid w:val="00E07A19"/>
    <w:rPr>
      <w:sz w:val="24"/>
      <w:lang w:val="el-GR"/>
    </w:rPr>
  </w:style>
  <w:style w:type="paragraph" w:styleId="ListParagraph">
    <w:name w:val="List Paragraph"/>
    <w:basedOn w:val="Normal"/>
    <w:uiPriority w:val="34"/>
    <w:qFormat/>
    <w:rsid w:val="00A52A5A"/>
    <w:pPr>
      <w:ind w:left="720"/>
      <w:contextualSpacing/>
    </w:pPr>
  </w:style>
  <w:style w:type="paragraph" w:styleId="BalloonText">
    <w:name w:val="Balloon Text"/>
    <w:basedOn w:val="Normal"/>
    <w:link w:val="BalloonTextChar"/>
    <w:rsid w:val="00C64200"/>
    <w:rPr>
      <w:rFonts w:ascii="Segoe UI" w:hAnsi="Segoe UI" w:cs="Segoe UI"/>
      <w:sz w:val="18"/>
      <w:szCs w:val="18"/>
    </w:rPr>
  </w:style>
  <w:style w:type="character" w:customStyle="1" w:styleId="BalloonTextChar">
    <w:name w:val="Balloon Text Char"/>
    <w:basedOn w:val="DefaultParagraphFont"/>
    <w:link w:val="BalloonText"/>
    <w:rsid w:val="00C6420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969A6-0319-4CBC-A825-E01CFC510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5473</Words>
  <Characters>32578</Characters>
  <Application>Microsoft Office Word</Application>
  <DocSecurity>0</DocSecurity>
  <Lines>651</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2024-04-11T12:20:00Z</dcterms:created>
  <dcterms:modified xsi:type="dcterms:W3CDTF">2024-04-11T12:20:00Z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A9-0119/2024</vt:lpwstr>
  </property>
  <property fmtid="{D5CDD505-2E9C-101B-9397-08002B2CF9AE}" pid="4" name="&lt;Type&gt;">
    <vt:lpwstr>RR</vt:lpwstr>
  </property>
</Properties>
</file>