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7E09" w:rsidTr="0010095E">
        <w:trPr>
          <w:trHeight w:hRule="exact" w:val="1418"/>
        </w:trPr>
        <w:tc>
          <w:tcPr>
            <w:tcW w:w="6804" w:type="dxa"/>
            <w:shd w:val="clear" w:color="auto" w:fill="auto"/>
            <w:vAlign w:val="center"/>
          </w:tcPr>
          <w:p w:rsidR="00751A4A" w:rsidRPr="001D7E09" w:rsidRDefault="006F3443" w:rsidP="0010095E">
            <w:pPr>
              <w:pStyle w:val="EPName"/>
            </w:pPr>
            <w:r w:rsidRPr="001D7E09">
              <w:t>Europski parlament</w:t>
            </w:r>
          </w:p>
          <w:p w:rsidR="00751A4A" w:rsidRPr="001D7E09" w:rsidRDefault="00817416" w:rsidP="00756632">
            <w:pPr>
              <w:pStyle w:val="EPTerm"/>
              <w:rPr>
                <w:rStyle w:val="HideTWBExt"/>
                <w:noProof w:val="0"/>
                <w:vanish w:val="0"/>
                <w:color w:val="auto"/>
              </w:rPr>
            </w:pPr>
            <w:r w:rsidRPr="001D7E09">
              <w:t>2019-2024</w:t>
            </w:r>
          </w:p>
        </w:tc>
        <w:tc>
          <w:tcPr>
            <w:tcW w:w="2268" w:type="dxa"/>
            <w:shd w:val="clear" w:color="auto" w:fill="auto"/>
          </w:tcPr>
          <w:p w:rsidR="00751A4A" w:rsidRPr="001D7E09" w:rsidRDefault="00187494" w:rsidP="0010095E">
            <w:pPr>
              <w:pStyle w:val="EPLogo"/>
            </w:pPr>
            <w:r w:rsidRPr="001D7E09">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7E09" w:rsidRDefault="00D058B8" w:rsidP="004C5D52">
      <w:pPr>
        <w:pStyle w:val="LineTop"/>
      </w:pPr>
    </w:p>
    <w:p w:rsidR="00680577" w:rsidRPr="001D7E09" w:rsidRDefault="006F3443" w:rsidP="00680577">
      <w:pPr>
        <w:pStyle w:val="EPBodyTA1"/>
      </w:pPr>
      <w:r w:rsidRPr="001D7E09">
        <w:t>USVOJENI TEKSTOVI</w:t>
      </w:r>
    </w:p>
    <w:p w:rsidR="00D058B8" w:rsidRPr="001D7E09" w:rsidRDefault="00D058B8" w:rsidP="00D058B8">
      <w:pPr>
        <w:pStyle w:val="LineBottom"/>
      </w:pPr>
    </w:p>
    <w:p w:rsidR="006F3443" w:rsidRPr="001D7E09" w:rsidRDefault="006F3443" w:rsidP="006F3443">
      <w:pPr>
        <w:pStyle w:val="ATHeading1"/>
      </w:pPr>
      <w:bookmarkStart w:id="0" w:name="TANumber"/>
      <w:r w:rsidRPr="001D7E09">
        <w:t>P9_TA(2024)0</w:t>
      </w:r>
      <w:bookmarkEnd w:id="0"/>
      <w:r w:rsidR="008A2E3E">
        <w:t>260</w:t>
      </w:r>
    </w:p>
    <w:p w:rsidR="006F3443" w:rsidRPr="001D7E09" w:rsidRDefault="006F3443" w:rsidP="006F3443">
      <w:pPr>
        <w:pStyle w:val="ATHeading2"/>
      </w:pPr>
      <w:bookmarkStart w:id="1" w:name="title"/>
      <w:r w:rsidRPr="001D7E09">
        <w:t>Razrješnica za 2022.: Agencija Europske unije za suradnju tijela za izvršavanje zakonodavstva (</w:t>
      </w:r>
      <w:proofErr w:type="spellStart"/>
      <w:r w:rsidRPr="001D7E09">
        <w:t>Europol</w:t>
      </w:r>
      <w:proofErr w:type="spellEnd"/>
      <w:r w:rsidRPr="001D7E09">
        <w:t>)</w:t>
      </w:r>
      <w:bookmarkEnd w:id="1"/>
    </w:p>
    <w:p w:rsidR="006F3443" w:rsidRPr="001D7E09" w:rsidRDefault="006F3443" w:rsidP="006F3443">
      <w:pPr>
        <w:rPr>
          <w:i/>
          <w:vanish/>
        </w:rPr>
      </w:pPr>
      <w:r w:rsidRPr="001D7E09">
        <w:rPr>
          <w:i/>
        </w:rPr>
        <w:fldChar w:fldCharType="begin"/>
      </w:r>
      <w:r w:rsidRPr="001D7E09">
        <w:rPr>
          <w:i/>
        </w:rPr>
        <w:instrText xml:space="preserve"> TC"(</w:instrText>
      </w:r>
      <w:bookmarkStart w:id="2" w:name="DocNumber"/>
      <w:r w:rsidRPr="001D7E09">
        <w:rPr>
          <w:i/>
        </w:rPr>
        <w:instrText>A9-0119/2024</w:instrText>
      </w:r>
      <w:bookmarkEnd w:id="2"/>
      <w:r w:rsidRPr="001D7E09">
        <w:rPr>
          <w:i/>
        </w:rPr>
        <w:instrText xml:space="preserve"> - Izvjestitelj: Petri </w:instrText>
      </w:r>
      <w:proofErr w:type="spellStart"/>
      <w:r w:rsidRPr="001D7E09">
        <w:rPr>
          <w:i/>
        </w:rPr>
        <w:instrText>Sarvamaa</w:instrText>
      </w:r>
      <w:proofErr w:type="spellEnd"/>
      <w:r w:rsidRPr="001D7E09">
        <w:rPr>
          <w:i/>
        </w:rPr>
        <w:instrText xml:space="preserve">)"\l3 \n&gt; \* MERGEFORMAT </w:instrText>
      </w:r>
      <w:r w:rsidRPr="001D7E09">
        <w:rPr>
          <w:i/>
        </w:rPr>
        <w:fldChar w:fldCharType="end"/>
      </w:r>
    </w:p>
    <w:p w:rsidR="006F3443" w:rsidRPr="001D7E09" w:rsidRDefault="006F3443" w:rsidP="006F3443">
      <w:pPr>
        <w:rPr>
          <w:vanish/>
        </w:rPr>
      </w:pPr>
      <w:bookmarkStart w:id="3" w:name="Commission"/>
      <w:r w:rsidRPr="001D7E09">
        <w:rPr>
          <w:vanish/>
        </w:rPr>
        <w:t>Odbor za proračunski nadzor</w:t>
      </w:r>
      <w:bookmarkEnd w:id="3"/>
    </w:p>
    <w:p w:rsidR="006F3443" w:rsidRPr="001D7E09" w:rsidRDefault="006F3443" w:rsidP="006F3443">
      <w:pPr>
        <w:rPr>
          <w:vanish/>
        </w:rPr>
      </w:pPr>
      <w:bookmarkStart w:id="4" w:name="PE"/>
      <w:r w:rsidRPr="001D7E09">
        <w:rPr>
          <w:vanish/>
        </w:rPr>
        <w:t>PE753.540</w:t>
      </w:r>
      <w:bookmarkEnd w:id="4"/>
    </w:p>
    <w:p w:rsidR="006F3443" w:rsidRPr="001D7E09" w:rsidRDefault="00E12288" w:rsidP="006F3443">
      <w:pPr>
        <w:pStyle w:val="ATHeading3"/>
      </w:pPr>
      <w:bookmarkStart w:id="5" w:name="Sujet"/>
      <w:r>
        <w:t xml:space="preserve">1. </w:t>
      </w:r>
      <w:r w:rsidR="006F3443" w:rsidRPr="001D7E09">
        <w:t>Odl</w:t>
      </w:r>
      <w:r>
        <w:t>uka Europskog parlamenta od 11. travnja</w:t>
      </w:r>
      <w:r w:rsidR="006F3443" w:rsidRPr="001D7E09">
        <w:t xml:space="preserve"> 2024. o razrješnici za izvršenje proračuna Agencije Europske unije za suradnju tijela za izvršavanje zakonodavstva (</w:t>
      </w:r>
      <w:proofErr w:type="spellStart"/>
      <w:r w:rsidR="006F3443" w:rsidRPr="001D7E09">
        <w:t>Europol</w:t>
      </w:r>
      <w:proofErr w:type="spellEnd"/>
      <w:r w:rsidR="006F3443" w:rsidRPr="001D7E09">
        <w:t>) za financijsku godinu 2022.</w:t>
      </w:r>
      <w:bookmarkEnd w:id="5"/>
      <w:r w:rsidR="006F3443" w:rsidRPr="001D7E09">
        <w:t xml:space="preserve"> </w:t>
      </w:r>
      <w:bookmarkStart w:id="6" w:name="References"/>
      <w:r w:rsidR="006F3443" w:rsidRPr="001D7E09">
        <w:t>(2023/2169(DEC))</w:t>
      </w:r>
      <w:bookmarkEnd w:id="6"/>
    </w:p>
    <w:p w:rsidR="003305CA" w:rsidRPr="001D7E09" w:rsidRDefault="003305CA" w:rsidP="003305CA">
      <w:pPr>
        <w:pStyle w:val="EPComma"/>
      </w:pPr>
      <w:bookmarkStart w:id="7" w:name="TextBodyBegin"/>
      <w:bookmarkStart w:id="8" w:name="_GoBack"/>
      <w:bookmarkEnd w:id="7"/>
      <w:bookmarkEnd w:id="8"/>
      <w:r w:rsidRPr="001D7E09">
        <w:rPr>
          <w:i/>
        </w:rPr>
        <w:t>Europski parlament</w:t>
      </w:r>
      <w:r w:rsidRPr="001D7E09">
        <w:t>,</w:t>
      </w:r>
    </w:p>
    <w:p w:rsidR="003305CA" w:rsidRPr="001D7E09" w:rsidRDefault="003305CA" w:rsidP="003305CA">
      <w:pPr>
        <w:pStyle w:val="NormalHanging12a"/>
      </w:pPr>
      <w:r w:rsidRPr="001D7E09">
        <w:t>–</w:t>
      </w:r>
      <w:r w:rsidRPr="001D7E09">
        <w:tab/>
        <w:t>uzimajući u obzir završnu godišnju računovodstvenu dokumentaciju Agencije Europske unije za suradnju tijela za izvršavanje zakonodavstva (</w:t>
      </w:r>
      <w:proofErr w:type="spellStart"/>
      <w:r w:rsidRPr="001D7E09">
        <w:t>Europol</w:t>
      </w:r>
      <w:proofErr w:type="spellEnd"/>
      <w:r w:rsidRPr="001D7E09">
        <w:t>) za financijsku godinu 2022.,</w:t>
      </w:r>
    </w:p>
    <w:p w:rsidR="003305CA" w:rsidRPr="001D7E09" w:rsidRDefault="003305CA" w:rsidP="003305CA">
      <w:pPr>
        <w:pStyle w:val="NormalHanging12a"/>
      </w:pPr>
      <w:r w:rsidRPr="001D7E09">
        <w:t>–</w:t>
      </w:r>
      <w:r w:rsidRPr="001D7E09">
        <w:tab/>
        <w:t>uzimajući u obzir godišnje izvješće Revizorskog suda o agencijama EU-a za financijsku godinu 2022., kojemu su priloženi odgovori agencija</w:t>
      </w:r>
      <w:r w:rsidRPr="001D7E09">
        <w:rPr>
          <w:rStyle w:val="FootnoteReference"/>
        </w:rPr>
        <w:footnoteReference w:id="1"/>
      </w:r>
      <w:r w:rsidRPr="001D7E09">
        <w:t>,</w:t>
      </w:r>
    </w:p>
    <w:p w:rsidR="003305CA" w:rsidRPr="001D7E09" w:rsidRDefault="003305CA" w:rsidP="003305CA">
      <w:pPr>
        <w:pStyle w:val="NormalHanging12a"/>
      </w:pPr>
      <w:r w:rsidRPr="001D7E09">
        <w:t>–</w:t>
      </w:r>
      <w:r w:rsidRPr="001D7E09">
        <w:tab/>
        <w:t>uzimajući u obzir izjavu o jamstvu</w:t>
      </w:r>
      <w:r w:rsidRPr="001D7E09">
        <w:rPr>
          <w:rStyle w:val="FootnoteReference"/>
        </w:rPr>
        <w:footnoteReference w:id="2"/>
      </w:r>
      <w:r w:rsidRPr="001D7E09">
        <w:t xml:space="preserve"> u pogledu pouzdanosti računovodstvene dokumentacije te zakonitosti i pravilnosti temeljnih transakcija koju je u skladu s člankom 287. Ugovora o funkcioniranju Europske unije Revizorski sud podnio za financijsku godinu 2022.,</w:t>
      </w:r>
    </w:p>
    <w:p w:rsidR="003305CA" w:rsidRPr="001D7E09" w:rsidRDefault="003305CA" w:rsidP="003305CA">
      <w:pPr>
        <w:pStyle w:val="NormalHanging12a"/>
      </w:pPr>
      <w:r w:rsidRPr="001D7E09">
        <w:t>–</w:t>
      </w:r>
      <w:r w:rsidRPr="001D7E09">
        <w:tab/>
        <w:t>uzimajući u obzir preporuku Vijeća od 22. veljače 2024. o razrješnici koju Agencija treba dobiti za izvršenje proračuna za financijsku godinu 2022. (</w:t>
      </w:r>
      <w:r w:rsidR="00E12288" w:rsidRPr="00755569">
        <w:t>0</w:t>
      </w:r>
      <w:r w:rsidR="00E12288" w:rsidRPr="00E12288">
        <w:rPr>
          <w:lang w:val="bg-BG"/>
        </w:rPr>
        <w:t>6180</w:t>
      </w:r>
      <w:r w:rsidR="00E12288">
        <w:t>/2024 – C9</w:t>
      </w:r>
      <w:r w:rsidR="00E12288">
        <w:noBreakHyphen/>
        <w:t>0107</w:t>
      </w:r>
      <w:r w:rsidRPr="001D7E09">
        <w:t>/2024),</w:t>
      </w:r>
    </w:p>
    <w:p w:rsidR="003305CA" w:rsidRPr="001D7E09" w:rsidRDefault="003305CA" w:rsidP="003305CA">
      <w:pPr>
        <w:pStyle w:val="NormalHanging12a"/>
      </w:pPr>
      <w:r w:rsidRPr="001D7E09">
        <w:t>–</w:t>
      </w:r>
      <w:r w:rsidRPr="001D7E09">
        <w:tab/>
        <w:t>uzimajući u obzir članak 319. Ugovora o funkcioniranju Europske unije,</w:t>
      </w:r>
    </w:p>
    <w:p w:rsidR="003305CA" w:rsidRPr="001D7E09" w:rsidRDefault="003305CA" w:rsidP="003305CA">
      <w:pPr>
        <w:pStyle w:val="NormalHanging12a"/>
      </w:pPr>
      <w:r w:rsidRPr="001D7E09">
        <w:t>–</w:t>
      </w:r>
      <w:r w:rsidRPr="001D7E09">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1D7E09">
        <w:lastRenderedPageBreak/>
        <w:t>Euratom) br. 966/2012</w:t>
      </w:r>
      <w:r w:rsidRPr="001D7E09">
        <w:rPr>
          <w:rStyle w:val="FootnoteReference"/>
        </w:rPr>
        <w:footnoteReference w:id="3"/>
      </w:r>
      <w:r w:rsidRPr="001D7E09">
        <w:t>, a posebno njezin članak 70.,</w:t>
      </w:r>
    </w:p>
    <w:p w:rsidR="003305CA" w:rsidRPr="001D7E09" w:rsidRDefault="003305CA" w:rsidP="003305CA">
      <w:pPr>
        <w:pStyle w:val="NormalHanging12a"/>
      </w:pPr>
      <w:r w:rsidRPr="001D7E09">
        <w:t>–</w:t>
      </w:r>
      <w:r w:rsidRPr="001D7E09">
        <w:tab/>
        <w:t>uzimajući u obzir Uredbu (EU) 2016/794 Europskog parlamenta i Vijeća od 11. svibnja 2016. o Agenciji Europske unije za suradnju tijela za izvršavanje zakonodavstva (</w:t>
      </w:r>
      <w:proofErr w:type="spellStart"/>
      <w:r w:rsidRPr="001D7E09">
        <w:t>Europol</w:t>
      </w:r>
      <w:proofErr w:type="spellEnd"/>
      <w:r w:rsidRPr="001D7E09">
        <w:t>) te zamjeni i stavljanju izvan snage odluka Vijeća 2009/371/PUP, 2009/934/PUP, 2009/935/PUP, 2009/936/PUP i 2009/968/PUP</w:t>
      </w:r>
      <w:r w:rsidRPr="001D7E09">
        <w:rPr>
          <w:rStyle w:val="FootnoteReference"/>
        </w:rPr>
        <w:footnoteReference w:id="4"/>
      </w:r>
      <w:r w:rsidRPr="001D7E09">
        <w:t>, a posebno njezin članak 60.,</w:t>
      </w:r>
    </w:p>
    <w:p w:rsidR="003305CA" w:rsidRPr="001D7E09" w:rsidRDefault="003305CA" w:rsidP="003305CA">
      <w:pPr>
        <w:pStyle w:val="NormalHanging12a"/>
      </w:pPr>
      <w:r w:rsidRPr="001D7E09">
        <w:t>–</w:t>
      </w:r>
      <w:r w:rsidRPr="001D7E09">
        <w:tab/>
        <w:t xml:space="preserve">uzimajući u obzir Delegiranu uredbu Komisije (EU) 2019/715 od 18. prosinca 2018. o okvirnoj financijskoj uredbi za tijela osnovana na temelju Ugovora o funkcioniranju Europske unije i Ugovora o </w:t>
      </w:r>
      <w:proofErr w:type="spellStart"/>
      <w:r w:rsidRPr="001D7E09">
        <w:t>Euratomu</w:t>
      </w:r>
      <w:proofErr w:type="spellEnd"/>
      <w:r w:rsidRPr="001D7E09">
        <w:t xml:space="preserve"> na koja se upućuje u članku 70. Uredbe (EU, Euratom) 2018/1046 Europskog parlamenta i Vijeća</w:t>
      </w:r>
      <w:r w:rsidRPr="001D7E09">
        <w:rPr>
          <w:rStyle w:val="FootnoteReference"/>
        </w:rPr>
        <w:footnoteReference w:id="5"/>
      </w:r>
      <w:r w:rsidRPr="001D7E09">
        <w:t>, a posebno njezin članak 105.,</w:t>
      </w:r>
    </w:p>
    <w:p w:rsidR="003305CA" w:rsidRPr="001D7E09" w:rsidRDefault="003305CA" w:rsidP="003305CA">
      <w:pPr>
        <w:pStyle w:val="NormalHanging12a"/>
      </w:pPr>
      <w:r w:rsidRPr="001D7E09">
        <w:t>–</w:t>
      </w:r>
      <w:r w:rsidRPr="001D7E09">
        <w:tab/>
        <w:t>uzimajući u obzir članak 100. Poslovnika i Prilog V. Poslovniku,</w:t>
      </w:r>
    </w:p>
    <w:p w:rsidR="003305CA" w:rsidRPr="001D7E09" w:rsidRDefault="003305CA" w:rsidP="003305CA">
      <w:pPr>
        <w:pStyle w:val="NormalHanging12a"/>
      </w:pPr>
      <w:r w:rsidRPr="001D7E09">
        <w:t>–</w:t>
      </w:r>
      <w:r w:rsidRPr="001D7E09">
        <w:tab/>
        <w:t>uzimajući u obzir mišljenje Odbora za građanske slobode, pravosuđe i unutarnje poslove,</w:t>
      </w:r>
    </w:p>
    <w:p w:rsidR="003305CA" w:rsidRPr="001D7E09" w:rsidRDefault="003305CA" w:rsidP="003305CA">
      <w:pPr>
        <w:pStyle w:val="NormalHanging12a"/>
      </w:pPr>
      <w:r w:rsidRPr="001D7E09">
        <w:t>–</w:t>
      </w:r>
      <w:r w:rsidRPr="001D7E09">
        <w:tab/>
        <w:t>uzimajući u obzir izvješće Odbora za proračunski nadzor (A9</w:t>
      </w:r>
      <w:r w:rsidRPr="001D7E09">
        <w:noBreakHyphen/>
        <w:t>0119/2024),</w:t>
      </w:r>
    </w:p>
    <w:p w:rsidR="003305CA" w:rsidRPr="001D7E09" w:rsidRDefault="003305CA" w:rsidP="003305CA">
      <w:pPr>
        <w:pStyle w:val="NormalHanging12a"/>
      </w:pPr>
      <w:r w:rsidRPr="001D7E09">
        <w:t>1.</w:t>
      </w:r>
      <w:r w:rsidRPr="001D7E09">
        <w:tab/>
        <w:t>daje razrješnicu izvršnoj direktorici Agencije Europske unije za suradnju tijela za izvršavanje zakonodavstva (</w:t>
      </w:r>
      <w:proofErr w:type="spellStart"/>
      <w:r w:rsidRPr="001D7E09">
        <w:t>Europol</w:t>
      </w:r>
      <w:proofErr w:type="spellEnd"/>
      <w:r w:rsidRPr="001D7E09">
        <w:t>) za izvršenje proračuna Agencije za financijsku godinu 2022.;</w:t>
      </w:r>
    </w:p>
    <w:p w:rsidR="003305CA" w:rsidRPr="001D7E09" w:rsidRDefault="003305CA" w:rsidP="003305CA">
      <w:pPr>
        <w:pStyle w:val="NormalHanging12a"/>
      </w:pPr>
      <w:r w:rsidRPr="001D7E09">
        <w:t>2.</w:t>
      </w:r>
      <w:r w:rsidRPr="001D7E09">
        <w:tab/>
        <w:t>iznosi svoje primjedbe u Rezoluciji u nastavku;</w:t>
      </w:r>
    </w:p>
    <w:p w:rsidR="003305CA" w:rsidRPr="001D7E09" w:rsidRDefault="003305CA" w:rsidP="003305CA">
      <w:pPr>
        <w:pStyle w:val="NormalHanging12a"/>
      </w:pPr>
      <w:r w:rsidRPr="001D7E09">
        <w:t>3.</w:t>
      </w:r>
      <w:r w:rsidRPr="001D7E09">
        <w:tab/>
        <w:t>nalaže svojoj predsjednici da ovu Odluku i Rezoluciju, koja je njezin sastavni dio, proslijedi izvršnoj direktorici Agencije Europske unije za suradnju tijela za izvršavanje zakonodavstva (</w:t>
      </w:r>
      <w:proofErr w:type="spellStart"/>
      <w:r w:rsidRPr="001D7E09">
        <w:t>Europol</w:t>
      </w:r>
      <w:proofErr w:type="spellEnd"/>
      <w:r w:rsidRPr="001D7E09">
        <w:t xml:space="preserve">), Vijeću, Komisiji i Revizorskom sudu te da ih da na objavu u </w:t>
      </w:r>
      <w:r w:rsidRPr="001D7E09">
        <w:rPr>
          <w:i/>
        </w:rPr>
        <w:t>Službenom listu Europske unije</w:t>
      </w:r>
      <w:r w:rsidRPr="001D7E09">
        <w:t xml:space="preserve"> (serija L).</w:t>
      </w:r>
    </w:p>
    <w:p w:rsidR="003305CA" w:rsidRPr="001D7E09" w:rsidRDefault="003305CA" w:rsidP="003305CA"/>
    <w:p w:rsidR="003305CA" w:rsidRPr="001D7E09" w:rsidRDefault="003305CA" w:rsidP="003305CA">
      <w:pPr>
        <w:pStyle w:val="PageHeading"/>
        <w:sectPr w:rsidR="003305CA" w:rsidRPr="001D7E09" w:rsidSect="001D7E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305CA" w:rsidRPr="00E12288" w:rsidRDefault="00E12288" w:rsidP="00E12288">
      <w:pPr>
        <w:pStyle w:val="PageHeading"/>
        <w:jc w:val="left"/>
        <w:rPr>
          <w:rFonts w:ascii="Times New Roman" w:hAnsi="Times New Roman" w:cs="Times New Roman"/>
        </w:rPr>
      </w:pPr>
      <w:bookmarkStart w:id="9" w:name="_Toc161931129"/>
      <w:r w:rsidRPr="00E12288">
        <w:rPr>
          <w:rFonts w:ascii="Times New Roman" w:hAnsi="Times New Roman" w:cs="Times New Roman"/>
        </w:rPr>
        <w:lastRenderedPageBreak/>
        <w:t>2. Odluk</w:t>
      </w:r>
      <w:r>
        <w:rPr>
          <w:rFonts w:ascii="Times New Roman" w:hAnsi="Times New Roman" w:cs="Times New Roman"/>
        </w:rPr>
        <w:t>a E</w:t>
      </w:r>
      <w:r w:rsidRPr="00E12288">
        <w:rPr>
          <w:rFonts w:ascii="Times New Roman" w:hAnsi="Times New Roman" w:cs="Times New Roman"/>
        </w:rPr>
        <w:t>uropskog parlamenta</w:t>
      </w:r>
      <w:bookmarkEnd w:id="9"/>
      <w:r w:rsidRPr="00E12288">
        <w:rPr>
          <w:rFonts w:ascii="Times New Roman" w:hAnsi="Times New Roman" w:cs="Times New Roman"/>
        </w:rPr>
        <w:t xml:space="preserve"> od 11. travnja 2024. </w:t>
      </w:r>
      <w:r w:rsidR="003305CA" w:rsidRPr="00E12288">
        <w:rPr>
          <w:rFonts w:ascii="Times New Roman" w:hAnsi="Times New Roman" w:cs="Times New Roman"/>
        </w:rPr>
        <w:t>o zaključenju poslovnih knjiga Agencije Europske unije za suradnju tijela za izvršavanje zakonodavstva (</w:t>
      </w:r>
      <w:proofErr w:type="spellStart"/>
      <w:r w:rsidR="003305CA" w:rsidRPr="00E12288">
        <w:rPr>
          <w:rFonts w:ascii="Times New Roman" w:hAnsi="Times New Roman" w:cs="Times New Roman"/>
        </w:rPr>
        <w:t>Europol</w:t>
      </w:r>
      <w:proofErr w:type="spellEnd"/>
      <w:r w:rsidR="003305CA" w:rsidRPr="00E12288">
        <w:rPr>
          <w:rFonts w:ascii="Times New Roman" w:hAnsi="Times New Roman" w:cs="Times New Roman"/>
        </w:rPr>
        <w:t>) za financijsku godinu 2022.</w:t>
      </w:r>
      <w:r w:rsidRPr="00E12288">
        <w:rPr>
          <w:rFonts w:ascii="Times New Roman" w:hAnsi="Times New Roman" w:cs="Times New Roman"/>
        </w:rPr>
        <w:t xml:space="preserve"> </w:t>
      </w:r>
      <w:r w:rsidR="003305CA" w:rsidRPr="00E12288">
        <w:rPr>
          <w:rFonts w:ascii="Times New Roman" w:hAnsi="Times New Roman" w:cs="Times New Roman"/>
        </w:rPr>
        <w:t>(2023/2169(DEC))</w:t>
      </w:r>
    </w:p>
    <w:p w:rsidR="003305CA" w:rsidRPr="001D7E09" w:rsidRDefault="003305CA" w:rsidP="003305CA">
      <w:pPr>
        <w:pStyle w:val="EPComma"/>
      </w:pPr>
      <w:r w:rsidRPr="001D7E09">
        <w:rPr>
          <w:i/>
        </w:rPr>
        <w:t>Europski parlament</w:t>
      </w:r>
      <w:r w:rsidRPr="001D7E09">
        <w:t>,</w:t>
      </w:r>
    </w:p>
    <w:p w:rsidR="003305CA" w:rsidRPr="001D7E09" w:rsidRDefault="003305CA" w:rsidP="003305CA">
      <w:pPr>
        <w:pStyle w:val="NormalHanging12a"/>
      </w:pPr>
      <w:r w:rsidRPr="001D7E09">
        <w:t>–</w:t>
      </w:r>
      <w:r w:rsidRPr="001D7E09">
        <w:tab/>
        <w:t>uzimajući u obzir završnu godišnju računovodstvenu dokumentaciju Agencije Europske unije za suradnju tijela za izvršavanje zakonodavstva (</w:t>
      </w:r>
      <w:proofErr w:type="spellStart"/>
      <w:r w:rsidRPr="001D7E09">
        <w:t>Europol</w:t>
      </w:r>
      <w:proofErr w:type="spellEnd"/>
      <w:r w:rsidRPr="001D7E09">
        <w:t>) za financijsku godinu 2022.,</w:t>
      </w:r>
    </w:p>
    <w:p w:rsidR="003305CA" w:rsidRPr="001D7E09" w:rsidRDefault="003305CA" w:rsidP="003305CA">
      <w:pPr>
        <w:pStyle w:val="NormalHanging12a"/>
      </w:pPr>
      <w:r w:rsidRPr="001D7E09">
        <w:t>–</w:t>
      </w:r>
      <w:r w:rsidRPr="001D7E09">
        <w:tab/>
        <w:t>uzimajući u obzir godišnje izvješće Revizorskog suda o agencijama EU-a za financijsku godinu 2022., kojemu su priloženi odgovori agencija</w:t>
      </w:r>
      <w:r w:rsidRPr="001D7E09">
        <w:rPr>
          <w:rStyle w:val="FootnoteReference"/>
        </w:rPr>
        <w:footnoteReference w:id="6"/>
      </w:r>
      <w:r w:rsidRPr="001D7E09">
        <w:t>,</w:t>
      </w:r>
    </w:p>
    <w:p w:rsidR="003305CA" w:rsidRPr="001D7E09" w:rsidRDefault="003305CA" w:rsidP="003305CA">
      <w:pPr>
        <w:pStyle w:val="NormalHanging12a"/>
      </w:pPr>
      <w:r w:rsidRPr="001D7E09">
        <w:t>–</w:t>
      </w:r>
      <w:r w:rsidRPr="001D7E09">
        <w:tab/>
        <w:t>uzimajući u obzir izjavu o jamstvu</w:t>
      </w:r>
      <w:r w:rsidRPr="001D7E09">
        <w:rPr>
          <w:rStyle w:val="FootnoteReference"/>
        </w:rPr>
        <w:footnoteReference w:id="7"/>
      </w:r>
      <w:r w:rsidRPr="001D7E09">
        <w:t xml:space="preserve"> u pogledu pouzdanosti računovodstvene dokumentacije te zakonitosti i pravilnosti temeljnih transakcija koju je u skladu s člankom 287. Ugovora o funkcioniranju Europske unije Revizorski sud podnio za financijsku godinu 2022.,</w:t>
      </w:r>
    </w:p>
    <w:p w:rsidR="003305CA" w:rsidRPr="001D7E09" w:rsidRDefault="003305CA" w:rsidP="003305CA">
      <w:pPr>
        <w:pStyle w:val="NormalHanging12a"/>
      </w:pPr>
      <w:r w:rsidRPr="001D7E09">
        <w:t>–</w:t>
      </w:r>
      <w:r w:rsidRPr="001D7E09">
        <w:tab/>
        <w:t>uzimajući u obzir preporuku Vijeća od 22. veljače 2024. o razrješnici koju Agencija treba dobiti za izvršenje proračuna za financijsku godinu 2022. (</w:t>
      </w:r>
      <w:r w:rsidR="00E12288" w:rsidRPr="00755569">
        <w:t>0</w:t>
      </w:r>
      <w:r w:rsidR="00E12288" w:rsidRPr="00E12288">
        <w:rPr>
          <w:lang w:val="bg-BG"/>
        </w:rPr>
        <w:t>6180</w:t>
      </w:r>
      <w:r w:rsidR="00E12288">
        <w:t>/2024 – C9</w:t>
      </w:r>
      <w:r w:rsidR="00E12288">
        <w:noBreakHyphen/>
        <w:t>0107</w:t>
      </w:r>
      <w:r w:rsidRPr="001D7E09">
        <w:t>/2024),</w:t>
      </w:r>
    </w:p>
    <w:p w:rsidR="003305CA" w:rsidRPr="001D7E09" w:rsidRDefault="003305CA" w:rsidP="003305CA">
      <w:pPr>
        <w:pStyle w:val="NormalHanging12a"/>
      </w:pPr>
      <w:r w:rsidRPr="001D7E09">
        <w:t>–</w:t>
      </w:r>
      <w:r w:rsidRPr="001D7E09">
        <w:tab/>
        <w:t>uzimajući u obzir članak 319. Ugovora o funkcioniranju Europske unije,</w:t>
      </w:r>
    </w:p>
    <w:p w:rsidR="003305CA" w:rsidRPr="001D7E09" w:rsidRDefault="003305CA" w:rsidP="003305CA">
      <w:pPr>
        <w:pStyle w:val="NormalHanging12a"/>
      </w:pPr>
      <w:r w:rsidRPr="001D7E09">
        <w:t>–</w:t>
      </w:r>
      <w:r w:rsidRPr="001D7E09">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1D7E09">
        <w:rPr>
          <w:rStyle w:val="FootnoteReference"/>
        </w:rPr>
        <w:footnoteReference w:id="8"/>
      </w:r>
      <w:r w:rsidRPr="001D7E09">
        <w:t>, a posebno njezin članak 70.,</w:t>
      </w:r>
    </w:p>
    <w:p w:rsidR="003305CA" w:rsidRPr="001D7E09" w:rsidRDefault="003305CA" w:rsidP="003305CA">
      <w:pPr>
        <w:pStyle w:val="NormalHanging12a"/>
      </w:pPr>
      <w:r w:rsidRPr="001D7E09">
        <w:t>–</w:t>
      </w:r>
      <w:r w:rsidRPr="001D7E09">
        <w:tab/>
        <w:t>uzimajući u obzir Uredbu (EU) 2016/794 Europskog parlamenta i Vijeća od 11. svibnja 2016. o Agenciji Europske unije za suradnju tijela za izvršavanje zakonodavstva (</w:t>
      </w:r>
      <w:proofErr w:type="spellStart"/>
      <w:r w:rsidRPr="001D7E09">
        <w:t>Europol</w:t>
      </w:r>
      <w:proofErr w:type="spellEnd"/>
      <w:r w:rsidRPr="001D7E09">
        <w:t>) te zamjeni i stavljanju izvan snage odluka Vijeća 2009/371/PUP, 2009/934/PUP, 2009/935/PUP, 2009/936/PUP i 2009/968/PUP</w:t>
      </w:r>
      <w:r w:rsidRPr="001D7E09">
        <w:rPr>
          <w:rStyle w:val="FootnoteReference"/>
        </w:rPr>
        <w:footnoteReference w:id="9"/>
      </w:r>
      <w:r w:rsidRPr="001D7E09">
        <w:t>, a posebno njezin članak 60.,</w:t>
      </w:r>
    </w:p>
    <w:p w:rsidR="003305CA" w:rsidRPr="001D7E09" w:rsidRDefault="003305CA" w:rsidP="003305CA">
      <w:pPr>
        <w:pStyle w:val="NormalHanging12a"/>
      </w:pPr>
      <w:r w:rsidRPr="001D7E09">
        <w:t>–</w:t>
      </w:r>
      <w:r w:rsidRPr="001D7E09">
        <w:tab/>
        <w:t xml:space="preserve">uzimajući u obzir Delegiranu uredbu Komisije (EU) 2019/715 od 18. prosinca 2018. o okvirnoj financijskoj uredbi za tijela osnovana na temelju Ugovora o funkcioniranju Europske unije i Ugovora o </w:t>
      </w:r>
      <w:proofErr w:type="spellStart"/>
      <w:r w:rsidRPr="001D7E09">
        <w:t>Euratomu</w:t>
      </w:r>
      <w:proofErr w:type="spellEnd"/>
      <w:r w:rsidRPr="001D7E09">
        <w:t xml:space="preserve"> na koja se upućuje u članku 70. Uredbe (EU, Euratom) 2018/1046 Europskog parlamenta i Vijeća</w:t>
      </w:r>
      <w:r w:rsidRPr="001D7E09">
        <w:rPr>
          <w:rStyle w:val="FootnoteReference"/>
        </w:rPr>
        <w:footnoteReference w:id="10"/>
      </w:r>
      <w:r w:rsidRPr="001D7E09">
        <w:t>, a posebno njezin članak 105.,</w:t>
      </w:r>
    </w:p>
    <w:p w:rsidR="003305CA" w:rsidRPr="001D7E09" w:rsidRDefault="003305CA" w:rsidP="003305CA">
      <w:pPr>
        <w:pStyle w:val="NormalHanging12a"/>
      </w:pPr>
      <w:r w:rsidRPr="001D7E09">
        <w:t>–</w:t>
      </w:r>
      <w:r w:rsidRPr="001D7E09">
        <w:tab/>
        <w:t>uzimajući u obzir članak 100. Poslovnika i Prilog V. Poslovniku,</w:t>
      </w:r>
    </w:p>
    <w:p w:rsidR="003305CA" w:rsidRPr="001D7E09" w:rsidRDefault="003305CA" w:rsidP="003305CA">
      <w:pPr>
        <w:pStyle w:val="NormalHanging12a"/>
      </w:pPr>
      <w:r w:rsidRPr="001D7E09">
        <w:t>–</w:t>
      </w:r>
      <w:r w:rsidRPr="001D7E09">
        <w:tab/>
        <w:t xml:space="preserve">uzimajući u obzir mišljenje Odbora za građanske slobode, pravosuđe i unutarnje </w:t>
      </w:r>
      <w:r w:rsidRPr="001D7E09">
        <w:lastRenderedPageBreak/>
        <w:t>poslove,</w:t>
      </w:r>
    </w:p>
    <w:p w:rsidR="003305CA" w:rsidRPr="001D7E09" w:rsidRDefault="003305CA" w:rsidP="003305CA">
      <w:pPr>
        <w:pStyle w:val="NormalHanging12a"/>
      </w:pPr>
      <w:r w:rsidRPr="001D7E09">
        <w:t>–</w:t>
      </w:r>
      <w:r w:rsidRPr="001D7E09">
        <w:tab/>
        <w:t>uzimajući u obzir izvješće Odbora za proračunski nadzor (A9</w:t>
      </w:r>
      <w:r w:rsidRPr="001D7E09">
        <w:noBreakHyphen/>
        <w:t>0119/2024),</w:t>
      </w:r>
    </w:p>
    <w:p w:rsidR="003305CA" w:rsidRPr="001D7E09" w:rsidRDefault="003305CA" w:rsidP="003305CA">
      <w:pPr>
        <w:pStyle w:val="NormalHanging12a"/>
      </w:pPr>
      <w:r w:rsidRPr="001D7E09">
        <w:t>1.</w:t>
      </w:r>
      <w:r w:rsidRPr="001D7E09">
        <w:tab/>
        <w:t>odobrava zaključenje poslovnih knjiga Agencije Europske unije za suradnju tijela za izvršavanje zakonodavstva (</w:t>
      </w:r>
      <w:proofErr w:type="spellStart"/>
      <w:r w:rsidRPr="001D7E09">
        <w:t>Europol</w:t>
      </w:r>
      <w:proofErr w:type="spellEnd"/>
      <w:r w:rsidRPr="001D7E09">
        <w:t>) za financijsku godinu 2022.;</w:t>
      </w:r>
    </w:p>
    <w:p w:rsidR="003305CA" w:rsidRPr="001D7E09" w:rsidRDefault="003305CA" w:rsidP="003305CA">
      <w:pPr>
        <w:pStyle w:val="NormalHanging12a"/>
      </w:pPr>
      <w:r w:rsidRPr="001D7E09">
        <w:t>2.</w:t>
      </w:r>
      <w:r w:rsidRPr="001D7E09">
        <w:tab/>
        <w:t>nalaže svojoj predsjednici da ovu Odluku proslijedi izvršnoj direktorici Agencije Europske unije za suradnju tijela za izvršavanje zakonodavstva (</w:t>
      </w:r>
      <w:proofErr w:type="spellStart"/>
      <w:r w:rsidRPr="001D7E09">
        <w:t>Europol</w:t>
      </w:r>
      <w:proofErr w:type="spellEnd"/>
      <w:r w:rsidRPr="001D7E09">
        <w:t xml:space="preserve">), Vijeću, Komisiji i Revizorskom sudu te da je da na objavu u </w:t>
      </w:r>
      <w:r w:rsidRPr="001D7E09">
        <w:rPr>
          <w:i/>
        </w:rPr>
        <w:t>Službenom listu Europske unije</w:t>
      </w:r>
      <w:r w:rsidRPr="001D7E09">
        <w:t xml:space="preserve"> (serija L).</w:t>
      </w:r>
    </w:p>
    <w:p w:rsidR="003305CA" w:rsidRPr="001D7E09" w:rsidRDefault="003305CA" w:rsidP="003305CA"/>
    <w:p w:rsidR="003305CA" w:rsidRPr="001D7E09" w:rsidRDefault="003305CA" w:rsidP="003305CA">
      <w:pPr>
        <w:pStyle w:val="PageHeading"/>
        <w:sectPr w:rsidR="003305CA" w:rsidRPr="001D7E09" w:rsidSect="001D7E09">
          <w:footnotePr>
            <w:numRestart w:val="eachPage"/>
          </w:footnotePr>
          <w:endnotePr>
            <w:numFmt w:val="decimal"/>
          </w:endnotePr>
          <w:pgSz w:w="11906" w:h="16838" w:code="9"/>
          <w:pgMar w:top="1134" w:right="1418" w:bottom="1418" w:left="1418" w:header="567" w:footer="567" w:gutter="0"/>
          <w:cols w:space="720"/>
          <w:noEndnote/>
          <w:docGrid w:linePitch="326"/>
        </w:sectPr>
      </w:pPr>
    </w:p>
    <w:p w:rsidR="003305CA" w:rsidRPr="00E12288" w:rsidRDefault="00E12288" w:rsidP="00E12288">
      <w:pPr>
        <w:pStyle w:val="PageHeading"/>
        <w:jc w:val="left"/>
        <w:rPr>
          <w:rFonts w:ascii="Times New Roman" w:hAnsi="Times New Roman" w:cs="Times New Roman"/>
        </w:rPr>
      </w:pPr>
      <w:bookmarkStart w:id="10" w:name="_Toc161931130"/>
      <w:r w:rsidRPr="00E12288">
        <w:rPr>
          <w:rFonts w:ascii="Times New Roman" w:hAnsi="Times New Roman" w:cs="Times New Roman"/>
        </w:rPr>
        <w:lastRenderedPageBreak/>
        <w:t>3. Rezolucija Europskog parlamenta</w:t>
      </w:r>
      <w:bookmarkEnd w:id="10"/>
      <w:r w:rsidRPr="00E12288">
        <w:rPr>
          <w:rFonts w:ascii="Times New Roman" w:hAnsi="Times New Roman" w:cs="Times New Roman"/>
        </w:rPr>
        <w:t xml:space="preserve"> od 1</w:t>
      </w:r>
      <w:r>
        <w:rPr>
          <w:rFonts w:ascii="Times New Roman" w:hAnsi="Times New Roman" w:cs="Times New Roman"/>
        </w:rPr>
        <w:t>1</w:t>
      </w:r>
      <w:r w:rsidRPr="00E12288">
        <w:rPr>
          <w:rFonts w:ascii="Times New Roman" w:hAnsi="Times New Roman" w:cs="Times New Roman"/>
        </w:rPr>
        <w:t xml:space="preserve">. travnja 2024. </w:t>
      </w:r>
      <w:r w:rsidR="003305CA" w:rsidRPr="00E12288">
        <w:rPr>
          <w:rFonts w:ascii="Times New Roman" w:hAnsi="Times New Roman" w:cs="Times New Roman"/>
        </w:rPr>
        <w:t>s primjedbama koje su sastavni dio Odluke o razrješnici za izvršenje proračuna Agencije Europske unije za suradnju tijela za izvršavanje zakonodavstva (</w:t>
      </w:r>
      <w:proofErr w:type="spellStart"/>
      <w:r w:rsidR="003305CA" w:rsidRPr="00E12288">
        <w:rPr>
          <w:rFonts w:ascii="Times New Roman" w:hAnsi="Times New Roman" w:cs="Times New Roman"/>
        </w:rPr>
        <w:t>Europol</w:t>
      </w:r>
      <w:proofErr w:type="spellEnd"/>
      <w:r w:rsidR="003305CA" w:rsidRPr="00E12288">
        <w:rPr>
          <w:rFonts w:ascii="Times New Roman" w:hAnsi="Times New Roman" w:cs="Times New Roman"/>
        </w:rPr>
        <w:t>) za financijsku godinu 2022.</w:t>
      </w:r>
      <w:r w:rsidRPr="00E12288">
        <w:rPr>
          <w:rFonts w:ascii="Times New Roman" w:hAnsi="Times New Roman" w:cs="Times New Roman"/>
        </w:rPr>
        <w:t xml:space="preserve"> </w:t>
      </w:r>
      <w:r w:rsidR="003305CA" w:rsidRPr="00E12288">
        <w:rPr>
          <w:rFonts w:ascii="Times New Roman" w:hAnsi="Times New Roman" w:cs="Times New Roman"/>
        </w:rPr>
        <w:t>(2023/2169(DEC))</w:t>
      </w:r>
    </w:p>
    <w:p w:rsidR="003305CA" w:rsidRPr="001D7E09" w:rsidRDefault="003305CA" w:rsidP="003305CA">
      <w:pPr>
        <w:pStyle w:val="EPComma"/>
      </w:pPr>
      <w:r w:rsidRPr="001D7E09">
        <w:rPr>
          <w:i/>
        </w:rPr>
        <w:t>Europski parlament</w:t>
      </w:r>
      <w:r w:rsidRPr="001D7E09">
        <w:t>,</w:t>
      </w:r>
    </w:p>
    <w:p w:rsidR="003305CA" w:rsidRPr="001D7E09" w:rsidRDefault="003305CA" w:rsidP="003305CA">
      <w:pPr>
        <w:pStyle w:val="NormalHanging12a"/>
      </w:pPr>
      <w:r w:rsidRPr="001D7E09">
        <w:t>–</w:t>
      </w:r>
      <w:r w:rsidRPr="001D7E09">
        <w:tab/>
        <w:t>uzimajući u obzir svoju Odluku o razrješnici za izvršenje proračuna Agencije Europske unije za suradnju tijela za izvršavanje zakonodavstva (</w:t>
      </w:r>
      <w:proofErr w:type="spellStart"/>
      <w:r w:rsidRPr="001D7E09">
        <w:t>Europol</w:t>
      </w:r>
      <w:proofErr w:type="spellEnd"/>
      <w:r w:rsidRPr="001D7E09">
        <w:t>) za financijsku godinu 2022.,</w:t>
      </w:r>
    </w:p>
    <w:p w:rsidR="003305CA" w:rsidRPr="001D7E09" w:rsidRDefault="003305CA" w:rsidP="003305CA">
      <w:pPr>
        <w:pStyle w:val="NormalHanging12a"/>
      </w:pPr>
      <w:r w:rsidRPr="001D7E09">
        <w:t>–</w:t>
      </w:r>
      <w:r w:rsidRPr="001D7E09">
        <w:tab/>
        <w:t>uzimajući u obzir članak 100. Poslovnika i Prilog V. Poslovniku,</w:t>
      </w:r>
    </w:p>
    <w:p w:rsidR="003305CA" w:rsidRPr="001D7E09" w:rsidRDefault="003305CA" w:rsidP="003305CA">
      <w:pPr>
        <w:pStyle w:val="NormalHanging12a"/>
      </w:pPr>
      <w:r w:rsidRPr="001D7E09">
        <w:t>–</w:t>
      </w:r>
      <w:r w:rsidRPr="001D7E09">
        <w:tab/>
        <w:t>uzimajući u obzir mišljenje Odbora za građanske slobode, pravosuđe i unutarnje poslove,</w:t>
      </w:r>
    </w:p>
    <w:p w:rsidR="003305CA" w:rsidRPr="001D7E09" w:rsidRDefault="003305CA" w:rsidP="003305CA">
      <w:pPr>
        <w:pStyle w:val="NormalHanging12a"/>
      </w:pPr>
      <w:r w:rsidRPr="001D7E09">
        <w:t>–</w:t>
      </w:r>
      <w:r w:rsidRPr="001D7E09">
        <w:tab/>
        <w:t>uzimajući u obzir izvješće Odbora za proračunski nadzor (A9</w:t>
      </w:r>
      <w:r w:rsidRPr="001D7E09">
        <w:noBreakHyphen/>
        <w:t>0119/2024),</w:t>
      </w:r>
    </w:p>
    <w:p w:rsidR="003305CA" w:rsidRPr="001D7E09" w:rsidRDefault="003305CA" w:rsidP="003305CA">
      <w:pPr>
        <w:pStyle w:val="Normal12Hanging"/>
        <w:widowControl/>
        <w:rPr>
          <w:szCs w:val="24"/>
        </w:rPr>
      </w:pPr>
      <w:r w:rsidRPr="001D7E09">
        <w:t>A.</w:t>
      </w:r>
      <w:r w:rsidRPr="001D7E09">
        <w:tab/>
        <w:t>budući da je, prema njezinu izvještaju o prihodima i rashodima</w:t>
      </w:r>
      <w:r w:rsidRPr="001D7E09">
        <w:rPr>
          <w:szCs w:val="24"/>
          <w:vertAlign w:val="superscript"/>
        </w:rPr>
        <w:footnoteReference w:id="11"/>
      </w:r>
      <w:r w:rsidRPr="001D7E09">
        <w:t>, konačni proračun Agencije Europske unije za suradnju tijela za izvršavanje zakonodavstva (</w:t>
      </w:r>
      <w:proofErr w:type="spellStart"/>
      <w:r w:rsidRPr="001D7E09">
        <w:t>Europol</w:t>
      </w:r>
      <w:proofErr w:type="spellEnd"/>
      <w:r w:rsidRPr="001D7E09">
        <w:t>) (dalje u tekstu „Agencija”) za financijsku godinu 2022. iznosio 197 759 722 EUR, što predstavlja povećanje od 10,91 % u odnosu na 2021.; budući da se proračun Agencije uglavnom financira iz proračuna Unije;</w:t>
      </w:r>
    </w:p>
    <w:p w:rsidR="003305CA" w:rsidRPr="001D7E09" w:rsidRDefault="003305CA" w:rsidP="003305CA">
      <w:pPr>
        <w:pStyle w:val="Normal12Hanging"/>
        <w:widowControl/>
        <w:rPr>
          <w:szCs w:val="24"/>
        </w:rPr>
      </w:pPr>
      <w:r w:rsidRPr="001D7E09">
        <w:t>B.</w:t>
      </w:r>
      <w:r w:rsidRPr="001D7E09">
        <w:tab/>
        <w:t>budući da Revizorski sud u svojem izvješću o godišnjoj računovodstvenoj dokumentaciji Agencije Europske unije za suradnju tijela za izvršavanje zakonodavstva (</w:t>
      </w:r>
      <w:proofErr w:type="spellStart"/>
      <w:r w:rsidRPr="001D7E09">
        <w:t>Europol</w:t>
      </w:r>
      <w:proofErr w:type="spellEnd"/>
      <w:r w:rsidRPr="001D7E09">
        <w:t>) za financijsku godinu 2022. („izvješće Revizorskog suda”) navodi da je dobio razumno jamstvo da je godišnja računovodstvena dokumentacija Agencije pouzdana te da su temeljne transakcije zakonite i pravilne;</w:t>
      </w:r>
    </w:p>
    <w:p w:rsidR="003305CA" w:rsidRPr="001D7E09" w:rsidRDefault="003305CA" w:rsidP="003305CA">
      <w:pPr>
        <w:pStyle w:val="Normal12Hanging"/>
        <w:widowControl/>
        <w:rPr>
          <w:b/>
          <w:i/>
          <w:szCs w:val="24"/>
        </w:rPr>
      </w:pPr>
      <w:r w:rsidRPr="001D7E09">
        <w:rPr>
          <w:b/>
          <w:i/>
        </w:rPr>
        <w:t>Proračunsko i financijsko upravljanje</w:t>
      </w:r>
    </w:p>
    <w:p w:rsidR="003305CA" w:rsidRPr="001D7E09" w:rsidRDefault="003305CA" w:rsidP="003305CA">
      <w:pPr>
        <w:pStyle w:val="NormalHanging12a"/>
      </w:pPr>
      <w:r w:rsidRPr="001D7E09">
        <w:t>1.</w:t>
      </w:r>
      <w:r w:rsidRPr="001D7E09">
        <w:tab/>
        <w:t>prima na znanje da je praćenje proračuna 2022. rezultiralo stopom izvršenja proračuna od 96,62 % za odobrena sredstva za preuzimanje obveza, što je smanjenje od 2,10 % u odnosu na 2021.; prima na znanje da je stopa izvršenja odobrenih sredstava za plaćanje za tekuću godinu iznosila 79,73 %, što je smanjenje od 3,78 % u odnosu na 2021.; pohvaljuje napore Agencije da dodatno smanji kašnjenja u plaćanjima s 32,8 % 2020. i 7,8 % 2021. na 7,2 % 2022.;</w:t>
      </w:r>
      <w:r w:rsidRPr="001D7E09">
        <w:rPr>
          <w:b/>
          <w:i/>
        </w:rPr>
        <w:t xml:space="preserve"> </w:t>
      </w:r>
      <w:r w:rsidRPr="001D7E09">
        <w:t>međutim, sa zabrinutošću prima na znanje da je još uvijek aktualno opažanje Revizorskog suda u kojem se naglašava da se Agencija suočava s izazovima u vezi sa zakašnjelim plaćanjima; dijeli mišljenje Revizorskog suda da zbog tog opetovanog nedostatka Agenciji prijeti narušavanje ugleda;</w:t>
      </w:r>
    </w:p>
    <w:p w:rsidR="003305CA" w:rsidRPr="001D7E09" w:rsidRDefault="003305CA" w:rsidP="003305CA">
      <w:pPr>
        <w:pStyle w:val="Normal12Hanging"/>
        <w:widowControl/>
        <w:rPr>
          <w:szCs w:val="24"/>
        </w:rPr>
      </w:pPr>
      <w:r w:rsidRPr="001D7E09">
        <w:t>2.</w:t>
      </w:r>
      <w:r w:rsidRPr="001D7E09">
        <w:tab/>
        <w:t xml:space="preserve">prima na znanje nisku stopu izvršenja (85 %) sredstava prenesenih iz 2021. u 2022., što je dovelo do neiskorištenog iznosa od 3,8 milijuna EUR odobrenih sredstava; sa zabrinutošću primjećuje da su odobrena sredstva povezana s trenutačnim proračunom prenesena iz 2022. u 2023. na relativno visokoj razini od 17 % odnosno 32,5 milijuna EUR; nadalje primjećuje da se višak (proračunski rezultat) Agencije posljednjih godina (2020. – 2022.) povećao na kraju financijske godine te da je 2022. iznosio 10,3 milijuna EUR, što je više nego dvostruko više od iznosa 2021. </w:t>
      </w:r>
      <w:r w:rsidRPr="001D7E09">
        <w:lastRenderedPageBreak/>
        <w:t>(5,1 milijun EUR); prima na znanje, iz konsolidiranog godišnjeg izvješća o radu Agencije za 2022. i izvješća Agencije s mjerama poduzetima na temelju odluke Parlamenta o razrješnici za izvršenje proračuna Agencije za 2021., da je Agencija ocijenila temeljne uzroke visokih razina viška na kraju financijske godine i uspješnost izvršenja proračuna s obzirom na prijenos; u tom smislu prima na znanje da je Agencija pripremila i akcijski plan; poziva Agenciju da o napretku u vezi s time redovito obavještava tijelo nadležno za davanje razrješnice;</w:t>
      </w:r>
    </w:p>
    <w:p w:rsidR="003305CA" w:rsidRPr="001D7E09" w:rsidRDefault="003305CA" w:rsidP="003305CA">
      <w:pPr>
        <w:pStyle w:val="Normal12Hanging"/>
        <w:widowControl/>
        <w:rPr>
          <w:szCs w:val="24"/>
        </w:rPr>
      </w:pPr>
      <w:r w:rsidRPr="001D7E09">
        <w:t>3.</w:t>
      </w:r>
      <w:r w:rsidRPr="001D7E09">
        <w:tab/>
        <w:t>prima na znanje da je konačni proračun Agencije za 2022. rezultat prve izmjene od 4,3 milijuna EUR za doprinos Danske za 2022. i druge izmjene od 1,1 milijuna EUR za sporazume o doprinosu i sporazume na razini usluga;</w:t>
      </w:r>
    </w:p>
    <w:p w:rsidR="003305CA" w:rsidRPr="001D7E09" w:rsidRDefault="003305CA" w:rsidP="003305CA">
      <w:pPr>
        <w:pStyle w:val="Normal12Hanging"/>
        <w:widowControl/>
        <w:rPr>
          <w:b/>
          <w:i/>
          <w:szCs w:val="24"/>
        </w:rPr>
      </w:pPr>
      <w:r w:rsidRPr="001D7E09">
        <w:rPr>
          <w:b/>
          <w:i/>
        </w:rPr>
        <w:t>Uspješnost</w:t>
      </w:r>
    </w:p>
    <w:p w:rsidR="003305CA" w:rsidRPr="001D7E09" w:rsidRDefault="003305CA" w:rsidP="003305CA">
      <w:pPr>
        <w:pStyle w:val="Normal12Hanging"/>
        <w:widowControl/>
        <w:rPr>
          <w:szCs w:val="24"/>
        </w:rPr>
      </w:pPr>
      <w:r w:rsidRPr="001D7E09">
        <w:t>4.</w:t>
      </w:r>
      <w:r w:rsidRPr="001D7E09">
        <w:tab/>
        <w:t xml:space="preserve">sa zadovoljstvom prima na znanje iz konsolidiranog godišnjeg izvješća o radu da Agencija primjenjuje određene mjere kao ključne pokazatelje uspješnosti i pokazatelje programa rada kako bi procijenila dodane vrijednosti svojih aktivnosti i druge mjere za poboljšanje upravljanja proračunom tijekom 2022.; prima na znanje da je Agencija pratila 15 ključnih pokazatelja uspješnosti i 56 pokazatelja programa rada; prima na znanje da je 10 ključnih pokazatelja uspješnosti i 40 pokazatelja programa rada postiglo ili premašilo postavljene ciljeve; u tom kontekstu cijeni povećanje nekih ključnih pokazatelja uspješnosti u odnosu na prethodne godine u pogledu broja operacija (2758) i broja dana aktivnosti (394) koje podupire Agencija, kao i u pogledu broja pretraživanja u EIS-u (informacijskom sustavu </w:t>
      </w:r>
      <w:proofErr w:type="spellStart"/>
      <w:r w:rsidRPr="001D7E09">
        <w:t>Europola</w:t>
      </w:r>
      <w:proofErr w:type="spellEnd"/>
      <w:r w:rsidRPr="001D7E09">
        <w:t xml:space="preserve">) i QUEST-a (sustavu za slanje upita </w:t>
      </w:r>
      <w:proofErr w:type="spellStart"/>
      <w:r w:rsidRPr="001D7E09">
        <w:t>Europolu</w:t>
      </w:r>
      <w:proofErr w:type="spellEnd"/>
      <w:r w:rsidRPr="001D7E09">
        <w:t>) (13 milijuna) te broja provjera prekograničnih kaznenih dijela u EIS-u povezanih s osobama (2339);</w:t>
      </w:r>
    </w:p>
    <w:p w:rsidR="003305CA" w:rsidRPr="001D7E09" w:rsidRDefault="003305CA" w:rsidP="003305CA">
      <w:pPr>
        <w:pStyle w:val="Normal12Hanging"/>
        <w:widowControl/>
        <w:rPr>
          <w:szCs w:val="24"/>
        </w:rPr>
      </w:pPr>
      <w:r w:rsidRPr="001D7E09">
        <w:t>5.</w:t>
      </w:r>
      <w:r w:rsidRPr="001D7E09">
        <w:tab/>
        <w:t xml:space="preserve">pohvaljuje veliki napredak Agencije u postizanju njezinih pet višegodišnjih strateških prioriteta utvrđenih u strategiji </w:t>
      </w:r>
      <w:proofErr w:type="spellStart"/>
      <w:r w:rsidRPr="001D7E09">
        <w:t>Europola</w:t>
      </w:r>
      <w:proofErr w:type="spellEnd"/>
      <w:r w:rsidRPr="001D7E09">
        <w:t xml:space="preserve"> 2020.+; posebno prima na znanje osnivanje Odjela za upravljanje informacijama (IMU), razvoj strategije IKT-a za koju se očekuje da će doprinijeti provedbi strategije Agencije u području upravljanja informacijama i provedbu novog poslovnog modela vrijednosti za praćenje napretka u provedbi IKT-a; prima na znanje da je </w:t>
      </w:r>
      <w:proofErr w:type="spellStart"/>
      <w:r w:rsidRPr="001D7E09">
        <w:t>Europolov</w:t>
      </w:r>
      <w:proofErr w:type="spellEnd"/>
      <w:r w:rsidRPr="001D7E09">
        <w:t xml:space="preserve"> laboratorij za inovacije postao dio IMU-a u strukturi za koju se očekuje da će dovesti do tješnje suradnje koja je potrebna za provedbu revidirane Uredbe o </w:t>
      </w:r>
      <w:proofErr w:type="spellStart"/>
      <w:r w:rsidRPr="001D7E09">
        <w:t>Europolu</w:t>
      </w:r>
      <w:proofErr w:type="spellEnd"/>
      <w:r w:rsidRPr="001D7E09">
        <w:t xml:space="preserve"> te da je uveden repozitorij alata </w:t>
      </w:r>
      <w:proofErr w:type="spellStart"/>
      <w:r w:rsidRPr="001D7E09">
        <w:t>Europola</w:t>
      </w:r>
      <w:proofErr w:type="spellEnd"/>
      <w:r w:rsidRPr="001D7E09">
        <w:t xml:space="preserve"> za potporu istraživanju i inovacijama u državama članicama, poticanje razmjene iskustava i promicanje sinergija; nadalje, prima na znanje pokretanje Odjela za digitalnu potporu, čiji je cilj učinkovit i djelotvoran odgovor na istražne potrebe država članica i unutar Agencije, posebno u pogledu složenih slučajeva za koje je potrebna digitalna forenzička potpora;</w:t>
      </w:r>
    </w:p>
    <w:p w:rsidR="003305CA" w:rsidRPr="001D7E09" w:rsidRDefault="003305CA" w:rsidP="003305CA">
      <w:pPr>
        <w:pStyle w:val="Normal12Hanging"/>
        <w:widowControl/>
      </w:pPr>
      <w:r w:rsidRPr="001D7E09">
        <w:t>6.</w:t>
      </w:r>
      <w:r w:rsidRPr="001D7E09">
        <w:tab/>
        <w:t xml:space="preserve">pohvaljuje brzu reakciju Agencije i njezinu potporu državama članicama u borbi protiv kriminala nakon nezakonite i ničim izazvane ruske invazije na Ukrajinu, primjerice raspoređivanjem stručnjaka i upućenih službenika za potporu lokalnim tijelima kaznenog progona u zemljama koje graniče s Ukrajinom ili podupiranjem financijskih istraga usmjerenih na imovinu stečenu kaznenim djelima u vlasništvu pojedinaca i pravnih subjekata sankcioniranih u kontekstu tog rata; nadalje, prima na znanje da je Agencija 2022. objavila nekoliko procjena prijetnji o mogućim posljedicama rata, kao i rana upozorenja i obavještajna izvješća o npr. trgovini oružjem i trgovini ljudima; ujedno potiče Agenciju da učini sve što je u njezinoj moći kako bi poduprla djelovanje Unije i država članica u tom području; prima na znanje da je nezakonita vojna invazija </w:t>
      </w:r>
      <w:r w:rsidRPr="001D7E09">
        <w:lastRenderedPageBreak/>
        <w:t>prouzročila humanitarnu krizu i potaknula velik broj izbjeglica da pobjegnu iz Ukrajine u Uniju, što znači da bi oportunističke kriminalne mreže mogle iskoristiti tu situaciju kako bi povećale svoje kriminalne aktivnosti; nadalje, napominje da bi proširenje nadležnosti Agencije u pogledu potpore državama članicama i suradnje s privatnim stranama, trećim zemljama i međunarodnim organizacijama zahtijevalo uspostavu dodatnih unutarnjih i vanjskih mehanizama nadzora kako bi se zajamčilo poštovanje prava Unije i osigurala zaštita temeljnih prava;</w:t>
      </w:r>
    </w:p>
    <w:p w:rsidR="003305CA" w:rsidRPr="001D7E09" w:rsidRDefault="003305CA" w:rsidP="003305CA">
      <w:pPr>
        <w:pStyle w:val="Normal12Hanging"/>
        <w:widowControl/>
      </w:pPr>
      <w:r w:rsidRPr="001D7E09">
        <w:t>7.</w:t>
      </w:r>
      <w:r w:rsidRPr="001D7E09">
        <w:tab/>
        <w:t xml:space="preserve">potvrđuje da je Agencija nastavila blisko surađivati s agencijom </w:t>
      </w:r>
      <w:proofErr w:type="spellStart"/>
      <w:r w:rsidRPr="001D7E09">
        <w:t>eu</w:t>
      </w:r>
      <w:proofErr w:type="spellEnd"/>
      <w:r w:rsidRPr="001D7E09">
        <w:t xml:space="preserve">-LISA na uspostavi automatiziranih provjera podataka iz zahtjeva za putovanja iz sustava EU-a za informacije o putovanjima i odobravanje putovanja (ETIAS) u odnosu na podatke </w:t>
      </w:r>
      <w:proofErr w:type="spellStart"/>
      <w:r w:rsidRPr="001D7E09">
        <w:t>Europola</w:t>
      </w:r>
      <w:proofErr w:type="spellEnd"/>
      <w:r w:rsidRPr="001D7E09">
        <w:t>; napominje da je odlukom Vijeća početak rada ETIAS-a odgođen za studeni 2023.; cijeni činjenicu da je Agencija 2022. proširila svoju suradnju s Uredom europskog javnog tužitelja (EPPO) te je do kraja godine poduprla 21 veliku operaciju EPPO-a u području poreznih prijevara;</w:t>
      </w:r>
    </w:p>
    <w:p w:rsidR="003305CA" w:rsidRPr="001D7E09" w:rsidRDefault="003305CA" w:rsidP="003305CA">
      <w:pPr>
        <w:pStyle w:val="NormalHanging12a"/>
        <w:widowControl/>
        <w:rPr>
          <w:b/>
          <w:i/>
          <w:szCs w:val="24"/>
        </w:rPr>
      </w:pPr>
      <w:r w:rsidRPr="001D7E09">
        <w:rPr>
          <w:b/>
          <w:i/>
        </w:rPr>
        <w:t>Učinkovitost i rezultati</w:t>
      </w:r>
    </w:p>
    <w:p w:rsidR="003305CA" w:rsidRPr="001D7E09" w:rsidRDefault="003305CA" w:rsidP="003305CA">
      <w:pPr>
        <w:pStyle w:val="Normal12Hanging"/>
        <w:widowControl/>
      </w:pPr>
      <w:r w:rsidRPr="001D7E09">
        <w:t>8.</w:t>
      </w:r>
      <w:r w:rsidRPr="001D7E09">
        <w:tab/>
        <w:t xml:space="preserve">sa zadovoljstvom prima na znanje da je Agencija revidirala svoju strategiju </w:t>
      </w:r>
      <w:proofErr w:type="spellStart"/>
      <w:r w:rsidRPr="001D7E09">
        <w:t>Europol</w:t>
      </w:r>
      <w:proofErr w:type="spellEnd"/>
      <w:r w:rsidRPr="001D7E09">
        <w:t xml:space="preserve"> 2020.+ i prilagodila svoje strateške prioritete trenutačnim operativnim potrebama država članica i sigurnosnim prijetnjama s kojima se suočavaju, čime se nastojala poboljšati učinkovitost Agencije; u tom smislu prima na znanje novi strateški prioritet povezivanja relevantnih partnera za prekograničnu suradnju i zajedničko djelovanje, uključujući zemlje pridružene </w:t>
      </w:r>
      <w:proofErr w:type="spellStart"/>
      <w:r w:rsidRPr="001D7E09">
        <w:t>schengenskom</w:t>
      </w:r>
      <w:proofErr w:type="spellEnd"/>
      <w:r w:rsidRPr="001D7E09">
        <w:t xml:space="preserve"> prostoru, Interpol i agencije Unije u području pravosuđa i unutarnjih poslova;</w:t>
      </w:r>
    </w:p>
    <w:p w:rsidR="003305CA" w:rsidRPr="001D7E09" w:rsidRDefault="003305CA" w:rsidP="003305CA">
      <w:pPr>
        <w:pStyle w:val="NormalHanging12a"/>
        <w:widowControl/>
        <w:rPr>
          <w:szCs w:val="24"/>
        </w:rPr>
      </w:pPr>
      <w:r w:rsidRPr="001D7E09">
        <w:t>9.</w:t>
      </w:r>
      <w:r w:rsidRPr="001D7E09">
        <w:tab/>
        <w:t>sa zadovoljstvom prima na znanje iz odgovora Agencije na pisana pitanja Parlamenta da je Agencija donijela proširene mjere i uvela prakse za povećanje učinkovitosti u, među ostalim, područjima rješenja informacijske i komunikacijske tehnologije (internalizacija umjesto eksternalizacije), digitalizacije usluga u području ljudskih resursa (e</w:t>
      </w:r>
      <w:r w:rsidRPr="001D7E09">
        <w:noBreakHyphen/>
        <w:t>zapošljavanje, e-osposobljavanje) i alata za praćenje izvršenja proračuna, stope slobodnih radnih mjesta, gornjih granica ugovora u postupcima javne nabave i okolišnih pokazatelja; pohvaljuje Agenciju zbog provedbe alata za upravljanje javnom nabavom, kao i za dijeljenje postupaka javne nabave s drugim agencijama;</w:t>
      </w:r>
    </w:p>
    <w:p w:rsidR="003305CA" w:rsidRPr="001D7E09" w:rsidRDefault="003305CA" w:rsidP="003305CA">
      <w:pPr>
        <w:pStyle w:val="NormalHanging12a"/>
        <w:widowControl/>
        <w:rPr>
          <w:szCs w:val="24"/>
        </w:rPr>
      </w:pPr>
      <w:r w:rsidRPr="001D7E09">
        <w:t>10.</w:t>
      </w:r>
      <w:r w:rsidRPr="001D7E09">
        <w:tab/>
        <w:t xml:space="preserve">prima na znanje da je, nakon promjene u planiranju programa Unije o </w:t>
      </w:r>
      <w:proofErr w:type="spellStart"/>
      <w:r w:rsidRPr="001D7E09">
        <w:t>interoperabilnosti</w:t>
      </w:r>
      <w:proofErr w:type="spellEnd"/>
      <w:r w:rsidRPr="001D7E09">
        <w:t xml:space="preserve">, bilo potrebno ponovno planiranje unutarnjih aktivnosti i resursa Agencije, što je dovelo do potrebe za dodatnim osobljem; u tom kontekstu prima na znanje postignuti dogovor prema kojem će 25 članova osoblja Agencije za europsku graničnu i obalnu stražu od 2024. podupirati Agenciju u ispunjavanju njezinih obveza u pogledu programa </w:t>
      </w:r>
      <w:proofErr w:type="spellStart"/>
      <w:r w:rsidRPr="001D7E09">
        <w:t>interoperabilnosti</w:t>
      </w:r>
      <w:proofErr w:type="spellEnd"/>
      <w:r w:rsidRPr="001D7E09">
        <w:t xml:space="preserve">; prima na znanje dodatni pritisak na resurse Agencije povezan s postupcima savjetovanja s Europskim nadzornikom za zaštitu podataka (EDPS), pri čemu se 25 članova osoblja Agencije bavi zadaćama nastalima u okviru EDPS-a; pohvaljuje Agenciju za blisku suradnju s Europskim nadzornikom za zaštitu podataka i za ispunjavanje njegovih preporuka u pogledu upotrebe različitih sustava kao što su EPRIS, ADEP, SIS, PERCI i QUEST+; prima na znanje opažanje Agencije u pogledu kašnjenja u uvođenju platforme Unije za nezakoniti sadržaj na internetu (PERCI), a razlog za to su učinak koji su mišljenja Europskog nadzornika za zaštitu podataka i preporuke koje iz njih proizlaze imali na odluke od ključne operativne važnosti; pohvaljuje Agenciju zbog imenovanja svojeg službenika za temeljna prava </w:t>
      </w:r>
      <w:r w:rsidRPr="001D7E09">
        <w:lastRenderedPageBreak/>
        <w:t>koji će je podupirati u zaštiti poštovanja temeljnih prava u svim njezinim aktivnostima i zadaćama;</w:t>
      </w:r>
    </w:p>
    <w:p w:rsidR="003305CA" w:rsidRPr="001D7E09" w:rsidRDefault="003305CA" w:rsidP="003305CA">
      <w:pPr>
        <w:pStyle w:val="NormalHanging12a"/>
      </w:pPr>
      <w:r w:rsidRPr="001D7E09">
        <w:t>11.</w:t>
      </w:r>
      <w:r w:rsidRPr="001D7E09">
        <w:tab/>
        <w:t>pohvaljuje Agenciju zbog toga što je 2022. ostvarila registraciju u okviru sustava ekološkog upravljanja i neovisnog ocjenjivanja (EMAS); nadalje, pohvaljuje Agenciju za primjenu kriterija zelene javne nabave, kao i za uključivanje politike i ciljeva Agencije u području okoliša u njezine postupke javne nabave; prima na znanje da je Agencija pokrenula projekt studije izvedivosti za izradu vizije Agencije za okoliš za 2030. kako bi se definirali ciljevi smanjenja emisija stakleničkih plinova Agencije i mjere poboljšanja potrebne za postizanje tih ciljeva; poziva Agenciju da o ishodu te studije obavijesti tijelo nadležno za davanje razrješnice;</w:t>
      </w:r>
      <w:r w:rsidRPr="001D7E09">
        <w:rPr>
          <w:b/>
          <w:i/>
        </w:rPr>
        <w:t xml:space="preserve"> </w:t>
      </w:r>
      <w:r w:rsidRPr="001D7E09">
        <w:t>poziva Agenciju da razmotri i uvođenje prijelaznih održivih i energetski učinkovitih rješenja i za svoju infrastrukturu i za unutarnje procese, kao što su povećana upotreba digitalnih alata i upravljanje dokumentima;</w:t>
      </w:r>
    </w:p>
    <w:p w:rsidR="003305CA" w:rsidRPr="001D7E09" w:rsidRDefault="003305CA" w:rsidP="003305CA">
      <w:pPr>
        <w:pStyle w:val="Normal12Hanging"/>
        <w:widowControl/>
        <w:rPr>
          <w:b/>
          <w:i/>
          <w:szCs w:val="24"/>
        </w:rPr>
      </w:pPr>
      <w:r w:rsidRPr="001D7E09">
        <w:rPr>
          <w:b/>
          <w:i/>
        </w:rPr>
        <w:t>Kadrovska politika</w:t>
      </w:r>
    </w:p>
    <w:p w:rsidR="003305CA" w:rsidRPr="001D7E09" w:rsidRDefault="003305CA" w:rsidP="003305CA">
      <w:pPr>
        <w:pStyle w:val="Normal12Hanging"/>
        <w:widowControl/>
        <w:rPr>
          <w:szCs w:val="24"/>
        </w:rPr>
      </w:pPr>
      <w:r w:rsidRPr="001D7E09">
        <w:t>12.</w:t>
      </w:r>
      <w:r w:rsidRPr="001D7E09">
        <w:tab/>
        <w:t>prima na znanje da je na dan 31. prosinca 2022. bilo popunjeno 99,41 % radnih mjesta prema planu radnih mjesta i da je zaposleno 682 od 686 privremenih djelatnika odobrenih u okviru proračuna Unije (u odnosu na 615 2021.); također primjećuje da su 2022. za Agenciju radila 236 ugovorna djelatnika (od čega se 19 financira bespovratnim sredstvima ili sporazumima) i 55 upućenih nacionalnih stručnjaka, pri čemu je u okviru proračuna Unije za te kategorije odobreno 235 odnosno 71 radno mjesto; ujedno prima na znanje da je 11 dodatnih radnih mjesta za privremeno osoblje, izvan plana radnih mjesta za 2022., dodijeljeno na ograničeno razdoblje kako bi se broj slobodnih radnih mjesta sveo na najmanju moguću mjeru; konstatira da Agencija razlikuje pet kategorija upućenih nacionalnih stručnjaka, pri čemu četiri kategorije stvaraju samo ograničene troškove za proračun Agencije ili ih uopće ne stvaraju te obuhvaćaju još 152 osobe, što znači da je 2022. ukupan broj upućenih nacionalnih stručnjaka iznosio 207; pohvaljuje nisku stopu slobodnih radnih mjesta Agencije od 0,6 % u 2022., što je znatno ispod godišnjeg cilja maksimalne stope slobodnih radnih mjesta od 2 %; nadalje, prima na znanje povećanja stope fluktuacije Agencije sa 6,9 % 2021. na 9,12 % 2022.;</w:t>
      </w:r>
    </w:p>
    <w:p w:rsidR="003305CA" w:rsidRPr="001D7E09" w:rsidRDefault="003305CA" w:rsidP="003305CA">
      <w:pPr>
        <w:pStyle w:val="NormalHanging12a"/>
      </w:pPr>
      <w:r w:rsidRPr="001D7E09">
        <w:t>13.</w:t>
      </w:r>
      <w:r w:rsidRPr="001D7E09">
        <w:tab/>
        <w:t xml:space="preserve">ističe da je Agencija, s obzirom na rusku invaziju na Ukrajinu 2022., rasporedila operativne timove sastavljene od upućenih nacionalnih stručnjaka bez troškova u nekoliko država članica kao što su Litva, Slovačka, Mađarska, Rumunjska ili Bugarska, kao i u partnerskim zemljama kao što je </w:t>
      </w:r>
      <w:proofErr w:type="spellStart"/>
      <w:r w:rsidRPr="001D7E09">
        <w:t>Moldova</w:t>
      </w:r>
      <w:proofErr w:type="spellEnd"/>
      <w:r w:rsidRPr="001D7E09">
        <w:t>, čime se povećala upotreba upućenih nacionalnih stručnjaka bez troškova; ističe da dohodak upućenih nacionalnih stručnjaka bez troškova i dalje ovisi o nacionalnim odlukama i da je niz država članica odlučio da neće nastaviti isplaćivati plaće u takvim situacijama zbog čega ovise o iznosima koji im se isplaćuju kao dnevnice; podsjeća da, iako bi Akt o digitalnim uslugama svake tri godine trebalo prilagoditi primjenom koeficijenta ispravka te bi se njime trebali nadoknaditi viši troškovi života, uključujući podatke o inflaciji, te su stope posljednjih šest godina ostale nepromijenjene; poziva Agenciju da se uključi u sadržajni dijalog s Komisijom i nadležnim nacionalnim tijelima kako bi se osigurala pravedna naknada za sve stručnjake koje Agencija zapošljava;</w:t>
      </w:r>
    </w:p>
    <w:p w:rsidR="003305CA" w:rsidRPr="001D7E09" w:rsidRDefault="003305CA" w:rsidP="003305CA">
      <w:pPr>
        <w:pStyle w:val="NormalHanging12a"/>
      </w:pPr>
      <w:r w:rsidRPr="001D7E09">
        <w:t>14.</w:t>
      </w:r>
      <w:r w:rsidRPr="001D7E09">
        <w:tab/>
        <w:t xml:space="preserve">za zabrinutošću prima na znanje prijavljene podatke o rodnoj raspodjeli u Agenciji za 2022. među višim i srednjim rukovodećim osobljem, gdje 82 % čine muškarci (28 muškaraca i 6 žena), među članovima upravnog odbora, gdje 75 % čine muškarci (38 muškarca i 13 žena), i među osobljem, gdje 65 % čine muškarci (556 muškaraca i </w:t>
      </w:r>
      <w:r w:rsidRPr="001D7E09">
        <w:lastRenderedPageBreak/>
        <w:t xml:space="preserve">295 žena); svjestan je da je udio žena zaposlenih u Agenciji 2022. (35 %) iznad prosjeka (na temelju statističkih podataka </w:t>
      </w:r>
      <w:proofErr w:type="spellStart"/>
      <w:r w:rsidRPr="001D7E09">
        <w:t>Eurostata</w:t>
      </w:r>
      <w:proofErr w:type="spellEnd"/>
      <w:r w:rsidRPr="001D7E09">
        <w:t xml:space="preserve"> za 2021.) udjela žena (21,6 %) zaposlenih u tijelima za izvršavanje zakonodavstva u Uniji (policija, suci i zatvorsko osoblje); podsjeća na važnost osiguravanja rodne ravnoteže i poziva Agenciju da taj aspekt uzme u obzir kad je riječ o budućem zapošljavanju novog osoblja i imenovanjima na položaje višeg i srednjeg rukovodstva; traži od Komisije i država članica da uzmu u obzir važnost osiguranja rodne ravnoteže pri imenovanju članova u upravni odbor Agencije;</w:t>
      </w:r>
    </w:p>
    <w:p w:rsidR="003305CA" w:rsidRPr="001D7E09" w:rsidRDefault="003305CA" w:rsidP="003305CA">
      <w:pPr>
        <w:pStyle w:val="NormalHanging12a"/>
      </w:pPr>
      <w:r w:rsidRPr="001D7E09">
        <w:t>15.</w:t>
      </w:r>
      <w:r w:rsidRPr="001D7E09">
        <w:tab/>
        <w:t>primjećuje da je zdravstvena služba Agencije 2022. prijavila tri nova slučaja sindroma izgaranja na poslu; nadalje, primjećuje da je Agencija provela mjere za poboljšanje dobrobiti svojeg osoblja, kao što su, među ostalim, savjeti o zdravlju i načinu života na radnome mjestu, rad na nepuno radno vrijeme zbog medicinskih razloga, upućivanje liječnicima specijalistima i savjeti članovima rukovodećeg osoblja za pružanje podrške osoblju; prima na znanje da se upravni odbor, po analogiji s Agencijom, složio s primjenom Odluke Komisije C (2022) o radnom vremenu i hibridnom radu, kojom se zamjenjuju prethodne provedbene odredbe o radnom vremenu i radu na daljinu, čiji je cilj osigurati okvir u kojem se rad u uredu i rad na daljinu smatraju istovjetnim načinima rada; poziva Agenciju da nastavi istraživati rješenja za smanjenje slučajeva sindroma izgaranja na poslu i da tijelo nadležno za davanje razrješnice izvijesti o postignutom napretku;</w:t>
      </w:r>
    </w:p>
    <w:p w:rsidR="003305CA" w:rsidRPr="001D7E09" w:rsidRDefault="003305CA" w:rsidP="003305CA">
      <w:pPr>
        <w:pStyle w:val="NormalHanging12a"/>
      </w:pPr>
      <w:r w:rsidRPr="001D7E09">
        <w:t>16.</w:t>
      </w:r>
      <w:r w:rsidRPr="001D7E09">
        <w:tab/>
        <w:t xml:space="preserve">iz odgovora Agencije na pisana pitanja Parlamenta prima na znanje da je Agencija, iako nije provela „Povelju o raznolikosti i </w:t>
      </w:r>
      <w:proofErr w:type="spellStart"/>
      <w:r w:rsidRPr="001D7E09">
        <w:t>uključivosti</w:t>
      </w:r>
      <w:proofErr w:type="spellEnd"/>
      <w:r w:rsidRPr="001D7E09">
        <w:t xml:space="preserve">”, uspostavila vlastitu strategiju za raznolikost i </w:t>
      </w:r>
      <w:proofErr w:type="spellStart"/>
      <w:r w:rsidRPr="001D7E09">
        <w:t>uključivost</w:t>
      </w:r>
      <w:proofErr w:type="spellEnd"/>
      <w:r w:rsidRPr="001D7E09">
        <w:t>; nadalje, prima na znanje da je Agencija 2022. revidirala i donijela Priručnik o postupcima za provedbu odluke upravnog odbora o politici zaštite dostojanstva osobe i sprečavanju psihološkog i seksualnog uznemiravanja; prima na znanje da je Agencija u razdoblju 2017. – 2022. zatražila vanjske pravne savjete o dvama slučajevima navodnog uznemiravanja; prima na znanje da 2022. nije pokrenut nijedan slučaj uznemiravanja pred sudom koji bi se odnosio na osoblje Agencije;</w:t>
      </w:r>
      <w:r w:rsidRPr="001D7E09">
        <w:rPr>
          <w:b/>
          <w:i/>
        </w:rPr>
        <w:t xml:space="preserve"> </w:t>
      </w:r>
      <w:r w:rsidRPr="001D7E09">
        <w:t>naglašava važnost uspostave čvrstih okvira protiv uznemiravanja, posebno u vrlo stresnim i zahtjevnim radnim okruženjima; poziva Agenciju da uvede program osposobljavanja o toj problematici koji bi bio namijenjen i novim zaposlenicima i postojećem osoblju;</w:t>
      </w:r>
    </w:p>
    <w:p w:rsidR="003305CA" w:rsidRPr="001D7E09" w:rsidRDefault="003305CA" w:rsidP="003305CA">
      <w:pPr>
        <w:pStyle w:val="NormalHanging12a"/>
        <w:widowControl/>
        <w:rPr>
          <w:b/>
          <w:i/>
          <w:szCs w:val="24"/>
        </w:rPr>
      </w:pPr>
      <w:r w:rsidRPr="001D7E09">
        <w:rPr>
          <w:b/>
          <w:i/>
        </w:rPr>
        <w:t>Javna nabava</w:t>
      </w:r>
    </w:p>
    <w:p w:rsidR="003305CA" w:rsidRPr="001D7E09" w:rsidRDefault="003305CA" w:rsidP="003305CA">
      <w:pPr>
        <w:pStyle w:val="NormalHanging12a"/>
        <w:widowControl/>
        <w:rPr>
          <w:szCs w:val="24"/>
        </w:rPr>
      </w:pPr>
      <w:r w:rsidRPr="001D7E09">
        <w:t>17.</w:t>
      </w:r>
      <w:r w:rsidRPr="001D7E09">
        <w:tab/>
        <w:t>prima na znanje opažanje iz izvješća Revizorskog suda da je Agencija 2022. isplatila bespovratna sredstva u iznosu od 3,3 milijuna eura za financiranje aktivnosti nacionalnih policijskih snaga u jednoj državi članici, uključujući iznos od 1,4 milijuna eura za nadoknadu za kupnju pet plovila i 7 % provizije za povezane opće troškove, uključujući PDV; prima na znanje na temelju procjene Revizorskog suda da iznos PDV</w:t>
      </w:r>
      <w:r w:rsidRPr="001D7E09">
        <w:noBreakHyphen/>
        <w:t xml:space="preserve">a za kupnju plovila za policijsko osposobljavanje, u svjetlu članka 186. stavka 4. točke (c) Financijske uredbe, nije trebao biti vraćen jer je korisnik javnopravno tijelo koje obavlja dužnosti javnog tijela te je stoga taj dio bespovratnih sredstava u iznosu od 0,2 milijuna EUR utvrđen nepravilnim; prima na znanje iz odgovora Agencije da je, uzimajući u obzir članak 5. Odluke Vijeća 2008/617/PUP o poboljšanju suradnje između posebnih interventnih jedinica (SIU-ova) država članica EU-a predviđeno da SIU-ovi osiguraju zajedničku obuku i vježbe, dok se bespovratna sredstva za poslovanje odnose na aktivnosti SIU-ova koje koordinira jedna država članica, pa je stoga Agencija smatrala da je, u skladu s člankom 186. stavkom 4. točkom (c) Financijske uredbe i </w:t>
      </w:r>
      <w:r w:rsidRPr="001D7E09">
        <w:lastRenderedPageBreak/>
        <w:t>odgovarajućim posebnim provedbenim smjernicama Komisije o upravljanju bespovratnim sredstvima, PDV bio prihvatljiv za povrat ako se na temelju primjenjivog nacionalnog zakonodavstva ne može ostvariti njegov povrat i ako se on odnosi na aktivnosti osposobljavanja, podizanja svijesti ili slične aktivnosti u području sigurnosti, osim PDV-a koji plaćaju države članice kada djeluju kao javna tijela u svojem suverenom svojstvu, posebno ako privatna poduzeća nisu mogla pružati povezane usluge; naposljetku prima na znanje da se, kao sljedeći korak, Agencija obvezala procijeniti prihvatljivost PDV-a na bespovratna sredstva za poslovanje na temelju opažanja Revizorskog suda;</w:t>
      </w:r>
    </w:p>
    <w:p w:rsidR="003305CA" w:rsidRPr="001D7E09" w:rsidRDefault="003305CA" w:rsidP="003305CA">
      <w:pPr>
        <w:pStyle w:val="NormalHanging12a"/>
        <w:widowControl/>
        <w:rPr>
          <w:b/>
          <w:i/>
          <w:szCs w:val="24"/>
        </w:rPr>
      </w:pPr>
      <w:r w:rsidRPr="001D7E09">
        <w:rPr>
          <w:b/>
          <w:i/>
        </w:rPr>
        <w:t>Postupanje u slučaju sukoba interesa i njihovo sprečavanje te transparentnost</w:t>
      </w:r>
    </w:p>
    <w:p w:rsidR="003305CA" w:rsidRPr="001D7E09" w:rsidRDefault="003305CA" w:rsidP="003305CA">
      <w:pPr>
        <w:pStyle w:val="NormalHanging12a"/>
      </w:pPr>
      <w:r w:rsidRPr="001D7E09">
        <w:t>18.</w:t>
      </w:r>
      <w:r w:rsidRPr="001D7E09">
        <w:tab/>
        <w:t>prima na znanje postojeće mjere Agencije i njezine stalne napore u cilju osiguravanja transparentnosti, sprečavanja i postupanja u slučaju sukoba interesa i zaštite zviždača; sa zadovoljstvom prima na znanje činjenicu da su izjave o financijskim interesima i životopisi svih članova upravnog odbora i višeg rukovodstva objavljeni na internetskim stranicama Agencije;</w:t>
      </w:r>
      <w:r w:rsidRPr="001D7E09">
        <w:rPr>
          <w:b/>
          <w:i/>
        </w:rPr>
        <w:t xml:space="preserve"> </w:t>
      </w:r>
      <w:r w:rsidRPr="001D7E09">
        <w:t>poziva Agenciju da razmotri mjere za sprečavanje fenomena rotirajućih vrata;</w:t>
      </w:r>
    </w:p>
    <w:p w:rsidR="003305CA" w:rsidRPr="001D7E09" w:rsidRDefault="003305CA" w:rsidP="003305CA">
      <w:pPr>
        <w:pStyle w:val="NormalHanging12a"/>
        <w:widowControl/>
        <w:rPr>
          <w:szCs w:val="24"/>
        </w:rPr>
      </w:pPr>
      <w:r w:rsidRPr="001D7E09">
        <w:t>19.</w:t>
      </w:r>
      <w:r w:rsidRPr="001D7E09">
        <w:tab/>
        <w:t>prima na znanje da je Agencija tijekom 2022. obradila šest predmeta koji se odnose na situacije sukoba interesa, i to dva u pogledu uloge savjetnika u postupku odabira, jedan tijekom zapošljavanja uspješnog kandidata prije preuzimanja dužnosti u Agenciji i dva u pogledu članova osoblja nakon odlaska iz službe; nadalje, prima na znanje da su poduzete odgovarajuće mjere u vezi s tim situacijama, uključujući uvjetna odobrenja za zapošljavanje nakon odlaska iz službe; prima na znanje da je Agencija 2022. riješila jedan predmet u vezi sa zviždačima, koji je zaključen bez daljnjih mjera u pogledu mogućeg kršenja profesionalnih obveza;</w:t>
      </w:r>
    </w:p>
    <w:p w:rsidR="003305CA" w:rsidRPr="001D7E09" w:rsidRDefault="003305CA" w:rsidP="003305CA">
      <w:pPr>
        <w:pStyle w:val="NormalHanging12a"/>
      </w:pPr>
      <w:r w:rsidRPr="001D7E09">
        <w:t>20.</w:t>
      </w:r>
      <w:r w:rsidRPr="001D7E09">
        <w:tab/>
        <w:t xml:space="preserve">izražava zabrinutost zbog medijskih izvješća o sukobima interesa među osobljem Agencije; prima na znanje da je u prosincu 2023. Europski </w:t>
      </w:r>
      <w:proofErr w:type="spellStart"/>
      <w:r w:rsidRPr="001D7E09">
        <w:t>ombudsman</w:t>
      </w:r>
      <w:proofErr w:type="spellEnd"/>
      <w:r w:rsidRPr="001D7E09">
        <w:t xml:space="preserve"> odlučio pokrenuti istragu radi ispitivanja načina na koji je Agencija postupala s premještajima dvaju bivših članova osoblja na radna mjesta povezana s borbom protiv seksualnog zlostavljanja djece na internetu; prima na znanje da se prvi član osoblja početkom 2022. pridružio važnom tehnološkom akteru, a drugi se pridružio istom akteru u svojstvu člana odbora kasnije tijekom godine; prima na znanje odgovor Agencije i poziva na temeljitu istragu navoda i izvješćivanje tijela nadležnog za davanje razrješnice o ishodu;</w:t>
      </w:r>
    </w:p>
    <w:p w:rsidR="003305CA" w:rsidRPr="001D7E09" w:rsidRDefault="003305CA" w:rsidP="003305CA">
      <w:pPr>
        <w:pStyle w:val="NormalHanging12a"/>
        <w:widowControl/>
        <w:rPr>
          <w:szCs w:val="24"/>
        </w:rPr>
      </w:pPr>
      <w:r w:rsidRPr="001D7E09">
        <w:rPr>
          <w:b/>
          <w:i/>
        </w:rPr>
        <w:t>Unutarnja kontrola</w:t>
      </w:r>
    </w:p>
    <w:p w:rsidR="003305CA" w:rsidRPr="001D7E09" w:rsidRDefault="003305CA" w:rsidP="003305CA">
      <w:pPr>
        <w:pStyle w:val="Normal12Hanging"/>
        <w:widowControl/>
        <w:rPr>
          <w:szCs w:val="24"/>
        </w:rPr>
      </w:pPr>
      <w:r w:rsidRPr="001D7E09">
        <w:t>21.</w:t>
      </w:r>
      <w:r w:rsidRPr="001D7E09">
        <w:tab/>
        <w:t xml:space="preserve">prima na znanje opažanje iz izvješća Revizorskog suda da je Agencija u razdoblju od 2020. do 2022. isplaćivala dnevnice trima nizozemskim državljanima koji su zaposleni kao upućeni nacionalni stručnjaci; prima na znanje da, s obzirom na to da se Agencija nalazi u Nizozemskoj, ta tri upućena nacionalna stručnjaka u skladu s internim pravilima Agencije nisu imala pravo na te naknade; nadalje, prima na znanje da je Agencija, iako je u prosincu 2022. obustavila plaćanje dnevnica trima upućenim nacionalnim stručnjacima, odlučila da neće tražiti povrat preplaćenih iznosa tijekom tog razdoblja; prima na znanje da je ukupni iznos povezan s tim plaćanjima iznosio 155 553 EUR, od čega je 90 605 EUR isplaćeno 2022.; zabrinut je zbog nedostataka u vezi s </w:t>
      </w:r>
      <w:r w:rsidRPr="001D7E09">
        <w:rPr>
          <w:i/>
          <w:iCs/>
        </w:rPr>
        <w:t xml:space="preserve">ex </w:t>
      </w:r>
      <w:proofErr w:type="spellStart"/>
      <w:r w:rsidRPr="001D7E09">
        <w:rPr>
          <w:i/>
          <w:iCs/>
        </w:rPr>
        <w:t>ante</w:t>
      </w:r>
      <w:proofErr w:type="spellEnd"/>
      <w:r w:rsidRPr="001D7E09">
        <w:t xml:space="preserve"> provjerama Agencije tijekom razdoblja od tri godine; iz odgovora Agencije na opažanje Revizorskog suda prima na znanje da je Agencija poboljšala </w:t>
      </w:r>
      <w:r w:rsidRPr="001D7E09">
        <w:rPr>
          <w:i/>
          <w:iCs/>
        </w:rPr>
        <w:lastRenderedPageBreak/>
        <w:t>ex </w:t>
      </w:r>
      <w:proofErr w:type="spellStart"/>
      <w:r w:rsidRPr="001D7E09">
        <w:rPr>
          <w:i/>
          <w:iCs/>
        </w:rPr>
        <w:t>ante</w:t>
      </w:r>
      <w:proofErr w:type="spellEnd"/>
      <w:r w:rsidRPr="001D7E09">
        <w:t xml:space="preserve"> provjere kako bi osigurala jamstvo zakonitosti financijskih prava osoblja prije plaćanja;</w:t>
      </w:r>
    </w:p>
    <w:p w:rsidR="003305CA" w:rsidRPr="001D7E09" w:rsidRDefault="003305CA" w:rsidP="003305CA">
      <w:pPr>
        <w:pStyle w:val="Normal12Hanging"/>
        <w:widowControl/>
        <w:rPr>
          <w:szCs w:val="24"/>
        </w:rPr>
      </w:pPr>
      <w:r w:rsidRPr="001D7E09">
        <w:t>22.</w:t>
      </w:r>
      <w:r w:rsidRPr="001D7E09">
        <w:tab/>
        <w:t>pohvaljuje Agenciju za napredak postignut u provedbi nedovršenih revizijskih preporuka, pri čemu je 89 % tih ključnih ili vrlo važnih preporuka provedeno 2022.; prima na znanje da je na kraju 2022. još uvijek bilo u tijeku sedam vrlo važnih preporuka (koje su namijenjene provedbi i primjenjive) u pogledu izvješća o revizijama provedenima 2018., 2019. i 2021.; prima na znanje da je Služba Komisije za unutarnju reviziju objavila Strateški plan unutarnje revizije Agencije za razdoblje 2022. – 2024. kojim su obuhvaćene tri teme, uključujući reviziju koordinacije i radnih dogovora s Glavnom upravom za migracije i unutarnje poslove provedenu 2022., čiji se rezultati očekuju 2023.;</w:t>
      </w:r>
    </w:p>
    <w:p w:rsidR="003305CA" w:rsidRPr="001D7E09" w:rsidRDefault="003305CA" w:rsidP="003305CA">
      <w:pPr>
        <w:pStyle w:val="Normal12Hanging"/>
        <w:widowControl/>
        <w:rPr>
          <w:szCs w:val="24"/>
        </w:rPr>
      </w:pPr>
      <w:r w:rsidRPr="001D7E09">
        <w:t>23.</w:t>
      </w:r>
      <w:r w:rsidRPr="001D7E09">
        <w:tab/>
        <w:t xml:space="preserve">prima na znanje zaključak Agencije da je u </w:t>
      </w:r>
      <w:proofErr w:type="spellStart"/>
      <w:r w:rsidRPr="001D7E09">
        <w:t>samoprocjeni</w:t>
      </w:r>
      <w:proofErr w:type="spellEnd"/>
      <w:r w:rsidRPr="001D7E09">
        <w:t xml:space="preserve"> učinkovitosti njezina sustava unutarnje kontrole s pomoću kvantitativnih mjerenja i kvalitativnih aspekata, uključujući 76 pokazatelja unutarnje kontrole, zaključeno da su svi elementi sustava unutarnje kontrole uspostavljeni, da funkcioniraju na sveobuhvatan način i da 2022. nisu utvrđeni znatni nedostaci unutarnje kontrole; prima na znanje da je Odjel Agencije za unutarnju reviziju dovršio reviziju okvira unutarnje kontrole Agencije za 2022., zaključivši da je Agencija uspostavila pouzdan sustav unutarnjih kontrola;</w:t>
      </w:r>
    </w:p>
    <w:p w:rsidR="003305CA" w:rsidRPr="001D7E09" w:rsidRDefault="003305CA" w:rsidP="003305CA">
      <w:pPr>
        <w:pStyle w:val="Normal12Hanging"/>
        <w:widowControl/>
        <w:rPr>
          <w:szCs w:val="24"/>
        </w:rPr>
      </w:pPr>
      <w:r w:rsidRPr="001D7E09">
        <w:t>24.</w:t>
      </w:r>
      <w:r w:rsidRPr="001D7E09">
        <w:tab/>
        <w:t>prima na znanje da je Agencija 2022. razvila i objavila politiku upravljanja rizicima; nadalje, primjećuje da je profil rizičnosti Agencije 2022. obilježen, među ostalim, sve većim opsegom mandata i zadaća, sve većom potražnjom za uspješnim pružanjem ključnih IKT rješenja za obradu osobnih podataka, aktualnim mjerama odgovora za ublažavanje učinka na sigurnost i izvršavanje zakonodavstva koji je posljedica rata u Ukrajini te povećanom nadzornom kontrolom i povezanim aktivnostima kontrole (među ostalim u području zaštite podataka); pohvaljuje Agenciju što je 2022. donijela svoju revidiranu strategiju za borbu protiv prijevara za razdoblje 2022. – 2024., koja uključuje načela, procjenu rizika od prijevare, ciljeve i mjere za borbu protiv prijevara te preispitivanje provedbe mjera strategije za borbu protiv prijevara za razdoblje 2017. – 2020.; prima na znanje da je Europski ured za borbu protiv prijevara dovršio istragu (u vezi s netočnim izvješćima o troškovima službenih putovanja jednog od članova osoblja Agencije), o čemu je 2022. objavljeno izvješće; prima na znanje da je donošenje odluka Agencije u tom predmetu još uvijek u završnoj fazi; poziva Agenciju da o daljnjem postupanju i konačnoj odluci o tom predmetu obavijesti tijelo nadležno za davanje razrješnice;</w:t>
      </w:r>
    </w:p>
    <w:p w:rsidR="003305CA" w:rsidRPr="001D7E09" w:rsidRDefault="003305CA" w:rsidP="003305CA">
      <w:pPr>
        <w:widowControl/>
        <w:spacing w:after="240"/>
        <w:ind w:left="567" w:hanging="567"/>
        <w:rPr>
          <w:b/>
          <w:i/>
          <w:szCs w:val="24"/>
        </w:rPr>
      </w:pPr>
      <w:r w:rsidRPr="001D7E09">
        <w:rPr>
          <w:b/>
          <w:i/>
        </w:rPr>
        <w:t>Ostale primjedbe</w:t>
      </w:r>
    </w:p>
    <w:p w:rsidR="003305CA" w:rsidRPr="001D7E09" w:rsidRDefault="003305CA" w:rsidP="003305CA">
      <w:pPr>
        <w:pStyle w:val="Normal12Hanging"/>
        <w:widowControl/>
        <w:rPr>
          <w:szCs w:val="24"/>
        </w:rPr>
      </w:pPr>
      <w:r w:rsidRPr="001D7E09">
        <w:t>25.</w:t>
      </w:r>
      <w:r w:rsidRPr="001D7E09">
        <w:tab/>
        <w:t>prima na znanje da je Agencija nastavila provoditi različite mjere kako bi povećala svoju prisutnost u javnosti i na internetu pokretanjem serije podcasta, konsolidacijom svojih internetskih stranica, organizacijom konferencija, pokretanjem izvješća (kao što su serija „</w:t>
      </w:r>
      <w:proofErr w:type="spellStart"/>
      <w:r w:rsidRPr="001D7E09">
        <w:t>Spotlight</w:t>
      </w:r>
      <w:proofErr w:type="spellEnd"/>
      <w:r w:rsidRPr="001D7E09">
        <w:t xml:space="preserve">” i poboljšano izvješće „In </w:t>
      </w:r>
      <w:proofErr w:type="spellStart"/>
      <w:r w:rsidRPr="001D7E09">
        <w:t>Brief</w:t>
      </w:r>
      <w:proofErr w:type="spellEnd"/>
      <w:r w:rsidRPr="001D7E09">
        <w:t>”) i svojom prisutnošću na društvenim mrežama (s više od 1100 objava 2022.); u tom kontekstu prima na znanje porast broja pojavljivanja u medijima s velikim učinkom i znatno povećanje rezultata mjerenja prisutnosti Agencije na društvenim mrežama 2022. u odnosu na 2021.;</w:t>
      </w:r>
    </w:p>
    <w:p w:rsidR="003305CA" w:rsidRPr="001D7E09" w:rsidRDefault="003305CA" w:rsidP="003305CA">
      <w:pPr>
        <w:pStyle w:val="NormalHanging12a"/>
      </w:pPr>
      <w:r w:rsidRPr="001D7E09">
        <w:t>26.</w:t>
      </w:r>
      <w:r w:rsidRPr="001D7E09">
        <w:tab/>
        <w:t xml:space="preserve">poziva Agenciju da poduzme mjere kako bi se osigurala potpuna usklađenost s pravilima Unije o transparentnosti te s temeljnim pravima i standardima zaštite podataka i odgovornosti, među ostalim u suradnji s drugim agencijama; smatra da je </w:t>
      </w:r>
      <w:r w:rsidRPr="001D7E09">
        <w:lastRenderedPageBreak/>
        <w:t>potrebno objavljivati informacije o sastancima i interakcijama između Agencije i trećih strana kako bi se osigurala veća transparentnost; u tom pogledu pozdravlja imenovanje službenika Agencije za temeljna prava;</w:t>
      </w:r>
    </w:p>
    <w:p w:rsidR="003305CA" w:rsidRPr="001D7E09" w:rsidRDefault="003305CA" w:rsidP="003305CA">
      <w:pPr>
        <w:pStyle w:val="NormalHanging12a"/>
      </w:pPr>
      <w:r w:rsidRPr="001D7E09">
        <w:t>27.</w:t>
      </w:r>
      <w:r w:rsidRPr="001D7E09">
        <w:tab/>
        <w:t xml:space="preserve">konstatira je Europski nadzornik za zaštitu podataka 16. rujna 2022. zatražio od Suda Europske unije da poništi dvije odredbe izmijenjene Uredbe o </w:t>
      </w:r>
      <w:proofErr w:type="spellStart"/>
      <w:r w:rsidRPr="001D7E09">
        <w:t>Europolu</w:t>
      </w:r>
      <w:proofErr w:type="spellEnd"/>
      <w:r w:rsidRPr="001D7E09">
        <w:t xml:space="preserve">, odnosno članke 74.a i 74.b, pri čemu je naveo da se njima ozbiljno ugrožava pravna sigurnost osobnih podataka pojedinaca, kao i neovisnost Europskog nadzornika za zaštitu podataka; nadalje, prima na znanje rješenje Općeg suda u predmetu T-578/22 od 6. rujna 2023., kojim je tužba Europskog nadzornika za zaštitu podataka protiv izmijenjene Uredbe o </w:t>
      </w:r>
      <w:proofErr w:type="spellStart"/>
      <w:r w:rsidRPr="001D7E09">
        <w:t>Europolu</w:t>
      </w:r>
      <w:proofErr w:type="spellEnd"/>
      <w:r w:rsidRPr="001D7E09">
        <w:t xml:space="preserve"> proglašena nedopuštenom, a kad je riječ o učincima spornih odredbi na odluku Europskog nadzornika za zaštitu podataka od 3. siječnja 2022., Europski nadzornik za zaštitu podataka ne može se osloniti na njih kako bi potkrijepio svoju tužbu; napominje da je Europski nadzornik za zaštitu podataka podnio žalbu na predmet T-578/22 i da je ovlašten nadzirati zakonitost obrade osobnih podataka Agencije u skladu s Uredbom (EU) 2016/794; pozdravlja napore Agencije da odgovori na preporuke Europskog nadzornika za zaštitu podataka, a posebno činjenicu da su svi doprinosi iz razdoblja prije stupanja na snagu izmijenjene Uredbe o </w:t>
      </w:r>
      <w:proofErr w:type="spellStart"/>
      <w:r w:rsidRPr="001D7E09">
        <w:t>Europolu</w:t>
      </w:r>
      <w:proofErr w:type="spellEnd"/>
      <w:r w:rsidRPr="001D7E09">
        <w:t xml:space="preserve"> u međuvremenu dodijeljeni jednoj od kategorija ispitanika (DSC);</w:t>
      </w:r>
    </w:p>
    <w:p w:rsidR="003305CA" w:rsidRPr="001D7E09" w:rsidRDefault="003305CA" w:rsidP="003305CA">
      <w:pPr>
        <w:widowControl/>
        <w:tabs>
          <w:tab w:val="left" w:pos="-720"/>
        </w:tabs>
        <w:spacing w:after="240"/>
        <w:ind w:left="567" w:hanging="567"/>
      </w:pPr>
      <w:r w:rsidRPr="001D7E09">
        <w:t>28.</w:t>
      </w:r>
      <w:r w:rsidRPr="001D7E09">
        <w:tab/>
        <w:t xml:space="preserve">podsjeća na nalaze revizijskog izvješća Europskog nadzornika za zaštitu podataka o Agenciji od 16. prosinca 2022., nakon provedbe posebnih provjera skupova podataka državljana trećih zemalja u posjedu Agencije; podsjeća da je Europski nadzornik za zaštitu podataka utvrdio da je opći postupak procjene informacija koje partneri pružaju o maloljetnicima (uključujući maloljetnike mlađe od 15 godina) jasan i dobro razvijen; podsjeća da je Europski nadzornik za zaštitu podataka pronašao više slučajeva u kojima pripisivanje iste razine sumnje (u smislu klasifikacije) podacima maloljetnika uključenih u relativno male prekršaje unutar šireg okvira organizirane kriminalne skupine možda neće zadovoljiti prag „stroge proporcionalnosti”; naglašava da je Agencija obvezna poštovati načelo „stroge proporcionalnosti” utvrđeno u članku 30. stavku 1. Uredbe o </w:t>
      </w:r>
      <w:proofErr w:type="spellStart"/>
      <w:r w:rsidRPr="001D7E09">
        <w:t>Europolu</w:t>
      </w:r>
      <w:proofErr w:type="spellEnd"/>
      <w:r w:rsidRPr="001D7E09">
        <w:t>;</w:t>
      </w:r>
    </w:p>
    <w:p w:rsidR="003305CA" w:rsidRPr="001D7E09" w:rsidRDefault="003305CA" w:rsidP="003305CA">
      <w:pPr>
        <w:pStyle w:val="NormalCenter12a"/>
      </w:pPr>
      <w:r w:rsidRPr="001D7E09">
        <w:t>°</w:t>
      </w:r>
    </w:p>
    <w:p w:rsidR="003305CA" w:rsidRPr="001D7E09" w:rsidRDefault="003305CA" w:rsidP="003305CA">
      <w:pPr>
        <w:pStyle w:val="NormalCenter12a"/>
      </w:pPr>
      <w:r w:rsidRPr="001D7E09">
        <w:t>°</w:t>
      </w:r>
      <w:r w:rsidRPr="001D7E09">
        <w:tab/>
        <w:t>°</w:t>
      </w:r>
    </w:p>
    <w:p w:rsidR="003305CA" w:rsidRPr="001D7E09" w:rsidRDefault="003305CA" w:rsidP="003305CA">
      <w:pPr>
        <w:pStyle w:val="NormalHanging12a"/>
      </w:pPr>
      <w:r w:rsidRPr="001D7E09">
        <w:t>29.</w:t>
      </w:r>
      <w:r w:rsidRPr="001D7E09">
        <w:tab/>
        <w:t xml:space="preserve">u vezi s drugim primjedbama koje su priložene Odluci o razrješnici i horizontalne su naravi upućuje na svoju Rezoluciju od </w:t>
      </w:r>
      <w:r w:rsidR="00E12288">
        <w:t>11. travnja 2024.</w:t>
      </w:r>
      <w:r w:rsidRPr="001D7E09">
        <w:rPr>
          <w:rStyle w:val="FootnoteReference"/>
        </w:rPr>
        <w:footnoteReference w:id="12"/>
      </w:r>
      <w:r w:rsidRPr="001D7E09">
        <w:t xml:space="preserve"> o uspješnosti, financijskom upravljanju i nadzoru agencija.</w:t>
      </w:r>
    </w:p>
    <w:sectPr w:rsidR="003305CA" w:rsidRPr="001D7E09" w:rsidSect="001D7E0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443" w:rsidRPr="001D7E09" w:rsidRDefault="006F3443">
      <w:r w:rsidRPr="001D7E09">
        <w:separator/>
      </w:r>
    </w:p>
  </w:endnote>
  <w:endnote w:type="continuationSeparator" w:id="0">
    <w:p w:rsidR="006F3443" w:rsidRPr="001D7E09" w:rsidRDefault="006F3443">
      <w:r w:rsidRPr="001D7E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09" w:rsidRPr="001D7E09" w:rsidRDefault="001D7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09" w:rsidRPr="001D7E09" w:rsidRDefault="001D7E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CA" w:rsidRPr="001D7E09" w:rsidRDefault="003305CA" w:rsidP="0036074C">
    <w:pPr>
      <w:pStyle w:val="EPFooter"/>
    </w:pPr>
    <w:r w:rsidRPr="001D7E09">
      <w:rPr>
        <w:rStyle w:val="HideTWBExt"/>
      </w:rPr>
      <w:t>&lt;PathFdR&gt;</w:t>
    </w:r>
    <w:r w:rsidRPr="001D7E09">
      <w:t>AD\1294535HR.docx</w:t>
    </w:r>
    <w:r w:rsidRPr="001D7E09">
      <w:rPr>
        <w:rStyle w:val="HideTWBExt"/>
      </w:rPr>
      <w:t>&lt;/</w:t>
    </w:r>
    <w:proofErr w:type="spellStart"/>
    <w:r w:rsidRPr="001D7E09">
      <w:rPr>
        <w:rStyle w:val="HideTWBExt"/>
      </w:rPr>
      <w:t>PathFdR</w:t>
    </w:r>
    <w:proofErr w:type="spellEnd"/>
    <w:r w:rsidRPr="001D7E09">
      <w:rPr>
        <w:rStyle w:val="HideTWBExt"/>
      </w:rPr>
      <w:t>&gt;</w:t>
    </w:r>
    <w:r w:rsidRPr="001D7E09">
      <w:tab/>
    </w:r>
    <w:r w:rsidRPr="001D7E09">
      <w:tab/>
      <w:t>PE</w:t>
    </w:r>
    <w:r w:rsidRPr="001D7E09">
      <w:rPr>
        <w:rStyle w:val="HideTWBExt"/>
      </w:rPr>
      <w:t>&lt;</w:t>
    </w:r>
    <w:proofErr w:type="spellStart"/>
    <w:r w:rsidRPr="001D7E09">
      <w:rPr>
        <w:rStyle w:val="HideTWBExt"/>
      </w:rPr>
      <w:t>NoPE</w:t>
    </w:r>
    <w:proofErr w:type="spellEnd"/>
    <w:r w:rsidRPr="001D7E09">
      <w:rPr>
        <w:rStyle w:val="HideTWBExt"/>
      </w:rPr>
      <w:t>&gt;</w:t>
    </w:r>
    <w:r w:rsidRPr="001D7E09">
      <w:t>756.200</w:t>
    </w:r>
    <w:r w:rsidRPr="001D7E09">
      <w:rPr>
        <w:rStyle w:val="HideTWBExt"/>
      </w:rPr>
      <w:t>&lt;/</w:t>
    </w:r>
    <w:proofErr w:type="spellStart"/>
    <w:r w:rsidRPr="001D7E09">
      <w:rPr>
        <w:rStyle w:val="HideTWBExt"/>
      </w:rPr>
      <w:t>NoPE</w:t>
    </w:r>
    <w:proofErr w:type="spellEnd"/>
    <w:r w:rsidRPr="001D7E09">
      <w:rPr>
        <w:rStyle w:val="HideTWBExt"/>
      </w:rPr>
      <w:t>&gt;&lt;Version&gt;</w:t>
    </w:r>
    <w:r w:rsidRPr="001D7E09">
      <w:t>v02-00</w:t>
    </w:r>
    <w:r w:rsidRPr="001D7E09">
      <w:rPr>
        <w:rStyle w:val="HideTWBExt"/>
      </w:rPr>
      <w:t>&lt;/</w:t>
    </w:r>
    <w:proofErr w:type="spellStart"/>
    <w:r w:rsidRPr="001D7E09">
      <w:rPr>
        <w:rStyle w:val="HideTWBExt"/>
      </w:rPr>
      <w:t>Version</w:t>
    </w:r>
    <w:proofErr w:type="spellEnd"/>
    <w:r w:rsidRPr="001D7E09">
      <w:rPr>
        <w:rStyle w:val="HideTWBExt"/>
      </w:rPr>
      <w:t>&gt;</w:t>
    </w:r>
  </w:p>
  <w:p w:rsidR="003305CA" w:rsidRPr="001D7E09" w:rsidRDefault="003305CA" w:rsidP="0036074C">
    <w:pPr>
      <w:pStyle w:val="EPFooter2"/>
    </w:pPr>
    <w:r w:rsidRPr="001D7E09">
      <w:t>HR</w:t>
    </w:r>
    <w:r w:rsidRPr="001D7E09">
      <w:tab/>
    </w:r>
    <w:r w:rsidRPr="001D7E09">
      <w:rPr>
        <w:b w:val="0"/>
        <w:i/>
        <w:color w:val="C0C0C0"/>
        <w:sz w:val="22"/>
      </w:rPr>
      <w:t>Ujedinjena u raznolikosti</w:t>
    </w:r>
    <w:r w:rsidRPr="001D7E09">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E0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E0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E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443" w:rsidRPr="001D7E09" w:rsidRDefault="006F3443">
      <w:r w:rsidRPr="001D7E09">
        <w:separator/>
      </w:r>
    </w:p>
  </w:footnote>
  <w:footnote w:type="continuationSeparator" w:id="0">
    <w:p w:rsidR="006F3443" w:rsidRPr="001D7E09" w:rsidRDefault="006F3443">
      <w:r w:rsidRPr="001D7E09">
        <w:continuationSeparator/>
      </w:r>
    </w:p>
  </w:footnote>
  <w:footnote w:id="1">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C, C/2023/594, 27.10.2023.</w:t>
      </w:r>
    </w:p>
  </w:footnote>
  <w:footnote w:id="2">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C, C/2023/112, 12.10.2023.</w:t>
      </w:r>
    </w:p>
  </w:footnote>
  <w:footnote w:id="3">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L 193, 30.7.2018., str. 1.</w:t>
      </w:r>
    </w:p>
  </w:footnote>
  <w:footnote w:id="4">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L 135, 24.5.2016., str. 53.</w:t>
      </w:r>
    </w:p>
  </w:footnote>
  <w:footnote w:id="5">
    <w:p w:rsidR="003305CA" w:rsidRPr="001D7E09" w:rsidRDefault="003305CA" w:rsidP="001D7E09">
      <w:pPr>
        <w:pStyle w:val="FootnoteText"/>
        <w:ind w:left="567" w:hanging="567"/>
        <w:rPr>
          <w:sz w:val="24"/>
          <w:szCs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L 122, 10.5.2019., str. 1.</w:t>
      </w:r>
    </w:p>
  </w:footnote>
  <w:footnote w:id="6">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C, C/2023/594, 27.10.2023.</w:t>
      </w:r>
    </w:p>
  </w:footnote>
  <w:footnote w:id="7">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C, C/2023/112, 12.10.2023.</w:t>
      </w:r>
    </w:p>
  </w:footnote>
  <w:footnote w:id="8">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L 193, 30.7.2018., str. 1.</w:t>
      </w:r>
    </w:p>
  </w:footnote>
  <w:footnote w:id="9">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L 135, 24.5.2016., str. 53.</w:t>
      </w:r>
    </w:p>
  </w:footnote>
  <w:footnote w:id="10">
    <w:p w:rsidR="003305CA" w:rsidRPr="001D7E09" w:rsidRDefault="003305CA" w:rsidP="001D7E09">
      <w:pPr>
        <w:pStyle w:val="FootnoteText"/>
        <w:ind w:left="567" w:hanging="567"/>
        <w:rPr>
          <w:sz w:val="24"/>
          <w:szCs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L 122, 10.5.2019., str. 1.</w:t>
      </w:r>
    </w:p>
  </w:footnote>
  <w:footnote w:id="11">
    <w:p w:rsidR="003305CA" w:rsidRPr="001D7E09" w:rsidRDefault="003305CA" w:rsidP="001D7E09">
      <w:pPr>
        <w:pStyle w:val="FootnoteText"/>
        <w:ind w:left="567" w:hanging="567"/>
        <w:rPr>
          <w:sz w:val="24"/>
          <w:lang w:val="hr-HR"/>
        </w:rPr>
      </w:pPr>
      <w:r w:rsidRPr="001D7E09">
        <w:rPr>
          <w:rStyle w:val="FootnoteReference"/>
          <w:sz w:val="24"/>
          <w:lang w:val="hr-HR"/>
        </w:rPr>
        <w:footnoteRef/>
      </w:r>
      <w:r w:rsidR="001D7E09" w:rsidRPr="001D7E09">
        <w:rPr>
          <w:sz w:val="24"/>
          <w:lang w:val="hr-HR"/>
        </w:rPr>
        <w:t xml:space="preserve"> </w:t>
      </w:r>
      <w:r w:rsidR="001D7E09" w:rsidRPr="001D7E09">
        <w:rPr>
          <w:sz w:val="24"/>
          <w:lang w:val="hr-HR"/>
        </w:rPr>
        <w:tab/>
      </w:r>
      <w:r w:rsidRPr="001D7E09">
        <w:rPr>
          <w:sz w:val="24"/>
          <w:lang w:val="hr-HR"/>
        </w:rPr>
        <w:t>SL C 38, 31.1.2023., str. 160.</w:t>
      </w:r>
    </w:p>
  </w:footnote>
  <w:footnote w:id="12">
    <w:p w:rsidR="003305CA" w:rsidRPr="001D7E09" w:rsidRDefault="003305CA" w:rsidP="001D7E09">
      <w:pPr>
        <w:pStyle w:val="FootnoteText"/>
        <w:ind w:left="567" w:hanging="567"/>
        <w:rPr>
          <w:sz w:val="24"/>
          <w:szCs w:val="24"/>
          <w:lang w:val="hr-HR"/>
        </w:rPr>
      </w:pPr>
      <w:r w:rsidRPr="001D7E09">
        <w:rPr>
          <w:rStyle w:val="FootnoteReference"/>
          <w:sz w:val="24"/>
          <w:szCs w:val="24"/>
          <w:lang w:val="hr-HR"/>
        </w:rPr>
        <w:footnoteRef/>
      </w:r>
      <w:r w:rsidR="001D7E09" w:rsidRPr="001D7E09">
        <w:rPr>
          <w:sz w:val="24"/>
          <w:lang w:val="hr-HR"/>
        </w:rPr>
        <w:t xml:space="preserve"> </w:t>
      </w:r>
      <w:r w:rsidR="001D7E09" w:rsidRPr="001D7E09">
        <w:rPr>
          <w:sz w:val="24"/>
          <w:lang w:val="hr-HR"/>
        </w:rPr>
        <w:tab/>
      </w:r>
      <w:r w:rsidRPr="001D7E09">
        <w:rPr>
          <w:sz w:val="24"/>
          <w:lang w:val="hr-HR"/>
        </w:rPr>
        <w:t>Us</w:t>
      </w:r>
      <w:r w:rsidR="008A2E3E">
        <w:rPr>
          <w:sz w:val="24"/>
          <w:lang w:val="hr-HR"/>
        </w:rPr>
        <w:t>vojeni tekstovi, P9_TA(2024)0280</w:t>
      </w:r>
      <w:r w:rsidRPr="001D7E09">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CA" w:rsidRPr="001D7E09" w:rsidRDefault="00330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CA" w:rsidRPr="001D7E09" w:rsidRDefault="003305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5CA" w:rsidRPr="001D7E09" w:rsidRDefault="003305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E0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E0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E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HR"/>
    <w:docVar w:name="dvnumam" w:val="0"/>
    <w:docVar w:name="dvpe" w:val="753.540"/>
    <w:docVar w:name="dvrapporteur" w:val="Izvjestitelj: "/>
    <w:docVar w:name="dvtitre" w:val="Odluka Europskog parlamenta od .... 2024. o razrješnici za izvršenje proračuna Agencije Europske unije za suradnju tijela za izvršavanje zakonodavstva (Europol) za financijsku godinu 2022.(2023/2169(DEC))"/>
  </w:docVars>
  <w:rsids>
    <w:rsidRoot w:val="006F3443"/>
    <w:rsid w:val="00002272"/>
    <w:rsid w:val="00064002"/>
    <w:rsid w:val="000677B9"/>
    <w:rsid w:val="000831BA"/>
    <w:rsid w:val="000A42CC"/>
    <w:rsid w:val="000E7DD9"/>
    <w:rsid w:val="0010095E"/>
    <w:rsid w:val="00125B37"/>
    <w:rsid w:val="00187494"/>
    <w:rsid w:val="001D7E09"/>
    <w:rsid w:val="001F32AE"/>
    <w:rsid w:val="002767FF"/>
    <w:rsid w:val="002B18FE"/>
    <w:rsid w:val="002B5493"/>
    <w:rsid w:val="003305C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3443"/>
    <w:rsid w:val="006F74FA"/>
    <w:rsid w:val="00731ADD"/>
    <w:rsid w:val="00734777"/>
    <w:rsid w:val="00747932"/>
    <w:rsid w:val="00751A4A"/>
    <w:rsid w:val="00755569"/>
    <w:rsid w:val="00756632"/>
    <w:rsid w:val="00762C74"/>
    <w:rsid w:val="00786EC0"/>
    <w:rsid w:val="007D1690"/>
    <w:rsid w:val="007E22AD"/>
    <w:rsid w:val="00817416"/>
    <w:rsid w:val="00842779"/>
    <w:rsid w:val="00865F67"/>
    <w:rsid w:val="00881A7B"/>
    <w:rsid w:val="008840E5"/>
    <w:rsid w:val="00887B3E"/>
    <w:rsid w:val="008A2E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28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BD5DCB5-E8A2-4A00-9428-1DACF1FC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305C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305CA"/>
    <w:pPr>
      <w:spacing w:before="480" w:after="240"/>
    </w:pPr>
  </w:style>
  <w:style w:type="paragraph" w:customStyle="1" w:styleId="PageHeading">
    <w:name w:val="PageHeading"/>
    <w:basedOn w:val="Normal"/>
    <w:rsid w:val="003305CA"/>
    <w:pPr>
      <w:keepNext/>
      <w:spacing w:after="480"/>
      <w:jc w:val="center"/>
    </w:pPr>
    <w:rPr>
      <w:rFonts w:ascii="Arial" w:hAnsi="Arial" w:cs="Arial"/>
      <w:b/>
    </w:rPr>
  </w:style>
  <w:style w:type="paragraph" w:customStyle="1" w:styleId="NormalBold">
    <w:name w:val="NormalBold"/>
    <w:basedOn w:val="Normal"/>
    <w:rsid w:val="003305CA"/>
    <w:rPr>
      <w:b/>
    </w:rPr>
  </w:style>
  <w:style w:type="paragraph" w:customStyle="1" w:styleId="NormalHanging12a">
    <w:name w:val="NormalHanging12a"/>
    <w:basedOn w:val="Normal"/>
    <w:link w:val="NormalHanging12aChar"/>
    <w:rsid w:val="003305CA"/>
    <w:pPr>
      <w:spacing w:after="240"/>
      <w:ind w:left="567" w:hanging="567"/>
    </w:pPr>
  </w:style>
  <w:style w:type="paragraph" w:customStyle="1" w:styleId="NormalCenter12a">
    <w:name w:val="NormalCenter12a"/>
    <w:basedOn w:val="Normal"/>
    <w:rsid w:val="003305CA"/>
    <w:pPr>
      <w:spacing w:after="240"/>
      <w:jc w:val="center"/>
    </w:pPr>
  </w:style>
  <w:style w:type="paragraph" w:styleId="Header">
    <w:name w:val="header"/>
    <w:basedOn w:val="Normal"/>
    <w:link w:val="HeaderChar"/>
    <w:rsid w:val="003305CA"/>
    <w:pPr>
      <w:tabs>
        <w:tab w:val="center" w:pos="4513"/>
        <w:tab w:val="right" w:pos="9026"/>
      </w:tabs>
    </w:pPr>
  </w:style>
  <w:style w:type="character" w:customStyle="1" w:styleId="HeaderChar">
    <w:name w:val="Header Char"/>
    <w:basedOn w:val="DefaultParagraphFont"/>
    <w:link w:val="Header"/>
    <w:rsid w:val="003305CA"/>
    <w:rPr>
      <w:sz w:val="24"/>
      <w:lang w:val="hr-HR"/>
    </w:rPr>
  </w:style>
  <w:style w:type="paragraph" w:customStyle="1" w:styleId="EPFooter">
    <w:name w:val="EPFooter"/>
    <w:basedOn w:val="Normal"/>
    <w:rsid w:val="003305CA"/>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3305CA"/>
    <w:rPr>
      <w:sz w:val="24"/>
      <w:lang w:val="hr-HR"/>
    </w:rPr>
  </w:style>
  <w:style w:type="paragraph" w:customStyle="1" w:styleId="Normal12Hanging">
    <w:name w:val="Normal12Hanging"/>
    <w:basedOn w:val="Normal"/>
    <w:rsid w:val="003305CA"/>
    <w:pPr>
      <w:spacing w:after="240"/>
      <w:ind w:left="567" w:hanging="567"/>
    </w:pPr>
  </w:style>
  <w:style w:type="paragraph" w:customStyle="1" w:styleId="Normal24a">
    <w:name w:val="Normal24a"/>
    <w:basedOn w:val="Normal"/>
    <w:rsid w:val="003305CA"/>
    <w:pPr>
      <w:spacing w:after="480"/>
    </w:pPr>
  </w:style>
  <w:style w:type="paragraph" w:customStyle="1" w:styleId="Normal12a">
    <w:name w:val="Normal12a"/>
    <w:basedOn w:val="Normal"/>
    <w:rsid w:val="003305CA"/>
    <w:pPr>
      <w:spacing w:after="240"/>
    </w:pPr>
  </w:style>
  <w:style w:type="paragraph" w:customStyle="1" w:styleId="PageHeadingNotTOC">
    <w:name w:val="PageHeadingNotTOC"/>
    <w:basedOn w:val="Normal"/>
    <w:rsid w:val="003305CA"/>
    <w:pPr>
      <w:keepNext/>
      <w:spacing w:after="480"/>
      <w:jc w:val="center"/>
    </w:pPr>
    <w:rPr>
      <w:rFonts w:ascii="Arial" w:hAnsi="Arial" w:cs="Arial"/>
      <w:b/>
    </w:rPr>
  </w:style>
  <w:style w:type="paragraph" w:styleId="Footer">
    <w:name w:val="footer"/>
    <w:basedOn w:val="Normal"/>
    <w:link w:val="FooterChar"/>
    <w:rsid w:val="001D7E09"/>
    <w:pPr>
      <w:tabs>
        <w:tab w:val="center" w:pos="4513"/>
        <w:tab w:val="right" w:pos="9026"/>
      </w:tabs>
    </w:pPr>
  </w:style>
  <w:style w:type="character" w:customStyle="1" w:styleId="FooterChar">
    <w:name w:val="Footer Char"/>
    <w:basedOn w:val="DefaultParagraphFont"/>
    <w:link w:val="Footer"/>
    <w:rsid w:val="001D7E09"/>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E78EF-E84D-4C00-B826-473219962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4718</Words>
  <Characters>28105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2024-05-23T10:09:00Z</dcterms:created>
  <dcterms:modified xsi:type="dcterms:W3CDTF">2024-05-23T10:09:00Z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P9_TA(2024)0260_</vt:lpwstr>
  </property>
  <property fmtid="{D5CDD505-2E9C-101B-9397-08002B2CF9AE}" pid="4" name="&lt;Type&gt;">
    <vt:lpwstr>RR</vt:lpwstr>
  </property>
</Properties>
</file>