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27B3" w:rsidTr="0010095E">
        <w:trPr>
          <w:trHeight w:hRule="exact" w:val="1418"/>
        </w:trPr>
        <w:tc>
          <w:tcPr>
            <w:tcW w:w="6804" w:type="dxa"/>
            <w:shd w:val="clear" w:color="auto" w:fill="auto"/>
            <w:vAlign w:val="center"/>
          </w:tcPr>
          <w:p w:rsidR="00751A4A" w:rsidRPr="008B27B3" w:rsidRDefault="00B6413A" w:rsidP="0010095E">
            <w:pPr>
              <w:pStyle w:val="EPName"/>
            </w:pPr>
            <w:r w:rsidRPr="008B27B3">
              <w:t>Europos Parlamentas</w:t>
            </w:r>
          </w:p>
          <w:p w:rsidR="00751A4A" w:rsidRPr="008B27B3" w:rsidRDefault="00817416" w:rsidP="00756632">
            <w:pPr>
              <w:pStyle w:val="EPTerm"/>
              <w:rPr>
                <w:rStyle w:val="HideTWBExt"/>
                <w:noProof w:val="0"/>
                <w:vanish w:val="0"/>
                <w:color w:val="auto"/>
              </w:rPr>
            </w:pPr>
            <w:r w:rsidRPr="008B27B3">
              <w:t>2019-2024</w:t>
            </w:r>
          </w:p>
        </w:tc>
        <w:tc>
          <w:tcPr>
            <w:tcW w:w="2268" w:type="dxa"/>
            <w:shd w:val="clear" w:color="auto" w:fill="auto"/>
          </w:tcPr>
          <w:p w:rsidR="00751A4A" w:rsidRPr="008B27B3" w:rsidRDefault="00187494" w:rsidP="0010095E">
            <w:pPr>
              <w:pStyle w:val="EPLogo"/>
            </w:pPr>
            <w:r w:rsidRPr="008B27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27B3" w:rsidRDefault="00D058B8" w:rsidP="004C5D52">
      <w:pPr>
        <w:pStyle w:val="LineTop"/>
      </w:pPr>
    </w:p>
    <w:p w:rsidR="00680577" w:rsidRPr="008B27B3" w:rsidRDefault="00B6413A" w:rsidP="00680577">
      <w:pPr>
        <w:pStyle w:val="EPBodyTA1"/>
      </w:pPr>
      <w:r w:rsidRPr="008B27B3">
        <w:t>PRIIMTI TEKSTAI</w:t>
      </w:r>
    </w:p>
    <w:p w:rsidR="00D058B8" w:rsidRPr="008B27B3" w:rsidRDefault="00D058B8" w:rsidP="00D058B8">
      <w:pPr>
        <w:pStyle w:val="LineBottom"/>
      </w:pPr>
    </w:p>
    <w:p w:rsidR="00B6413A" w:rsidRPr="008B27B3" w:rsidRDefault="00B6413A" w:rsidP="00B6413A">
      <w:pPr>
        <w:pStyle w:val="ATHeading1"/>
      </w:pPr>
      <w:bookmarkStart w:id="0" w:name="TANumber"/>
      <w:r w:rsidRPr="008B27B3">
        <w:t>P9_TA(2024)0</w:t>
      </w:r>
      <w:r w:rsidR="001C2A21" w:rsidRPr="008B27B3">
        <w:t>260</w:t>
      </w:r>
      <w:bookmarkEnd w:id="0"/>
    </w:p>
    <w:p w:rsidR="00B6413A" w:rsidRPr="008B27B3" w:rsidRDefault="00B6413A" w:rsidP="00B6413A">
      <w:pPr>
        <w:pStyle w:val="ATHeading2"/>
      </w:pPr>
      <w:bookmarkStart w:id="1" w:name="title"/>
      <w:r w:rsidRPr="008B27B3">
        <w:t>2022 m. biudžeto įvykdymo patvirtinimas: Europos Sąjungos teisėsaugos bendradarbiavimo agentūra</w:t>
      </w:r>
      <w:bookmarkEnd w:id="1"/>
    </w:p>
    <w:p w:rsidR="00B6413A" w:rsidRPr="008B27B3" w:rsidRDefault="00B6413A" w:rsidP="00B6413A">
      <w:pPr>
        <w:rPr>
          <w:i/>
          <w:vanish/>
        </w:rPr>
      </w:pPr>
      <w:r w:rsidRPr="008B27B3">
        <w:rPr>
          <w:i/>
        </w:rPr>
        <w:fldChar w:fldCharType="begin"/>
      </w:r>
      <w:r w:rsidRPr="008B27B3">
        <w:rPr>
          <w:i/>
        </w:rPr>
        <w:instrText xml:space="preserve"> TC"(</w:instrText>
      </w:r>
      <w:bookmarkStart w:id="2" w:name="DocNumber"/>
      <w:r w:rsidRPr="008B27B3">
        <w:rPr>
          <w:i/>
        </w:rPr>
        <w:instrText>A9-0119/2024</w:instrText>
      </w:r>
      <w:bookmarkEnd w:id="2"/>
      <w:r w:rsidRPr="008B27B3">
        <w:rPr>
          <w:i/>
        </w:rPr>
        <w:instrText xml:space="preserve"> - Pranešėjas: Petri Sarvamaa)"\l3 \n&gt; \* MERGEFORMAT </w:instrText>
      </w:r>
      <w:r w:rsidRPr="008B27B3">
        <w:rPr>
          <w:i/>
        </w:rPr>
        <w:fldChar w:fldCharType="end"/>
      </w:r>
    </w:p>
    <w:p w:rsidR="00B6413A" w:rsidRPr="008B27B3" w:rsidRDefault="00B6413A" w:rsidP="00B6413A">
      <w:pPr>
        <w:rPr>
          <w:vanish/>
        </w:rPr>
      </w:pPr>
      <w:bookmarkStart w:id="3" w:name="Commission"/>
      <w:r w:rsidRPr="008B27B3">
        <w:rPr>
          <w:vanish/>
        </w:rPr>
        <w:t>Biudžeto kontrolės komitetas</w:t>
      </w:r>
      <w:bookmarkEnd w:id="3"/>
    </w:p>
    <w:p w:rsidR="00B6413A" w:rsidRPr="008B27B3" w:rsidRDefault="00B6413A" w:rsidP="00B6413A">
      <w:pPr>
        <w:rPr>
          <w:vanish/>
        </w:rPr>
      </w:pPr>
      <w:bookmarkStart w:id="4" w:name="PE"/>
      <w:r w:rsidRPr="008B27B3">
        <w:rPr>
          <w:vanish/>
        </w:rPr>
        <w:t>PE753.540</w:t>
      </w:r>
      <w:bookmarkEnd w:id="4"/>
    </w:p>
    <w:p w:rsidR="00B6413A" w:rsidRPr="008B27B3" w:rsidRDefault="00066DF9" w:rsidP="008B27B3">
      <w:pPr>
        <w:pStyle w:val="ATHeading3"/>
      </w:pPr>
      <w:bookmarkStart w:id="5" w:name="Sujet"/>
      <w:r w:rsidRPr="008B27B3">
        <w:t>1. 2</w:t>
      </w:r>
      <w:r w:rsidR="00B6413A" w:rsidRPr="008B27B3">
        <w:t xml:space="preserve">024 m. </w:t>
      </w:r>
      <w:r w:rsidRPr="008B27B3">
        <w:t>balandžio</w:t>
      </w:r>
      <w:r w:rsidR="00B6413A" w:rsidRPr="008B27B3">
        <w:t xml:space="preserve"> 11 d. Europos Parlamento spre</w:t>
      </w:r>
      <w:bookmarkStart w:id="6" w:name="_GoBack"/>
      <w:bookmarkEnd w:id="6"/>
      <w:r w:rsidR="00B6413A" w:rsidRPr="008B27B3">
        <w:t>ndimas dėl Europos Sąjungos teisėsaugos bendradarbiavimo agentūros (Europolo) 2022 finansinių metų biudžeto įvykdymo patvirtinimo</w:t>
      </w:r>
      <w:bookmarkEnd w:id="5"/>
      <w:r w:rsidR="00B6413A" w:rsidRPr="008B27B3">
        <w:t xml:space="preserve"> </w:t>
      </w:r>
      <w:bookmarkStart w:id="7" w:name="References"/>
      <w:r w:rsidR="00B6413A" w:rsidRPr="008B27B3">
        <w:t>(2023/2169(DEC))</w:t>
      </w:r>
      <w:bookmarkEnd w:id="7"/>
    </w:p>
    <w:p w:rsidR="00FF7CC1" w:rsidRPr="008B27B3" w:rsidRDefault="00FF7CC1" w:rsidP="00FF7CC1">
      <w:pPr>
        <w:pStyle w:val="EPComma"/>
      </w:pPr>
      <w:bookmarkStart w:id="8" w:name="TextBodyBegin"/>
      <w:bookmarkEnd w:id="8"/>
      <w:r w:rsidRPr="008B27B3">
        <w:rPr>
          <w:i/>
        </w:rPr>
        <w:t>Europos Parlamentas</w:t>
      </w:r>
      <w:r w:rsidRPr="008B27B3">
        <w:t>,</w:t>
      </w:r>
    </w:p>
    <w:p w:rsidR="00FF7CC1" w:rsidRPr="008B27B3" w:rsidRDefault="00FF7CC1" w:rsidP="00FF7CC1">
      <w:pPr>
        <w:pStyle w:val="NormalHanging12a"/>
      </w:pPr>
      <w:r w:rsidRPr="008B27B3">
        <w:t>–</w:t>
      </w:r>
      <w:r w:rsidRPr="008B27B3">
        <w:tab/>
        <w:t>atsižvelgdamas į Europos Sąjungos teisėsaugos bendradarbiavimo agentūros (Europolo) 2022 finansinių metų galutines metines ataskaitas,</w:t>
      </w:r>
    </w:p>
    <w:p w:rsidR="00FF7CC1" w:rsidRPr="008B27B3" w:rsidRDefault="00FF7CC1" w:rsidP="00FF7CC1">
      <w:pPr>
        <w:pStyle w:val="NormalHanging12a"/>
      </w:pPr>
      <w:r w:rsidRPr="008B27B3">
        <w:t>–</w:t>
      </w:r>
      <w:r w:rsidRPr="008B27B3">
        <w:tab/>
        <w:t>atsižvelgdamas į Audito Rūmų 2022 finansinių metų metinę ataskaitą dėl ES agentūrų kartu su agentūrų atsakymais</w:t>
      </w:r>
      <w:r w:rsidRPr="008B27B3">
        <w:rPr>
          <w:rStyle w:val="FootnoteReference"/>
        </w:rPr>
        <w:footnoteReference w:id="1"/>
      </w:r>
      <w:r w:rsidRPr="008B27B3">
        <w:t>,</w:t>
      </w:r>
    </w:p>
    <w:p w:rsidR="00FF7CC1" w:rsidRPr="008B27B3" w:rsidRDefault="00FF7CC1" w:rsidP="00FF7CC1">
      <w:pPr>
        <w:pStyle w:val="NormalHanging12a"/>
      </w:pPr>
      <w:r w:rsidRPr="008B27B3">
        <w:t>–</w:t>
      </w:r>
      <w:r w:rsidRPr="008B27B3">
        <w:tab/>
        <w:t>atsižvelgdamas į Audito Rūmų pagal Sutarties dėl Europos Sąjungos veikimo 287 straipsnį pateiktą sąskaitų patikimumo ir pagal jas atliktų operacijų teisėtumo ir tvarkingumo patikinimo pareiškimą</w:t>
      </w:r>
      <w:r w:rsidRPr="008B27B3">
        <w:rPr>
          <w:rStyle w:val="FootnoteReference"/>
        </w:rPr>
        <w:footnoteReference w:id="2"/>
      </w:r>
      <w:r w:rsidRPr="008B27B3">
        <w:t>,</w:t>
      </w:r>
    </w:p>
    <w:p w:rsidR="00FF7CC1" w:rsidRPr="008B27B3" w:rsidRDefault="00FF7CC1" w:rsidP="00FF7CC1">
      <w:pPr>
        <w:pStyle w:val="NormalHanging12a"/>
      </w:pPr>
      <w:r w:rsidRPr="008B27B3">
        <w:t>–</w:t>
      </w:r>
      <w:r w:rsidRPr="008B27B3">
        <w:tab/>
        <w:t xml:space="preserve">atsižvelgdamas į </w:t>
      </w:r>
      <w:r w:rsidR="00AE7795" w:rsidRPr="008B27B3">
        <w:t xml:space="preserve">2024 m. vasario 22 d. </w:t>
      </w:r>
      <w:r w:rsidRPr="008B27B3">
        <w:t>Tarybos rekomendaciją dėl patvirtinimo, kad Agentūra įvykdė 2022 finansinių metų biudžetą (</w:t>
      </w:r>
      <w:r w:rsidR="000969B0" w:rsidRPr="008B27B3">
        <w:t>0</w:t>
      </w:r>
      <w:r w:rsidR="000969B0" w:rsidRPr="008B27B3">
        <w:rPr>
          <w:lang w:val="bg-BG"/>
        </w:rPr>
        <w:t>6180</w:t>
      </w:r>
      <w:r w:rsidRPr="008B27B3">
        <w:t>/2024 – C9</w:t>
      </w:r>
      <w:r w:rsidRPr="008B27B3">
        <w:noBreakHyphen/>
      </w:r>
      <w:r w:rsidR="000969B0" w:rsidRPr="008B27B3">
        <w:t>0107</w:t>
      </w:r>
      <w:r w:rsidRPr="008B27B3">
        <w:t>/2024),</w:t>
      </w:r>
    </w:p>
    <w:p w:rsidR="00FF7CC1" w:rsidRPr="008B27B3" w:rsidRDefault="00FF7CC1" w:rsidP="00FF7CC1">
      <w:pPr>
        <w:pStyle w:val="NormalHanging12a"/>
      </w:pPr>
      <w:r w:rsidRPr="008B27B3">
        <w:t>–</w:t>
      </w:r>
      <w:r w:rsidRPr="008B27B3">
        <w:tab/>
        <w:t>atsižvelgdamas į Sutarties dėl Europos Sąjungos veikimo 319 straipsnį,</w:t>
      </w:r>
    </w:p>
    <w:p w:rsidR="00FF7CC1" w:rsidRPr="008B27B3" w:rsidRDefault="00FF7CC1" w:rsidP="00FF7CC1">
      <w:pPr>
        <w:pStyle w:val="NormalHanging12a"/>
      </w:pPr>
      <w:r w:rsidRPr="008B27B3">
        <w:t>–</w:t>
      </w:r>
      <w:r w:rsidRPr="008B27B3">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8B27B3">
        <w:rPr>
          <w:rStyle w:val="FootnoteReference"/>
        </w:rPr>
        <w:footnoteReference w:id="3"/>
      </w:r>
      <w:r w:rsidRPr="008B27B3">
        <w:t>, ypač į jo 70 straipsnį,</w:t>
      </w:r>
    </w:p>
    <w:p w:rsidR="00FF7CC1" w:rsidRPr="008B27B3" w:rsidRDefault="00FF7CC1" w:rsidP="00FF7CC1">
      <w:pPr>
        <w:pStyle w:val="NormalHanging12a"/>
      </w:pPr>
      <w:r w:rsidRPr="008B27B3">
        <w:t>–</w:t>
      </w:r>
      <w:r w:rsidRPr="008B27B3">
        <w:tab/>
        <w:t xml:space="preserve">atsižvelgdamas į 2016 m. gegužės 11 d. Europos Parlamento ir Tarybos reglamentą (ES) 2016/794 dėl Europos Sąjungos teisėsaugos bendradarbiavimo agentūros </w:t>
      </w:r>
      <w:r w:rsidRPr="008B27B3">
        <w:lastRenderedPageBreak/>
        <w:t>(Europolo), kuriuo pakeičiami ir panaikinami Tarybos sprendimai 2009/371/TVR, 2009/934/TVR, 2009/935/TVR, 2009/936/TVR ir 2009/968/TVR</w:t>
      </w:r>
      <w:r w:rsidRPr="008B27B3">
        <w:rPr>
          <w:rStyle w:val="FootnoteReference"/>
        </w:rPr>
        <w:footnoteReference w:id="4"/>
      </w:r>
      <w:r w:rsidRPr="008B27B3">
        <w:t>, ypač į jo 60 straipsnį,</w:t>
      </w:r>
    </w:p>
    <w:p w:rsidR="00FF7CC1" w:rsidRPr="008B27B3" w:rsidRDefault="00FF7CC1" w:rsidP="00FF7CC1">
      <w:pPr>
        <w:pStyle w:val="NormalHanging12a"/>
      </w:pPr>
      <w:r w:rsidRPr="008B27B3">
        <w:t>–</w:t>
      </w:r>
      <w:r w:rsidRPr="008B27B3">
        <w:tab/>
        <w:t>atsižvelgdamas į 2018 m. gruodžio 18 d. Komisijos deleguotąjį reglamentą (ES) 2019/715 dėl finansinio pagrindų reglamento, taikomo organams, įsteigtiems pagal SESV ir Euratomo sutartį ir nurodytiems Europos Parlamento ir Tarybos reglamento (ES, Euratomas) 2018/10467</w:t>
      </w:r>
      <w:r w:rsidRPr="008B27B3">
        <w:rPr>
          <w:rStyle w:val="FootnoteReference"/>
        </w:rPr>
        <w:footnoteReference w:id="5"/>
      </w:r>
      <w:r w:rsidRPr="008B27B3">
        <w:t xml:space="preserve"> 70 straipsnyje, ypač į jo 105 straipsnį,</w:t>
      </w:r>
    </w:p>
    <w:p w:rsidR="00FF7CC1" w:rsidRPr="008B27B3" w:rsidRDefault="00FF7CC1" w:rsidP="00FF7CC1">
      <w:pPr>
        <w:pStyle w:val="NormalHanging12a"/>
      </w:pPr>
      <w:r w:rsidRPr="008B27B3">
        <w:t>–</w:t>
      </w:r>
      <w:r w:rsidRPr="008B27B3">
        <w:tab/>
        <w:t>atsižvelgdamas į Darbo tvarkos taisyklių 100 straipsnį ir V priedą,</w:t>
      </w:r>
    </w:p>
    <w:p w:rsidR="00FF7CC1" w:rsidRPr="008B27B3" w:rsidRDefault="00FF7CC1" w:rsidP="00FF7CC1">
      <w:pPr>
        <w:pStyle w:val="NormalHanging12a"/>
      </w:pPr>
      <w:r w:rsidRPr="008B27B3">
        <w:t>–</w:t>
      </w:r>
      <w:r w:rsidRPr="008B27B3">
        <w:tab/>
        <w:t>atsižvelgdamas į Piliečių laisvių, teisingumo ir vidaus reikalų komiteto nuomonę,</w:t>
      </w:r>
    </w:p>
    <w:p w:rsidR="00FF7CC1" w:rsidRPr="008B27B3" w:rsidRDefault="00FF7CC1" w:rsidP="00FF7CC1">
      <w:pPr>
        <w:pStyle w:val="NormalHanging12a"/>
      </w:pPr>
      <w:r w:rsidRPr="008B27B3">
        <w:t>–</w:t>
      </w:r>
      <w:r w:rsidRPr="008B27B3">
        <w:tab/>
        <w:t>atsižvelgdamas į Biudžeto kontrolės komiteto pranešimą (A9</w:t>
      </w:r>
      <w:r w:rsidRPr="008B27B3">
        <w:noBreakHyphen/>
        <w:t>0119/2024),</w:t>
      </w:r>
    </w:p>
    <w:p w:rsidR="00FF7CC1" w:rsidRPr="008B27B3" w:rsidRDefault="00FF7CC1" w:rsidP="00FF7CC1">
      <w:pPr>
        <w:pStyle w:val="NormalHanging12a"/>
      </w:pPr>
      <w:r w:rsidRPr="008B27B3">
        <w:t>1.</w:t>
      </w:r>
      <w:r w:rsidRPr="008B27B3">
        <w:tab/>
        <w:t>patvirtina Europos Sąjungos teisėsaugos bendradarbiavimo agentūros (Europolo) vykdomajai direktorei, kad agentūros 2022 finansinių metų biudžetas įvykdytas;</w:t>
      </w:r>
    </w:p>
    <w:p w:rsidR="00FF7CC1" w:rsidRPr="008B27B3" w:rsidRDefault="00FF7CC1" w:rsidP="00FF7CC1">
      <w:pPr>
        <w:pStyle w:val="NormalHanging12a"/>
      </w:pPr>
      <w:r w:rsidRPr="008B27B3">
        <w:t>2.</w:t>
      </w:r>
      <w:r w:rsidRPr="008B27B3">
        <w:tab/>
        <w:t>išdėsto savo pastabas toliau pateikiamoje rezoliucijoje;</w:t>
      </w:r>
    </w:p>
    <w:p w:rsidR="00FF7CC1" w:rsidRPr="008B27B3" w:rsidRDefault="00FF7CC1" w:rsidP="00FF7CC1">
      <w:pPr>
        <w:pStyle w:val="NormalHanging12a"/>
      </w:pPr>
      <w:r w:rsidRPr="008B27B3">
        <w:t>3.</w:t>
      </w:r>
      <w:r w:rsidRPr="008B27B3">
        <w:tab/>
        <w:t xml:space="preserve">paveda Pirmininkei perduoti šį sprendimą ir rezoliuciją, kuri yra neatskiriama jo dalis, Europos Sąjungos teisėsaugos bendradarbiavimo agentūros (Europolo) vykdomajai direktorei, Tarybai, Komisijai ir Audito Rūmams ir pasirūpinti, kad jie būtų paskelbti </w:t>
      </w:r>
      <w:r w:rsidRPr="008B27B3">
        <w:rPr>
          <w:i/>
        </w:rPr>
        <w:t>Europos Sąjungos oficialiajame leidinyje</w:t>
      </w:r>
      <w:r w:rsidRPr="008B27B3">
        <w:t xml:space="preserve"> (L serijoje).</w:t>
      </w:r>
    </w:p>
    <w:p w:rsidR="00FF7CC1" w:rsidRPr="008B27B3" w:rsidRDefault="00FF7CC1" w:rsidP="00FF7CC1"/>
    <w:p w:rsidR="00FF7CC1" w:rsidRPr="008B27B3" w:rsidRDefault="00FF7CC1" w:rsidP="00FF7CC1">
      <w:pPr>
        <w:pStyle w:val="PageHeading"/>
        <w:sectPr w:rsidR="00FF7CC1" w:rsidRPr="008B27B3" w:rsidSect="00F76951">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F7CC1" w:rsidRPr="008B27B3" w:rsidRDefault="00FF7CC1" w:rsidP="008B27B3">
      <w:pPr>
        <w:pStyle w:val="ATHeading3"/>
      </w:pPr>
      <w:bookmarkStart w:id="9" w:name="_Toc162002525"/>
      <w:r w:rsidRPr="008B27B3">
        <w:lastRenderedPageBreak/>
        <w:t xml:space="preserve">2. </w:t>
      </w:r>
      <w:r w:rsidR="00066DF9" w:rsidRPr="008B27B3">
        <w:t xml:space="preserve">2024 m. balandžio 11 d. Europos Parlamento sprendimas </w:t>
      </w:r>
      <w:bookmarkEnd w:id="9"/>
      <w:r w:rsidRPr="008B27B3">
        <w:t>dėl Europos Sąjungos teisėsaugos bendradarbiavimo agentūros (Europolo) 2022 finansinių metų sąskaitų uždarymo</w:t>
      </w:r>
      <w:r w:rsidR="00066DF9" w:rsidRPr="008B27B3">
        <w:t xml:space="preserve"> </w:t>
      </w:r>
      <w:r w:rsidRPr="008B27B3">
        <w:t>(2023/2169(DEC))</w:t>
      </w:r>
    </w:p>
    <w:p w:rsidR="00FF7CC1" w:rsidRPr="008B27B3" w:rsidRDefault="00FF7CC1" w:rsidP="00FF7CC1">
      <w:pPr>
        <w:pStyle w:val="EPComma"/>
      </w:pPr>
      <w:r w:rsidRPr="008B27B3">
        <w:rPr>
          <w:i/>
        </w:rPr>
        <w:t>Europos Parlamentas</w:t>
      </w:r>
      <w:r w:rsidRPr="008B27B3">
        <w:t>,</w:t>
      </w:r>
    </w:p>
    <w:p w:rsidR="00FF7CC1" w:rsidRPr="008B27B3" w:rsidRDefault="00FF7CC1" w:rsidP="00FF7CC1">
      <w:pPr>
        <w:pStyle w:val="NormalHanging12a"/>
      </w:pPr>
      <w:r w:rsidRPr="008B27B3">
        <w:t>–</w:t>
      </w:r>
      <w:r w:rsidRPr="008B27B3">
        <w:tab/>
        <w:t>atsižvelgdamas į Europos Sąjungos teisėsaugos bendradarbiavimo agentūros (Europolo) 2022 finansinių metų galutines metines ataskaitas,</w:t>
      </w:r>
    </w:p>
    <w:p w:rsidR="00FF7CC1" w:rsidRPr="008B27B3" w:rsidRDefault="00FF7CC1" w:rsidP="00FF7CC1">
      <w:pPr>
        <w:pStyle w:val="NormalHanging12a"/>
      </w:pPr>
      <w:r w:rsidRPr="008B27B3">
        <w:t>–</w:t>
      </w:r>
      <w:r w:rsidRPr="008B27B3">
        <w:tab/>
        <w:t>atsižvelgdamas į Audito Rūmų 2022 finansinių metų metinę ataskaitą dėl ES agentūrų kartu su agentūrų atsakymais</w:t>
      </w:r>
      <w:r w:rsidRPr="008B27B3">
        <w:rPr>
          <w:rStyle w:val="FootnoteReference"/>
        </w:rPr>
        <w:footnoteReference w:id="6"/>
      </w:r>
      <w:r w:rsidRPr="008B27B3">
        <w:t>,</w:t>
      </w:r>
    </w:p>
    <w:p w:rsidR="00FF7CC1" w:rsidRPr="008B27B3" w:rsidRDefault="00FF7CC1" w:rsidP="00FF7CC1">
      <w:pPr>
        <w:pStyle w:val="NormalHanging12a"/>
      </w:pPr>
      <w:r w:rsidRPr="008B27B3">
        <w:t>–</w:t>
      </w:r>
      <w:r w:rsidRPr="008B27B3">
        <w:tab/>
        <w:t>atsižvelgdamas į Audito Rūmų pagal Sutarties dėl Europos Sąjungos veikimo 287 straipsnį pateiktą sąskaitų patikimumo ir pagal jas atliktų operacijų teisėtumo ir tvarkingumo patikinimo pareiškimą</w:t>
      </w:r>
      <w:r w:rsidRPr="008B27B3">
        <w:rPr>
          <w:rStyle w:val="FootnoteReference"/>
        </w:rPr>
        <w:footnoteReference w:id="7"/>
      </w:r>
      <w:r w:rsidRPr="008B27B3">
        <w:t>,</w:t>
      </w:r>
    </w:p>
    <w:p w:rsidR="00FF7CC1" w:rsidRPr="008B27B3" w:rsidRDefault="00FF7CC1" w:rsidP="00FF7CC1">
      <w:pPr>
        <w:pStyle w:val="NormalHanging12a"/>
      </w:pPr>
      <w:r w:rsidRPr="008B27B3">
        <w:t>–</w:t>
      </w:r>
      <w:r w:rsidRPr="008B27B3">
        <w:tab/>
        <w:t xml:space="preserve">atsižvelgdamas į </w:t>
      </w:r>
      <w:r w:rsidR="00EA694B" w:rsidRPr="008B27B3">
        <w:t xml:space="preserve">2024 m. vasario 22 d. </w:t>
      </w:r>
      <w:r w:rsidRPr="008B27B3">
        <w:t>Tarybos rekomendaciją dėl patvirtinimo, kad Agentūra įvykdė 2022 finansinių metų biudžetą (</w:t>
      </w:r>
      <w:r w:rsidR="000969B0" w:rsidRPr="008B27B3">
        <w:t>0</w:t>
      </w:r>
      <w:r w:rsidR="000969B0" w:rsidRPr="008B27B3">
        <w:rPr>
          <w:lang w:val="bg-BG"/>
        </w:rPr>
        <w:t>6180</w:t>
      </w:r>
      <w:r w:rsidRPr="008B27B3">
        <w:t>/2024 – C9</w:t>
      </w:r>
      <w:r w:rsidRPr="008B27B3">
        <w:noBreakHyphen/>
      </w:r>
      <w:r w:rsidR="000969B0" w:rsidRPr="008B27B3">
        <w:t>0107</w:t>
      </w:r>
      <w:r w:rsidRPr="008B27B3">
        <w:t>/2024),</w:t>
      </w:r>
    </w:p>
    <w:p w:rsidR="00FF7CC1" w:rsidRPr="008B27B3" w:rsidRDefault="00FF7CC1" w:rsidP="00FF7CC1">
      <w:pPr>
        <w:pStyle w:val="NormalHanging12a"/>
      </w:pPr>
      <w:r w:rsidRPr="008B27B3">
        <w:t>–</w:t>
      </w:r>
      <w:r w:rsidRPr="008B27B3">
        <w:tab/>
        <w:t>atsižvelgdamas į Sutarties dėl Europos Sąjungos veikimo 319 straipsnį,</w:t>
      </w:r>
    </w:p>
    <w:p w:rsidR="00FF7CC1" w:rsidRPr="008B27B3" w:rsidRDefault="00FF7CC1" w:rsidP="00FF7CC1">
      <w:pPr>
        <w:pStyle w:val="NormalHanging12a"/>
      </w:pPr>
      <w:r w:rsidRPr="008B27B3">
        <w:t>–</w:t>
      </w:r>
      <w:r w:rsidRPr="008B27B3">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8B27B3">
        <w:rPr>
          <w:rStyle w:val="FootnoteReference"/>
        </w:rPr>
        <w:footnoteReference w:id="8"/>
      </w:r>
      <w:r w:rsidRPr="008B27B3">
        <w:t>, ypač į jo 70 straipsnį,</w:t>
      </w:r>
    </w:p>
    <w:p w:rsidR="00FF7CC1" w:rsidRPr="008B27B3" w:rsidRDefault="00FF7CC1" w:rsidP="00FF7CC1">
      <w:pPr>
        <w:pStyle w:val="NormalHanging12a"/>
      </w:pPr>
      <w:r w:rsidRPr="008B27B3">
        <w:t>–</w:t>
      </w:r>
      <w:r w:rsidRPr="008B27B3">
        <w:tab/>
        <w:t>atsižvelgdamas į 2016 m. gegužės 11 d. Europos Parlamento ir Tarybos reglamentą (ES) 2016/794 dėl Europos Sąjungos teisėsaugos bendradarbiavimo agentūros (Europolo), kuriuo pakeičiami ir panaikinami Tarybos sprendimai 2009/371/TVR, 2009/934/TVR, 2009/935/TVR, 2009/936/TVR ir 2009/968/TVR</w:t>
      </w:r>
      <w:r w:rsidRPr="008B27B3">
        <w:rPr>
          <w:rStyle w:val="FootnoteReference"/>
        </w:rPr>
        <w:footnoteReference w:id="9"/>
      </w:r>
      <w:r w:rsidRPr="008B27B3">
        <w:t>, ypač į jo 60 straipsnį,</w:t>
      </w:r>
    </w:p>
    <w:p w:rsidR="00FF7CC1" w:rsidRPr="008B27B3" w:rsidRDefault="00FF7CC1" w:rsidP="00FF7CC1">
      <w:pPr>
        <w:pStyle w:val="NormalHanging12a"/>
      </w:pPr>
      <w:r w:rsidRPr="008B27B3">
        <w:t>–</w:t>
      </w:r>
      <w:r w:rsidRPr="008B27B3">
        <w:tab/>
        <w:t>atsižvelgdamas į 2018 m. gruodžio 18 d. Komisijos deleguotąjį reglamentą (ES) 2019/715 dėl finansinio pagrindų reglamento, taikomo organams, įsteigtiems pagal SESV ir Euratomo sutartį ir nurodytiems Europos Parlamento ir Tarybos reglamento (ES, Euratomas) 2018/10467</w:t>
      </w:r>
      <w:r w:rsidRPr="008B27B3">
        <w:rPr>
          <w:rStyle w:val="FootnoteReference"/>
        </w:rPr>
        <w:footnoteReference w:id="10"/>
      </w:r>
      <w:r w:rsidRPr="008B27B3">
        <w:t xml:space="preserve"> 70 straipsnyje, ypač į jo 105 straipsnį,</w:t>
      </w:r>
    </w:p>
    <w:p w:rsidR="00FF7CC1" w:rsidRPr="008B27B3" w:rsidRDefault="00FF7CC1" w:rsidP="00FF7CC1">
      <w:pPr>
        <w:pStyle w:val="NormalHanging12a"/>
      </w:pPr>
      <w:r w:rsidRPr="008B27B3">
        <w:t>–</w:t>
      </w:r>
      <w:r w:rsidRPr="008B27B3">
        <w:tab/>
        <w:t>atsižvelgdamas į Darbo tvarkos taisyklių 100 straipsnį ir V priedą,</w:t>
      </w:r>
    </w:p>
    <w:p w:rsidR="00FF7CC1" w:rsidRPr="008B27B3" w:rsidRDefault="00FF7CC1" w:rsidP="00FF7CC1">
      <w:pPr>
        <w:pStyle w:val="NormalHanging12a"/>
      </w:pPr>
      <w:r w:rsidRPr="008B27B3">
        <w:t>–</w:t>
      </w:r>
      <w:r w:rsidRPr="008B27B3">
        <w:tab/>
        <w:t>atsižvelgdamas į Piliečių laisvių, teisingumo ir vidaus reikalų komiteto nuomonę,</w:t>
      </w:r>
    </w:p>
    <w:p w:rsidR="00FF7CC1" w:rsidRPr="008B27B3" w:rsidRDefault="00FF7CC1" w:rsidP="00FF7CC1">
      <w:pPr>
        <w:pStyle w:val="NormalHanging12a"/>
      </w:pPr>
      <w:r w:rsidRPr="008B27B3">
        <w:t>–</w:t>
      </w:r>
      <w:r w:rsidRPr="008B27B3">
        <w:tab/>
        <w:t>atsižvelgdamas į Biudžeto kontrolės komiteto pranešimą (A9</w:t>
      </w:r>
      <w:r w:rsidRPr="008B27B3">
        <w:noBreakHyphen/>
        <w:t>0119/2024),</w:t>
      </w:r>
    </w:p>
    <w:p w:rsidR="00FF7CC1" w:rsidRPr="008B27B3" w:rsidRDefault="00FF7CC1" w:rsidP="00FF7CC1">
      <w:pPr>
        <w:pStyle w:val="NormalHanging12a"/>
      </w:pPr>
      <w:r w:rsidRPr="008B27B3">
        <w:t>1.</w:t>
      </w:r>
      <w:r w:rsidRPr="008B27B3">
        <w:tab/>
        <w:t xml:space="preserve">pritaria Europos Sąjungos teisėsaugos bendradarbiavimo agentūros (Europolo) 2022 </w:t>
      </w:r>
      <w:r w:rsidRPr="008B27B3">
        <w:lastRenderedPageBreak/>
        <w:t>finansinių metų sąskaitų uždarymui;</w:t>
      </w:r>
    </w:p>
    <w:p w:rsidR="00FF7CC1" w:rsidRPr="008B27B3" w:rsidRDefault="00FF7CC1" w:rsidP="00FF7CC1">
      <w:pPr>
        <w:pStyle w:val="NormalHanging12a"/>
      </w:pPr>
      <w:r w:rsidRPr="008B27B3">
        <w:t>2.</w:t>
      </w:r>
      <w:r w:rsidRPr="008B27B3">
        <w:tab/>
        <w:t xml:space="preserve">paveda Pirmininkei perduoti šį sprendimą Europos Sąjungos teisėsaugos bendradarbiavimo agentūros (Europolo) vykdomajai direktorei, Tarybai, Komisijai ir Audito Rūmams ir pasirūpinti, kad jis būtų paskelbtas </w:t>
      </w:r>
      <w:r w:rsidRPr="008B27B3">
        <w:rPr>
          <w:i/>
        </w:rPr>
        <w:t>Europos Sąjungos oficialiajame leidinyje</w:t>
      </w:r>
      <w:r w:rsidRPr="008B27B3">
        <w:t xml:space="preserve"> (L serijoje).</w:t>
      </w:r>
    </w:p>
    <w:p w:rsidR="00FF7CC1" w:rsidRPr="008B27B3" w:rsidRDefault="00FF7CC1" w:rsidP="00FF7CC1"/>
    <w:p w:rsidR="00FF7CC1" w:rsidRPr="008B27B3" w:rsidRDefault="00FF7CC1" w:rsidP="00FF7CC1">
      <w:pPr>
        <w:pStyle w:val="PageHeading"/>
        <w:sectPr w:rsidR="00FF7CC1" w:rsidRPr="008B27B3" w:rsidSect="00F76951">
          <w:footnotePr>
            <w:numRestart w:val="eachPage"/>
          </w:footnotePr>
          <w:endnotePr>
            <w:numFmt w:val="decimal"/>
          </w:endnotePr>
          <w:pgSz w:w="11906" w:h="16838" w:code="9"/>
          <w:pgMar w:top="1134" w:right="1418" w:bottom="1418" w:left="1418" w:header="567" w:footer="567" w:gutter="0"/>
          <w:cols w:space="720"/>
          <w:noEndnote/>
          <w:docGrid w:linePitch="326"/>
        </w:sectPr>
      </w:pPr>
    </w:p>
    <w:p w:rsidR="00FF7CC1" w:rsidRPr="008B27B3" w:rsidRDefault="00FF7CC1" w:rsidP="008B27B3">
      <w:pPr>
        <w:pStyle w:val="ATHeading3"/>
      </w:pPr>
      <w:bookmarkStart w:id="10" w:name="_Toc162002526"/>
      <w:r w:rsidRPr="008B27B3">
        <w:lastRenderedPageBreak/>
        <w:t xml:space="preserve">3. </w:t>
      </w:r>
      <w:r w:rsidR="00066DF9" w:rsidRPr="008B27B3">
        <w:t>2024 m. balandžio 11 d. Europos Parlamento rezoliucija</w:t>
      </w:r>
      <w:bookmarkEnd w:id="10"/>
      <w:r w:rsidR="00066DF9" w:rsidRPr="008B27B3">
        <w:t xml:space="preserve"> </w:t>
      </w:r>
      <w:r w:rsidRPr="008B27B3">
        <w:t>su pastabomis, sudarančiomis neatskiriamą sprendimo dėl Europos Sąjungos teisėsaugos bendradarbiavimo agentūros (Europolo) 2022 finansinių metų biudžeto įvykdymo patvirtinimo dalį</w:t>
      </w:r>
      <w:r w:rsidR="00066DF9" w:rsidRPr="008B27B3">
        <w:t xml:space="preserve"> </w:t>
      </w:r>
      <w:r w:rsidRPr="008B27B3">
        <w:t>(2023/2169(DEC))</w:t>
      </w:r>
    </w:p>
    <w:p w:rsidR="00FF7CC1" w:rsidRPr="008B27B3" w:rsidRDefault="00FF7CC1" w:rsidP="00FF7CC1">
      <w:pPr>
        <w:pStyle w:val="EPComma"/>
      </w:pPr>
      <w:r w:rsidRPr="008B27B3">
        <w:rPr>
          <w:i/>
        </w:rPr>
        <w:t>Europos Parlamentas</w:t>
      </w:r>
      <w:r w:rsidRPr="008B27B3">
        <w:t>,</w:t>
      </w:r>
    </w:p>
    <w:p w:rsidR="00FF7CC1" w:rsidRPr="008B27B3" w:rsidRDefault="00FF7CC1" w:rsidP="00FF7CC1">
      <w:pPr>
        <w:pStyle w:val="NormalHanging12a"/>
      </w:pPr>
      <w:r w:rsidRPr="008B27B3">
        <w:t>–</w:t>
      </w:r>
      <w:r w:rsidRPr="008B27B3">
        <w:tab/>
        <w:t>atsižvelgdamas į savo sprendimą dėl Europos Sąjungos teisėsaugos bendradarbiavimo agentūros (Europolo) 2022 finansinių metų biudžeto įvykdymo patvirtinimo,</w:t>
      </w:r>
    </w:p>
    <w:p w:rsidR="00FF7CC1" w:rsidRPr="008B27B3" w:rsidRDefault="00FF7CC1" w:rsidP="00FF7CC1">
      <w:pPr>
        <w:pStyle w:val="NormalHanging12a"/>
      </w:pPr>
      <w:r w:rsidRPr="008B27B3">
        <w:t>–</w:t>
      </w:r>
      <w:r w:rsidRPr="008B27B3">
        <w:tab/>
        <w:t>atsižvelgdamas į Darbo tvarkos taisyklių 100 straipsnį ir V priedą,</w:t>
      </w:r>
    </w:p>
    <w:p w:rsidR="00FF7CC1" w:rsidRPr="008B27B3" w:rsidRDefault="00FF7CC1" w:rsidP="00FF7CC1">
      <w:pPr>
        <w:pStyle w:val="NormalHanging12a"/>
      </w:pPr>
      <w:r w:rsidRPr="008B27B3">
        <w:t>–</w:t>
      </w:r>
      <w:r w:rsidRPr="008B27B3">
        <w:tab/>
        <w:t>atsižvelgdamas į Piliečių laisvių, teisingumo ir vidaus reikalų komiteto nuomonę,</w:t>
      </w:r>
    </w:p>
    <w:p w:rsidR="00FF7CC1" w:rsidRPr="008B27B3" w:rsidRDefault="00FF7CC1" w:rsidP="00FF7CC1">
      <w:pPr>
        <w:pStyle w:val="NormalHanging12a"/>
      </w:pPr>
      <w:r w:rsidRPr="008B27B3">
        <w:t>–</w:t>
      </w:r>
      <w:r w:rsidRPr="008B27B3">
        <w:tab/>
        <w:t>atsižvelgdamas į Biudžeto kontrolės komiteto pranešimą (A9</w:t>
      </w:r>
      <w:r w:rsidRPr="008B27B3">
        <w:noBreakHyphen/>
        <w:t>0119/2024),</w:t>
      </w:r>
    </w:p>
    <w:p w:rsidR="00FF7CC1" w:rsidRPr="008B27B3" w:rsidRDefault="00FF7CC1" w:rsidP="00FF7CC1">
      <w:pPr>
        <w:pStyle w:val="Normal12Hanging"/>
        <w:widowControl/>
        <w:rPr>
          <w:szCs w:val="24"/>
        </w:rPr>
      </w:pPr>
      <w:r w:rsidRPr="008B27B3">
        <w:t>A.</w:t>
      </w:r>
      <w:r w:rsidRPr="008B27B3">
        <w:tab/>
        <w:t>kadangi, remiantis Europos Sąjungos teisėsaugos bendradarbiavimo agentūros (Europolo) (toliau – Agentūra) pajamų ir išlaidų suvestine</w:t>
      </w:r>
      <w:r w:rsidRPr="008B27B3">
        <w:rPr>
          <w:szCs w:val="24"/>
          <w:vertAlign w:val="superscript"/>
        </w:rPr>
        <w:footnoteReference w:id="11"/>
      </w:r>
      <w:r w:rsidRPr="008B27B3">
        <w:t>, galutinis jos 2022 finansinių metų biudžetas sudarė 197 759 722 EUR, t. y. buvo 10,91 proc. didesnis nei 2021 m.; kadangi didžiąją Agentūros biudžeto dalį sudaro Sąjungos biudžeto lėšos;</w:t>
      </w:r>
    </w:p>
    <w:p w:rsidR="00FF7CC1" w:rsidRPr="008B27B3" w:rsidRDefault="00FF7CC1" w:rsidP="00FF7CC1">
      <w:pPr>
        <w:pStyle w:val="Normal12Hanging"/>
        <w:widowControl/>
        <w:rPr>
          <w:szCs w:val="24"/>
        </w:rPr>
      </w:pPr>
      <w:r w:rsidRPr="008B27B3">
        <w:t>B.</w:t>
      </w:r>
      <w:r w:rsidRPr="008B27B3">
        <w:tab/>
        <w:t>kadangi Audito Rūmai savo ataskaitoje dėl Europos Sąjungos teisėsaugos bendradarbiavimo agentūros (Europolo) 2022 finansinių metų metinių finansinių ataskaitų (toliau – Audito Rūmų ataskaita) pažymi, kad gavo pagrįstą patikinimą, jog Agentūros metinės ataskaitos yra patikimos, o pagal jas atliktos operacijos yra teisėtos ir tvarkingos;</w:t>
      </w:r>
    </w:p>
    <w:p w:rsidR="00FF7CC1" w:rsidRPr="008B27B3" w:rsidRDefault="00FF7CC1" w:rsidP="00FF7CC1">
      <w:pPr>
        <w:pStyle w:val="Normal12Hanging"/>
        <w:widowControl/>
        <w:rPr>
          <w:b/>
          <w:i/>
          <w:szCs w:val="24"/>
        </w:rPr>
      </w:pPr>
      <w:r w:rsidRPr="008B27B3">
        <w:rPr>
          <w:b/>
          <w:i/>
        </w:rPr>
        <w:t>Biudžeto ir finansų valdymas</w:t>
      </w:r>
    </w:p>
    <w:p w:rsidR="00FF7CC1" w:rsidRPr="008B27B3" w:rsidRDefault="00FF7CC1" w:rsidP="00FF7CC1">
      <w:pPr>
        <w:pStyle w:val="NormalHanging12a"/>
      </w:pPr>
      <w:r w:rsidRPr="008B27B3">
        <w:t>1.</w:t>
      </w:r>
      <w:r w:rsidRPr="008B27B3">
        <w:tab/>
        <w:t>pažymi, kad vykdant biudžeto stebėseną nustatyta, jog 2022 m. įsipareigojimų asignavimų atžvilgiu buvo pasiektas 96,62 proc. biudžeto įvykdymo lygis, t. y. 2,10 proc. mažesnis, palyginti su 2021 m.; pažymi, kad aptariamais metais mokėjimų asignavimų panaudojimo lygis buvo 79,73 proc., t. y. 3,78 proc. mažesnis, palyginti su 2021 m.; palankiai vertina Agentūros pastangas toliau mažinti savo mokėjimų vėlavimą: nuo 32,8 proc. 2020 m. ir 7,8 proc. 2021 m. iki 7,2 proc. 2022 m.;</w:t>
      </w:r>
      <w:r w:rsidRPr="008B27B3">
        <w:rPr>
          <w:b/>
          <w:i/>
        </w:rPr>
        <w:t xml:space="preserve"> </w:t>
      </w:r>
      <w:r w:rsidRPr="008B27B3">
        <w:t>tačiau susirūpinęs pažymi, kad vis dar aktuali Audito Rūmų pastaba, kurioje pabrėžiama, jog Agentūra susiduria su sunkumais dėl vėlavimo atlikti mokėjimus; pritaria Audito Rūmų nuomonei, kad dėl šio pasikartojančio trūkumo kyla rizika Agentūros reputacijai;</w:t>
      </w:r>
    </w:p>
    <w:p w:rsidR="00FF7CC1" w:rsidRPr="008B27B3" w:rsidRDefault="00FF7CC1" w:rsidP="00FF7CC1">
      <w:pPr>
        <w:pStyle w:val="Normal12Hanging"/>
        <w:widowControl/>
        <w:rPr>
          <w:szCs w:val="24"/>
        </w:rPr>
      </w:pPr>
      <w:r w:rsidRPr="008B27B3">
        <w:t>2.</w:t>
      </w:r>
      <w:r w:rsidRPr="008B27B3">
        <w:tab/>
        <w:t xml:space="preserve">pažymi, kad iš 2021 m. į 2022 m. perkeltų lėšų (C8) panaudojimo lygis yra žemas (85 proc.) ir dėl to nepanaudota 3,8 mln. EUR asignavimų suma; pažymi, kad su dabartiniu biudžetu susiję asignavimai, perkelti iš 2021 m. į 2022 m., yra palyginti dideli – 17 proc. arba 32,5 mln. EUR; taip pat atkreipia dėmesį į tai, kad pastaraisiais metais (2020–2022 m.) toliau didėjo Agentūros perteklius (biudžeto rezultatas) finansinių metų pabaigoje, o 2022 m. toks perteklius buvo 10,3 mln. EUR, t. y. daugiau nei dvigubas, palyginti su 2021 m. suma (5,1 mln. EUR); remdamasis Agentūros 2022 m. konsoliduotąja metine veiklos ataskaita ir Agentūros ataskaita su tolesniais veiksmais, susijusiais su Parlamento sprendimu dėl Agentūros 2021 m. biudžeto įvykdymo patvirtinimo, pažymi, kad Agentūra įvertino pagrindines didelio pertekliaus </w:t>
      </w:r>
      <w:r w:rsidRPr="008B27B3">
        <w:lastRenderedPageBreak/>
        <w:t>finansinių metų pabaigoje priežastis ir su perkėlimu susijusius biudžeto vykdymo rezultatus; šiuo atžvilgiu pažymi, kad Agentūra taip pat parengė veiksmų planą; ragina Agentūrą informuoti biudžeto įvykdymą tvirtinančią instituciją apie šioje srityje padarytą pažangą;</w:t>
      </w:r>
    </w:p>
    <w:p w:rsidR="00FF7CC1" w:rsidRPr="008B27B3" w:rsidRDefault="00FF7CC1" w:rsidP="00FF7CC1">
      <w:pPr>
        <w:pStyle w:val="Normal12Hanging"/>
        <w:widowControl/>
        <w:rPr>
          <w:szCs w:val="24"/>
        </w:rPr>
      </w:pPr>
      <w:r w:rsidRPr="008B27B3">
        <w:t>3.</w:t>
      </w:r>
      <w:r w:rsidRPr="008B27B3">
        <w:tab/>
        <w:t>pažymi, kad galutinį Agentūros 2022 m. biudžetą sudaro pirmas 4,3 mln. EUR Danijos 2022 m. įnašo pakeitimas ir antras 1,1 mln. EUR pakeitimas, taikomas susitarimams dėl įnašų ir susitarimams dėl paslaugų lygio;</w:t>
      </w:r>
    </w:p>
    <w:p w:rsidR="00FF7CC1" w:rsidRPr="008B27B3" w:rsidRDefault="00FF7CC1" w:rsidP="00FF7CC1">
      <w:pPr>
        <w:pStyle w:val="Normal12Hanging"/>
        <w:widowControl/>
        <w:rPr>
          <w:b/>
          <w:i/>
          <w:szCs w:val="24"/>
        </w:rPr>
      </w:pPr>
      <w:r w:rsidRPr="008B27B3">
        <w:rPr>
          <w:b/>
          <w:i/>
        </w:rPr>
        <w:t>Veikla</w:t>
      </w:r>
    </w:p>
    <w:p w:rsidR="00FF7CC1" w:rsidRPr="008B27B3" w:rsidRDefault="00FF7CC1" w:rsidP="00FF7CC1">
      <w:pPr>
        <w:pStyle w:val="Normal12Hanging"/>
        <w:widowControl/>
        <w:rPr>
          <w:szCs w:val="24"/>
        </w:rPr>
      </w:pPr>
      <w:r w:rsidRPr="008B27B3">
        <w:t>4.</w:t>
      </w:r>
      <w:r w:rsidRPr="008B27B3">
        <w:tab/>
        <w:t>atsižvelgdamas į konsoliduotąją metinę veiklos ataskaitą, džiaugdamasis pažymi, kad Agentūra naudojo pagrindinius veiklos rezultatų rodiklius ir darbo programos rodiklius, kad įvertintų jos veiklos teikiamą pridėtinę vertę, ir kitas priemones, kuriomis siekė pagerinti biudžeto valdymą 2022 m.; pažymi, kad Agentūra stebėjo 15 pagrindinių veiklos rezultatų rodiklių (PVRR) ir 56 darbo programos rodiklius (DPR); pažymi, kad 10 PVRR ir 40 DPR pasiekė arba viršijo nustatytus tikslus; atsižvelgdamas į tai, palankiai vertina tai, kad, palyginti su ankstesniais metais, pagerėjo rezultatai, susiję su kai kuriais PVRR – tai lėmė Agentūros remiamų operacijų skaičius (2 758) ir veiklos dienų skaičius (394), taip pat EIS ir QUEST atliktų paieškų skaičius (13 mln.) ir tarpvalstybinių asmens kriminalistinių patikrų EIS skaičius (2 339);</w:t>
      </w:r>
    </w:p>
    <w:p w:rsidR="00FF7CC1" w:rsidRPr="008B27B3" w:rsidRDefault="00FF7CC1" w:rsidP="00FF7CC1">
      <w:pPr>
        <w:pStyle w:val="Normal12Hanging"/>
        <w:widowControl/>
        <w:rPr>
          <w:szCs w:val="24"/>
        </w:rPr>
      </w:pPr>
      <w:r w:rsidRPr="008B27B3">
        <w:t>5.</w:t>
      </w:r>
      <w:r w:rsidRPr="008B27B3">
        <w:tab/>
        <w:t>giria Agentūrą už plačius pasiekimus įgyvendinant savo penkis daugiamečius strateginius prioritetus, nustatytus 2020 m.+ Europolo strategijoje; ypač atkreipia dėmesį į Informacijos valdymo skyriaus įsteigimą, IRT strategijos, kuri turėtų padėti įgyvendinti Agentūros strategiją informacijos valdymo srityje, sukūrimą ir naujo veiklos vertės modelio, skirto IRT rezultatų pažangai stebėti, įgyvendinimą; pažymi, kad Europolo inovacijų laboratorija tapo Informacijos valdymo skyriaus dalimi struktūroje, kuri, kaip tikimasi, padės glaudžiau bendradarbiauti įgyvendinant persvarstytą Europolo reglamentą, ir sukūrė Europolo priemonių saugyklą, skirtą moksliniams tyrimams ir inovacijoms valstybėse narėse remti, keistis patirtimi ir sinergijai skatinti; taip pat atkreipia dėmesį į tai, kad įsteigtas Skaitmeninės paramos skyrius, kurio tikslas – veiksmingai ir efektyviai reaguoti į valstybių narių ir Agentūros tyrimų poreikius, visų pirma susijusius su sudėtingomis bylomis, kurioms reikia skaitmeninės ekspertizės pagalbos;</w:t>
      </w:r>
    </w:p>
    <w:p w:rsidR="00FF7CC1" w:rsidRPr="008B27B3" w:rsidRDefault="00FF7CC1" w:rsidP="00FF7CC1">
      <w:pPr>
        <w:pStyle w:val="Normal12Hanging"/>
        <w:widowControl/>
      </w:pPr>
      <w:r w:rsidRPr="008B27B3">
        <w:t>6.</w:t>
      </w:r>
      <w:r w:rsidRPr="008B27B3">
        <w:tab/>
        <w:t xml:space="preserve">giria Agentūros greitą reagavimą ir jos paramą valstybėms narėms kovojant su nusikalstamumu po neteisėtos ir neišprovokuotos Rusijos invazijos į Ukrainą, pvz., ekspertų ir pakviestųjų pareigūnų siuntimą, kad jie padėtų vietos teisėsaugos institucijoms šalyse, kurios ribojasi su Ukraina, arba finansinių tyrimų dėl nusikalstamu būdu įgyto turto, priklausančio fiziniams ir juridiniams asmenims, kuriems taikomos sankcijos dėl šio karo, rėmimą; be to, pažymi, kad 2022 m. Agentūra paskelbė kelis galimų karo padarinių grėsmių vertinimus, taip pat išankstinius perspėjimus ir žvalgybos pranešimus dėl, pvz., prekybos ginklais ir prekybos žmonėmis; taip pat ragina Agentūrą dėti visas pastangas siekiant remti Sąjungos ir valstybių narių veiksmus šioje srityje; pažymi, kad neteisėta karinė invazija sukėlė humanitarinę krizę ir paskatino daug žmonių bėgti iš Ukrainos į Sąjungą, o tai reiškia, kad oportunistiniai nusikaltėlių tinklai gali pasinaudoti šia padėtimi siekdami plėsti savo nusikalstamą veiklą; taip pat pabrėžia, kad išplėtus Agentūros kompetenciją, susijusią su parama valstybėms narėms ir bendradarbiavimu su privačiais subjektais, trečiosiomis šalimis ir tarptautinėmis organizacijomis, reikėtų sukurti papildomus vidaus ir išorės priežiūros </w:t>
      </w:r>
      <w:r w:rsidRPr="008B27B3">
        <w:lastRenderedPageBreak/>
        <w:t>mechanizmus, kad būtų užtikrintas Sąjungos teisės laikymasis ir pagrindinių teisių apsauga;</w:t>
      </w:r>
    </w:p>
    <w:p w:rsidR="00FF7CC1" w:rsidRPr="008B27B3" w:rsidRDefault="00FF7CC1" w:rsidP="00FF7CC1">
      <w:pPr>
        <w:pStyle w:val="Normal12Hanging"/>
        <w:widowControl/>
      </w:pPr>
      <w:r w:rsidRPr="008B27B3">
        <w:t>7.</w:t>
      </w:r>
      <w:r w:rsidRPr="008B27B3">
        <w:tab/>
        <w:t>pažymi, kad Agentūra toliau glaudžiai bendradarbiavo su eu-LISA, kad kelionių prašymų duomenys iš Europos kelionių informacijos ir leidimų sistemos (ETIAS) būtų automatiškai tikrinami su Europolo duomenimis; pažymi, kad Tarybos sprendimu ETIAS veikimo pradžia buvo atidėta iki 2023 m. lapkričio mėn.; palankiai vertina tai, kad 2022 m. Agentūra išplėtė savo bendradarbiavimą su Europos prokuratūra, o iki metų pabaigos parėmė 21 didelę Europos prokuratūros operaciją mokesčių slėpimo srityje;</w:t>
      </w:r>
    </w:p>
    <w:p w:rsidR="00FF7CC1" w:rsidRPr="008B27B3" w:rsidRDefault="00FF7CC1" w:rsidP="00FF7CC1">
      <w:pPr>
        <w:pStyle w:val="NormalHanging12a"/>
        <w:widowControl/>
        <w:rPr>
          <w:b/>
          <w:i/>
          <w:szCs w:val="24"/>
        </w:rPr>
      </w:pPr>
      <w:r w:rsidRPr="008B27B3">
        <w:rPr>
          <w:b/>
          <w:i/>
        </w:rPr>
        <w:t>Veiksmingumas ir nauda</w:t>
      </w:r>
    </w:p>
    <w:p w:rsidR="00FF7CC1" w:rsidRPr="008B27B3" w:rsidRDefault="00FF7CC1" w:rsidP="00FF7CC1">
      <w:pPr>
        <w:pStyle w:val="Normal12Hanging"/>
        <w:widowControl/>
      </w:pPr>
      <w:r w:rsidRPr="008B27B3">
        <w:t>8.</w:t>
      </w:r>
      <w:r w:rsidRPr="008B27B3">
        <w:tab/>
        <w:t>džiaugdamasis pažymi, kad Agentūra peržiūrėjo savo 2020 m.+ Europolo strategiją ir pritaikė savo strateginius prioritetus prie dabartinių valstybių narių operatyvinių poreikių ir grėsmių saugumui, su kuriomis jos susiduria, taip siekdama pagerinti Agentūros veiklos rezultatus; šiuo atžvilgiu atkreipia dėmesį į naują strateginį prioritetą suburti atitinkamus partnerius, įskaitant Šengeno asocijuotąsias šalis, Interpolą ir Sąjungos teisingumo ir vidaus reikalų srities agentūras, tarpvalstybiniam bendradarbiavimui ir bendriems veiksmams;</w:t>
      </w:r>
    </w:p>
    <w:p w:rsidR="00FF7CC1" w:rsidRPr="008B27B3" w:rsidRDefault="00FF7CC1" w:rsidP="00FF7CC1">
      <w:pPr>
        <w:pStyle w:val="NormalHanging12a"/>
        <w:widowControl/>
        <w:rPr>
          <w:szCs w:val="24"/>
        </w:rPr>
      </w:pPr>
      <w:r w:rsidRPr="008B27B3">
        <w:t>9.</w:t>
      </w:r>
      <w:r w:rsidRPr="008B27B3">
        <w:tab/>
        <w:t>atsižvelgdamas į Agentūros atsakymus į Parlamento raštu pateiktus klausimus, su džiaugsmu atkreipia dėmesį į Agentūros išplėstas priemones ir praktiką, kuriomis siekiama padidinti veiksmingumą</w:t>
      </w:r>
      <w:r w:rsidR="003C4A1B" w:rsidRPr="008B27B3">
        <w:t xml:space="preserve"> ir naudą</w:t>
      </w:r>
      <w:r w:rsidRPr="008B27B3">
        <w:t>, be kita ko, tokiose srityse kaip pagrindinės veiklos IRT sprendimai (operacijų vykdymas viduje, o ne perdavimas trečiosioms šalims), žmogiškųjų išteklių tarnybų skaitmenizacija (e. įdarbinimas, e. mokymas) ir biudžeto vykdymo stebėsenos priemonės, laisvų darbo vietų skaičius, sutarčių viršutinės ribos viešųjų pirkimų procedūrose ir aplinkosaugos rodikliai; giria Agentūrą už tai, kad ji įgyvendino viešųjų pirkimų valdymo priemonę, taip pat už dalijimąsi viešųjų pirkimų procedūromis su kitomis agentūromis;</w:t>
      </w:r>
    </w:p>
    <w:p w:rsidR="00FF7CC1" w:rsidRPr="008B27B3" w:rsidRDefault="00FF7CC1" w:rsidP="00FF7CC1">
      <w:pPr>
        <w:pStyle w:val="NormalHanging12a"/>
        <w:widowControl/>
        <w:rPr>
          <w:szCs w:val="24"/>
        </w:rPr>
      </w:pPr>
      <w:r w:rsidRPr="008B27B3">
        <w:t>10.</w:t>
      </w:r>
      <w:r w:rsidRPr="008B27B3">
        <w:tab/>
        <w:t>pažymi, kad pasikeitus Sąjungos sąveikumo darbotvarkės planavimui reikėjo iš naujo planuoti Agentūros vidaus veiklą ir išteklius, todėl prireikė papildomų darbuotojų; atsižvelgdamas į tai, atkreipia dėmesį į pasiektą susitarimą, pagal kurį 25 Europos sienų ir pakrančių apsaugos agentūros darbuotojai nuo 2024 m. padės Agentūrai vykdyti savo įsipareigojimus atliekant poveikio vertinimą; taip pat atkreipia dėmesį į spaudimą Agentūros ištekliams, susijusį su konsultavimosi su Europos duomenų apsaugos priežiūros pareigūnu (EDAPP) procedūromis, nes 25 Agentūros darbuotojai buvo paskirti EDAPP veiksmams vykdyti; giria Agentūrą už tai, kad ji glaudžiai bendradarbiauja su Europos duomenų apsaugos priežiūros pareigūnu ir įgyvendina jo rekomendacijas, susijusias su įvairių sistemų, pvz., EPRIS, ADEP, SIS, PERSI ir QUEST+, naudojimu; atkreipia dėmesį į Agentūros pastabą, susijusią su vėlavimu įdiegti PERCI (Sąjungos neteisėto turinio internete platformą), kad taip atsitiko dėl Europos duomenų apsaugos priežiūros pareigūno nuomonių ir susijusių rekomendacijų poveikio itin svarbiems veiklos pokyčiams; giria Agentūrą už tai, kad ji paskyrė savo pagrindinių teisių pareigūną, kuris padės Agentūrai užtikrinti pagarbą pagrindinėms teisėms, Agentūrai vykdant visą savo veiklą ir užduotis;</w:t>
      </w:r>
    </w:p>
    <w:p w:rsidR="00FF7CC1" w:rsidRPr="008B27B3" w:rsidRDefault="00FF7CC1" w:rsidP="00FF7CC1">
      <w:pPr>
        <w:pStyle w:val="NormalHanging12a"/>
      </w:pPr>
      <w:r w:rsidRPr="008B27B3">
        <w:t>11.</w:t>
      </w:r>
      <w:r w:rsidRPr="008B27B3">
        <w:tab/>
        <w:t xml:space="preserve">giria Agentūrą už tai, kad 2022 m. ji užregistruota aplinkosaugos vadybos ir audito sistemoje (EMAS); taip pat giria Agentūrą už tai, kad ji taikė žaliųjų viešųjų pirkimų kriterijus, ir už tai, kad Agentūros aplinkosaugos politika ir tikslai buvo įtraukti į jos </w:t>
      </w:r>
      <w:r w:rsidRPr="008B27B3">
        <w:lastRenderedPageBreak/>
        <w:t>viešųjų pirkimų procedūras; pažymi, kad Agentūra inicijavo galimybių studijos projektą, skirtą Agentūros 2030 m. aplinkos vizijai parengti, taip siekiant nustatyti Agentūros išmetamo šiltnamio efektą sukeliančių dujų kiekio mažinimo tikslus ir tobulinimo priemones, kurių reikia šiems tikslams pasiekti; ragina Agentūrą informuoti biudžeto įvykdymą tvirtinančią instituciją apie šio tyrimo rezultatus;</w:t>
      </w:r>
      <w:r w:rsidRPr="008B27B3">
        <w:rPr>
          <w:b/>
          <w:i/>
        </w:rPr>
        <w:t xml:space="preserve"> </w:t>
      </w:r>
      <w:r w:rsidRPr="008B27B3">
        <w:t>prašo Agentūros apsvarstyti galimybę įgyvendinti tarpinius tvarius ir efektyvaus energijos vartojimo sprendimus, susijusius tiek su jos infrastruktūra, tiek su vidaus procesais, pvz., didesniu skaitmeninių priemonių naudojimu ir dokumentų valdymu;</w:t>
      </w:r>
    </w:p>
    <w:p w:rsidR="00FF7CC1" w:rsidRPr="008B27B3" w:rsidRDefault="00FF7CC1" w:rsidP="00FF7CC1">
      <w:pPr>
        <w:pStyle w:val="Normal12Hanging"/>
        <w:widowControl/>
        <w:rPr>
          <w:b/>
          <w:i/>
          <w:szCs w:val="24"/>
        </w:rPr>
      </w:pPr>
      <w:r w:rsidRPr="008B27B3">
        <w:rPr>
          <w:b/>
          <w:i/>
        </w:rPr>
        <w:t>Personalo politika</w:t>
      </w:r>
    </w:p>
    <w:p w:rsidR="00FF7CC1" w:rsidRPr="008B27B3" w:rsidRDefault="00FF7CC1" w:rsidP="00FF7CC1">
      <w:pPr>
        <w:pStyle w:val="Normal12Hanging"/>
        <w:widowControl/>
        <w:rPr>
          <w:szCs w:val="24"/>
        </w:rPr>
      </w:pPr>
      <w:r w:rsidRPr="008B27B3">
        <w:t>12.</w:t>
      </w:r>
      <w:r w:rsidRPr="008B27B3">
        <w:tab/>
        <w:t>pažymi, kad 2022 m. gruodžio 31 d. etatų planas buvo įvykdytas 99,41 proc.: iš 686 laikinųjų darbuotojų, kurių etatai patvirtinti pagal Sąjungos biudžetą (2021 m. jų buvo 615), paskirti 682 laikinieji darbuotojai; pažymi, kad 2022 m. Agentūroje dar dirbo 236 sutartininkai (iš jų 19 buvo finansuojama dotacijomis ir pagal susitarimus) ir 55 deleguotieji nacionaliniai ekspertai (pagal Sąjungos biudžetą patvirtintų pareigybių yra atitinkamai 235 ir 71); taip pat pažymi, kad į 2022 m. etatų planą neįtraukta 11 papildomų laikinųjų darbuotojų etatų, kurie buvo skirti ribotam laikotarpiui, kad laisvų darbo vietų skaičius būtų kuo mažesnis; pažymi, kad Agentūroje skiriamos penkios deleguotųjų nacionalinių ekspertų kategorijos – dėl keturių iš jų Agentūros biudžetas nepatiria jokių išlaidų arba patiria ribotas išlaidas ir šioms keturioms kategorijoms priklausė dar 152 asmenys, taigi, deleguotųjų nacionalinių ekspertų skaičius 2022 m. iš viso siekė 207; palankiai vertina tai, kad 2022 m. Agentūros laisvų darbo vietų lygis buvo žemas (0,6 proc.), t. y. gerokai mažesnis už metinį tikslą, kad didžiausias laisvų darbo vietų rodiklis siektų 2 proc.; taip pat pažymi, kad Agentūros darbuotojų kaitos rodiklis nuo 6,9 proc. 2021 m. padidėjo iki 9,12 proc. 2022 m.;</w:t>
      </w:r>
    </w:p>
    <w:p w:rsidR="00FF7CC1" w:rsidRPr="008B27B3" w:rsidRDefault="00FF7CC1" w:rsidP="00FF7CC1">
      <w:pPr>
        <w:pStyle w:val="NormalHanging12a"/>
      </w:pPr>
      <w:r w:rsidRPr="008B27B3">
        <w:t>13.</w:t>
      </w:r>
      <w:r w:rsidRPr="008B27B3">
        <w:tab/>
        <w:t>pabrėžia, kad, atsižvelgdama į 2022 m. Rusijos invaziją į Ukrainą, Agentūra keliose valstybėse narėse, pvz., Lietuvoje, Slovakijoje, Vengrijoje, Rumunijoje ir Bulgarijoje, taip pat tokiose šalyse partnerėse kaip Moldova dislokavo operatyvines grupes, sudarytas iš nemokamai deleguojamų nacionalinių ekspertų, taip padidindama savo naudojimąsi nemokamai deleguojamų nacionalinių ekspertų paslaugomis; atkreipia dėmesį į tai, kad nemokamai deleguojamų nacionalinių ekspertų pajamos ir toliau priklauso nuo nacionalinių sprendimų ir kad kai kurios valstybės narės nusprendė tokiais atvejais toliau nemokėti atlyginimų, todėl jie lieka priklausomi nuo jiems mokamų dienpinigių; primena, kad, nors dienpinigiai turėtų būti kas trejus metus koreguojami pagal korekcinį koeficientą ir jais turėtų būti kompensuojamos didesnės pragyvenimo išlaidos atsižvelgiant į infliacijos rodiklius, šios sumos pastaruosius šešerius metus nesikeitė; ragina Agentūrą pradėti konstruktyvų dialogą su Komisija ir kompetentingomis nacionalinėmis institucijomis siekiant užtikrinti teisingą kompensaciją visiems Agentūros įdarbintiems ekspertams;</w:t>
      </w:r>
    </w:p>
    <w:p w:rsidR="00FF7CC1" w:rsidRPr="008B27B3" w:rsidRDefault="00FF7CC1" w:rsidP="00FF7CC1">
      <w:pPr>
        <w:pStyle w:val="NormalHanging12a"/>
      </w:pPr>
      <w:r w:rsidRPr="008B27B3">
        <w:t>14.</w:t>
      </w:r>
      <w:r w:rsidRPr="008B27B3">
        <w:tab/>
        <w:t xml:space="preserve">susirūpinęs atkreipia dėmesį į 2022 m. Agentūros informaciją apie lyčių pasiskirstymą tarp vyresniųjų ir viduriniosios grandies vadovų (82 proc. jų sudarė vyrai – 28 vyrai ir 6 moterys), Valdybos narių (75 proc. jų sudarė vyrai – 38 vyrai ir 13 moterų) ir visų darbuotojų (65 proc. jų sudarė vyrai – 556 vyrai ir 295 moterys); pripažįsta, kad, remiantis Eurostato 2021 m. statistiniais duomenimis, 2022 m. Agentūroje dirbančių moterų dalis (35 proc.) viršija Sąjungos teisėsaugos srityje (policijos pareigūnai, profesionalūs teisėjai ir kalėjimų darbuotojai) dirbančių moterų dalies procentinį vidurkį (21,6 proc.); primena, kad svarbu užtikrinti lyčių pusiausvyrą, ir ragina Agentūrą atsižvelgti į šį aspektą ateityje įdarbinant darbuotojus ir skiriant vyresniuosius ir </w:t>
      </w:r>
      <w:r w:rsidRPr="008B27B3">
        <w:lastRenderedPageBreak/>
        <w:t>viduriniosios grandies vadovus; prašo Komisijos ir valstybių narių atsižvelgti į tai, kad svarbu užtikrinti lyčių pusiausvyrą skiriant savo narius į Agentūros valdybą;</w:t>
      </w:r>
    </w:p>
    <w:p w:rsidR="00FF7CC1" w:rsidRPr="008B27B3" w:rsidRDefault="00FF7CC1" w:rsidP="00FF7CC1">
      <w:pPr>
        <w:pStyle w:val="NormalHanging12a"/>
      </w:pPr>
      <w:r w:rsidRPr="008B27B3">
        <w:t>15.</w:t>
      </w:r>
      <w:r w:rsidRPr="008B27B3">
        <w:tab/>
        <w:t>pažymi, kad 2022 m. Agentūros medicinos tarnyba pranešė apie tris naujus profesinio perdegimo atvejus; taip pat pažymi, kad Agentūra įgyvendino savo darbuotojų gerovės gerinimo priemones, pvz., pradėjo teikti konsultacijas dėl profesinės sveikatos ir gyvenimo būdo, įdiegė darbo ne visą darbo laiką dėl medicininių priežasčių tvarkaraštį, pradėjo teikti siuntimus medicinos specialistams, teikti konsultacijas vadovams, teikiantiems pagalbą darbuotojams, ir kt.; pažymi, kad Valdyba pritarė tam, kad pagal analogiją Agentūrai būtų taikomas Komisijos sprendimas C (2022) dėl darbo laiko ir mišraus darbo, kuriuo pakeičiamos ankstesnės įgyvendinimo nuostatos dėl darbo laiko ir nuotolinio darbo, taip siekiant sukurti sistemą, pagal kurią darbas biure ir nuotolinis darbas būtų laikomi lygiaverčiais darbo būdais; ragina Agentūrą toliau ieškoti sprendimų profesinio perdegimo atvejų skaičiui sumažinti ir informuoti biudžeto įvykdymą tvirtinančią instituciją apie padarytą pažangą;</w:t>
      </w:r>
    </w:p>
    <w:p w:rsidR="00FF7CC1" w:rsidRPr="008B27B3" w:rsidRDefault="00FF7CC1" w:rsidP="00FF7CC1">
      <w:pPr>
        <w:pStyle w:val="NormalHanging12a"/>
      </w:pPr>
      <w:r w:rsidRPr="008B27B3">
        <w:t>16.</w:t>
      </w:r>
      <w:r w:rsidRPr="008B27B3">
        <w:tab/>
        <w:t>remdamasis Agentūros atsakymais į Parlamento raštu pateiktus klausimus, pažymi, kad, nors Agentūra neįgyvendino Įvairovės ir įtraukties chartijos, ji parengė savo įvairovės ir įtraukties strategiją; taip pat pažymi, kad 2022 m. Agentūra peržiūrėjo ir priėmė Valdybos sprendimo dėl asmens orumo apsaugos ir psichologinio bei seksualinio priekabiavimo prevencijos politikos įgyvendinimo procedūrų vadovą; pažymi, kad 2017–2022 m. laikotarpiu Agentūra kreipėsi išorės teisinių konsultacijų dėl dviejų įtariamo priekabiavimo atvejų; pažymi, kad 2022 m. nebuvo kreiptasi į teismą dėl jokių su Agentūros darbuotojais susijusių priekabiavimo atvejų;</w:t>
      </w:r>
      <w:r w:rsidRPr="008B27B3">
        <w:rPr>
          <w:b/>
          <w:i/>
        </w:rPr>
        <w:t xml:space="preserve"> </w:t>
      </w:r>
      <w:r w:rsidRPr="008B27B3">
        <w:t>pabrėžia, kad svarbu turėti tvirtas kovos su priekabiavimu sistemas, ypač daug streso keliančioje ir daug pastangų reikalaujančioje darbo aplinkoje; ragina Agentūrą pradėti taikyti mokymo šiais klausimais sistemą, skirtą tiek naujiems, tiek esamiems darbuotojams;</w:t>
      </w:r>
    </w:p>
    <w:p w:rsidR="00FF7CC1" w:rsidRPr="008B27B3" w:rsidRDefault="00FF7CC1" w:rsidP="00FF7CC1">
      <w:pPr>
        <w:pStyle w:val="NormalHanging12a"/>
        <w:widowControl/>
        <w:rPr>
          <w:b/>
          <w:i/>
          <w:szCs w:val="24"/>
        </w:rPr>
      </w:pPr>
      <w:r w:rsidRPr="008B27B3">
        <w:rPr>
          <w:b/>
          <w:i/>
        </w:rPr>
        <w:t>Viešieji pirkimai</w:t>
      </w:r>
    </w:p>
    <w:p w:rsidR="00FF7CC1" w:rsidRPr="008B27B3" w:rsidRDefault="00FF7CC1" w:rsidP="00FF7CC1">
      <w:pPr>
        <w:pStyle w:val="NormalHanging12a"/>
        <w:widowControl/>
        <w:rPr>
          <w:szCs w:val="24"/>
        </w:rPr>
      </w:pPr>
      <w:r w:rsidRPr="008B27B3">
        <w:t>17.</w:t>
      </w:r>
      <w:r w:rsidRPr="008B27B3">
        <w:tab/>
        <w:t xml:space="preserve">atkreipia dėmesį į Audito Rūmų ataskaitos pastabą, kad 2022 m. Agentūra išmokėjo 3,3 mln. EUR dotaciją nacionalinių policijos pajėgų veiklai valstybėje narėje finansuoti, įskaitant 1,4 mln. EUR kompensaciją už penkių laivų įsigijimą ir 7 proc. atidėjinį susijusioms pridėtinėms išlaidoms, įskaitant PVM; remdamasis Audito Rūmų vertinimu, pažymi, kad, atsižvelgiant į Finansinio reglamento 186 straipsnio 4 dalies c punktą, įsigyjant laivus policijos mokymams, PVM neturėjo būti grąžintas, nes paramos gavėjas yra viešosios teisės reglamentuojama valdžios institucija ir vykdė veiklą kaip valdžios institucija, todėl ta dotacijos dalis, kuri yra lygi 0,2 mln. EUR, buvo neteisėta; remdamasis Agentūros atsakymu pripažįsta, kad, atsižvelgdama į Tarybos sprendimo 2008/617/TVR dėl Europos Sąjungos valstybių narių specialiųjų intervencijos padalinių bendradarbiavimo krizinėse situacijose gerinimo 5 straipsnį, kuriame nustatyta, kad specialieji intervencijos padaliniai turi užtikrinti bendrus mokymus ir pratybas, o dotacija veiklai buvo susijusi su vienos valstybės narės koordinuojamų specialiųjų intervencijos padalinių veikla, Agentūra laikėsi nuomonės, kad pagal Finansinio reglamento 186 straipsnio 4 dalies c punktą ir atitinkamas konkrečias Komisijos dotacijų administravimo įgyvendinimo gaires, PVM yra tinkamos finansuoti išlaidos, kai jis nėra susigrąžinamas pagal taikytinus nacionalinės teisės aktus ir kai jis susijęs su mokymu, informuotumo didinimu ar panašia veikla saugumo srityje, išskyrus PVM, kurį valstybės narės sumoka kaip valdžios institucijos, veikdamos kaip viešosios valdžios institucijos, visų pirma, tais atvejais, kai privačios įmonės negali teikti atitinkamų paslaugų; galiausiai, kalbant apie tolesnius veiksmus, pažymi Agentūros </w:t>
      </w:r>
      <w:r w:rsidRPr="008B27B3">
        <w:lastRenderedPageBreak/>
        <w:t>įsipareigojimą atsižvelgiant į Audito Rūmų pastabas įvertinti, ar PVM tinkamas finansuoti dotacijos veiklai lėšomis;</w:t>
      </w:r>
    </w:p>
    <w:p w:rsidR="00FF7CC1" w:rsidRPr="008B27B3" w:rsidRDefault="00FF7CC1" w:rsidP="00FF7CC1">
      <w:pPr>
        <w:pStyle w:val="NormalHanging12a"/>
        <w:widowControl/>
        <w:rPr>
          <w:b/>
          <w:i/>
          <w:szCs w:val="24"/>
        </w:rPr>
      </w:pPr>
      <w:r w:rsidRPr="008B27B3">
        <w:rPr>
          <w:b/>
          <w:i/>
        </w:rPr>
        <w:t>Interesų konfliktų prevencija ir valdymas, taip pat skaidrumas</w:t>
      </w:r>
    </w:p>
    <w:p w:rsidR="00FF7CC1" w:rsidRPr="008B27B3" w:rsidRDefault="00FF7CC1" w:rsidP="00FF7CC1">
      <w:pPr>
        <w:pStyle w:val="NormalHanging12a"/>
      </w:pPr>
      <w:r w:rsidRPr="008B27B3">
        <w:t>18.</w:t>
      </w:r>
      <w:r w:rsidRPr="008B27B3">
        <w:tab/>
        <w:t>atkreipia dėmesį į esamas Agentūros priemones ir nuolatines pastangas užtikrinti skaidrumą, interesų konfliktų prevenciją ir valdymą bei pranešėjų apie pažeidimus apsaugą; džiaugdamasis pažymi, kad Agentūros interneto svetainėje skelbiamos visų valdybos narių ir vyresniosios vadovybės atstovų interesų deklaracijos bei gyvenimo aprašymai;</w:t>
      </w:r>
      <w:r w:rsidRPr="008B27B3">
        <w:rPr>
          <w:b/>
          <w:i/>
        </w:rPr>
        <w:t xml:space="preserve"> </w:t>
      </w:r>
      <w:r w:rsidRPr="008B27B3">
        <w:t>ragina Agentūrą apsvarstyti priemones, kuriomis būtų užkirstas kelias ir „sukamųjų durų“ reiškiniui;</w:t>
      </w:r>
    </w:p>
    <w:p w:rsidR="00FF7CC1" w:rsidRPr="008B27B3" w:rsidRDefault="00FF7CC1" w:rsidP="00FF7CC1">
      <w:pPr>
        <w:pStyle w:val="NormalHanging12a"/>
        <w:widowControl/>
        <w:rPr>
          <w:szCs w:val="24"/>
        </w:rPr>
      </w:pPr>
      <w:r w:rsidRPr="008B27B3">
        <w:t>19.</w:t>
      </w:r>
      <w:r w:rsidRPr="008B27B3">
        <w:tab/>
        <w:t>pažymi, kad 2022 m. Agentūra išnagrinėjo šešis atvejus, susijusius su interesų konfliktais, iš kurių du buvo susiję su patarėjo vaidmeniu atrankos procese, vienas paaiškėjo įdarbinant laimėjusį kandidatą prieš pradedant eiti pareigas Agentūroje ir du buvo susiję su tarnybą baigusiais darbuotojais; taip pat pažymi, kad buvo imtasi tinkamų su šiais atvejais susijusių priemonių, įskaitant sąlyginius leidimus įsidarbinti baigus tarnybą; atkreipia dėmesį į tai, kad 2022 m. Agentūra išnagrinėjo vieną informavimo apie pažeidimus atvejį, kuris buvo baigtas nagrinėti nesiimant tolesnių veiksmų dėl galimo profesinių pareigų pažeidimo;</w:t>
      </w:r>
    </w:p>
    <w:p w:rsidR="00FF7CC1" w:rsidRPr="008B27B3" w:rsidRDefault="00FF7CC1" w:rsidP="00FF7CC1">
      <w:pPr>
        <w:pStyle w:val="NormalHanging12a"/>
      </w:pPr>
      <w:r w:rsidRPr="008B27B3">
        <w:t>20.</w:t>
      </w:r>
      <w:r w:rsidRPr="008B27B3">
        <w:tab/>
        <w:t>reiškia susirūpinimą dėl žiniasklaidos pranešimų apie Agentūros darbuotojų interesų konfliktus; pažymi, kad 2023 m. gruodžio mėn. Europos ombudsmenė nusprendė pradėti tyrimą, kad ištirtų, kaip Agentūra sprendė dviejų buvusių darbuotojų perkėlimo į pareigas, susijusias su kova su seksualine prievarta prieš vaikus internete, klausimą; pažymi, kad pirmasis darbuotojas 2022 m. pradžioje prisijungė prie vieno iš pagrindinių technologijų suinteresuotųjų subjektų, o antrasis vėliau tais metais prie to paties suinteresuotojo subjekto prisijungė kaip valdybos narys; atkreipia dėmesį į Agentūros pateiktą atsakymą ir ragina kruopščiai ištirti įtarimus bei apie jų rezultatus pranešti biudžeto įvykdymą tvirtinančiai institucijai;</w:t>
      </w:r>
    </w:p>
    <w:p w:rsidR="00FF7CC1" w:rsidRPr="008B27B3" w:rsidRDefault="00FF7CC1" w:rsidP="00FF7CC1">
      <w:pPr>
        <w:pStyle w:val="NormalHanging12a"/>
        <w:widowControl/>
        <w:rPr>
          <w:szCs w:val="24"/>
        </w:rPr>
      </w:pPr>
      <w:r w:rsidRPr="008B27B3">
        <w:rPr>
          <w:b/>
          <w:i/>
        </w:rPr>
        <w:t>Vidaus kontrolė</w:t>
      </w:r>
    </w:p>
    <w:p w:rsidR="00FF7CC1" w:rsidRPr="008B27B3" w:rsidRDefault="00FF7CC1" w:rsidP="00FF7CC1">
      <w:pPr>
        <w:pStyle w:val="Normal12Hanging"/>
        <w:widowControl/>
        <w:rPr>
          <w:szCs w:val="24"/>
        </w:rPr>
      </w:pPr>
      <w:r w:rsidRPr="008B27B3">
        <w:t>21.</w:t>
      </w:r>
      <w:r w:rsidRPr="008B27B3">
        <w:tab/>
        <w:t xml:space="preserve">atkreipia dėmesį į Audito Rūmų ataskaitoje pateiktą pastabą, kad 2020–2022 m. Agentūra trims Nyderlandų piliečiams, įdarbintiems kaip deleguotieji nacionaliniai ekspertai (DNE), mokėjo dienpinigius; atkreipia dėmesį, kad, kadangi Agentūra įsikūrusi Nyderlanduose, pagal Agentūros vidaus taisykles tie trys DNE neturėjo teisės gauti tų išmokų; taip pat pažymi, kad, nors 2022 m. gruodžio mėn. Agentūra sustabdė dienpinigių mokėjimą tiems trims DNE, ji nusprendė nereikalauti grąžinti per tą laikotarpį išmokėtų sumų; pažymi, kad bendra su šiais mokėjimais susijusi suma buvo 155 553 EUR, iš kurių 90 605 EUR buvo išmokėta 2022 m.; yra susirūpinęs dėl trūkumų, susijusių su Agentūros </w:t>
      </w:r>
      <w:r w:rsidRPr="008B27B3">
        <w:rPr>
          <w:i/>
          <w:iCs/>
        </w:rPr>
        <w:t>ex ante</w:t>
      </w:r>
      <w:r w:rsidRPr="008B27B3">
        <w:t xml:space="preserve"> patikromis trejų metų laikotarpiu; remdamasis Agentūros atsakymu į Audito Rūmų pastabą, pažymi, kad Agentūra sustiprino </w:t>
      </w:r>
      <w:r w:rsidRPr="008B27B3">
        <w:rPr>
          <w:i/>
          <w:iCs/>
        </w:rPr>
        <w:t>ex ante</w:t>
      </w:r>
      <w:r w:rsidRPr="008B27B3">
        <w:t xml:space="preserve"> patikras, kad darbuotojų finansinių teisių teisėtumas būtų užtikrintas prieš mokėjimą;</w:t>
      </w:r>
    </w:p>
    <w:p w:rsidR="00FF7CC1" w:rsidRPr="008B27B3" w:rsidRDefault="00FF7CC1" w:rsidP="00FF7CC1">
      <w:pPr>
        <w:pStyle w:val="Normal12Hanging"/>
        <w:widowControl/>
        <w:rPr>
          <w:szCs w:val="24"/>
        </w:rPr>
      </w:pPr>
      <w:r w:rsidRPr="008B27B3">
        <w:t>22.</w:t>
      </w:r>
      <w:r w:rsidRPr="008B27B3">
        <w:tab/>
        <w:t xml:space="preserve">giria Agentūrą už pažangą, padarytą įgyvendinant likusias audito rekomendacijas – 2022 m. įgyvendinta 89 proc. esminių arba labai svarbių rekomendacijų; pažymi, kad 2022 m. pabaigoje dar nebuvo įgyvendintos septynios labai svarbios rekomendacijos (skirtos įgyvendinti ir taikytinos), susijusios su 2018, 2019 ir 2021 m. atliktų auditų ataskaitomis; pažymi, kad Komisijos Vidaus audito tarnyba paskelbė Agentūros 2022–2024 m. strateginį vidaus audito planą, apimantį tris temas, įskaitant 2022 m. atliktą </w:t>
      </w:r>
      <w:r w:rsidRPr="008B27B3">
        <w:lastRenderedPageBreak/>
        <w:t>koordinavimo ir darbo tvarkos su Migracijos ir vidaus reikalų GD auditą, kurio rezultatų tikimasi 2023 m.;</w:t>
      </w:r>
    </w:p>
    <w:p w:rsidR="00FF7CC1" w:rsidRPr="008B27B3" w:rsidRDefault="00FF7CC1" w:rsidP="00FF7CC1">
      <w:pPr>
        <w:pStyle w:val="Normal12Hanging"/>
        <w:widowControl/>
        <w:rPr>
          <w:szCs w:val="24"/>
        </w:rPr>
      </w:pPr>
      <w:r w:rsidRPr="008B27B3">
        <w:t>23.</w:t>
      </w:r>
      <w:r w:rsidRPr="008B27B3">
        <w:tab/>
        <w:t>atkreipia dėmesį į Agentūros vidaus kontrolės sistemos veiksmingumo įsivertinimo išvadą, grindžiamą tiek kiekybiniais matavimais, tiek kokybiniais aspektais, įskaitant 76 vidaus kontrolės rodiklių rinkinį, kad apskritai visi vidaus kontrolės sistemos komponentai buvo įdiegti ir veikė integruotai ir 2022 m. nebuvo nustatyta jokių pastebimų vidaus kontrolės trūkumų; pažymi, kad Agentūros vidaus audito skyrius užbaigė 2022 m. Agentūros vidaus kontrolės sistemos peržiūrą ir padarė išvadą, kad Agentūra turi patikimą vidaus kontrolės sistemą;</w:t>
      </w:r>
    </w:p>
    <w:p w:rsidR="00FF7CC1" w:rsidRPr="008B27B3" w:rsidRDefault="00FF7CC1" w:rsidP="00FF7CC1">
      <w:pPr>
        <w:pStyle w:val="Normal12Hanging"/>
        <w:widowControl/>
        <w:rPr>
          <w:szCs w:val="24"/>
        </w:rPr>
      </w:pPr>
      <w:r w:rsidRPr="008B27B3">
        <w:t>24.</w:t>
      </w:r>
      <w:r w:rsidRPr="008B27B3">
        <w:tab/>
        <w:t>atkreipia dėmesį į tai, kad 2022 m. Agentūra parengė ir paskelbė rizikos valdymo politiką; taip pat pažymi, kad 2022 m. Agentūros įmonės rizikos profiliui, be kita ko, buvo būdingi didėjantys įgaliojimai ir užduotys, didėjantis poreikis sėkmingai įgyvendinti pagrindinius asmens duomenų tvarkymui skirtus IRT sprendimus, nuolatinis atsakas siekiant sušvelninti karo Ukrainoje poveikį saugumui ir teisėsaugai, taip pat intensyvesnė priežiūros ir susijusi tikrinimo veikla (įskaitant duomenų apsaugą); giria Agentūrą už tai, kad 2022 m. ji priėmė persvarstytą 2022–2024 m. kovos su sukčiavimu strategiją, kurioje atspindėti principai, sukčiavimo rizikos vertinimas, kovos su sukčiavimu tikslai ir veiksmai, taip pat 2017–2020 m. kovos su sukčiavimu strategijos veiksmų įgyvendinimo peržiūra; pažymi, kad Europos kovos su sukčiavimu tarnyba užbaigė tyrimą (dėl neteisingų vieno iš Agentūros darbuotojų komandiruočių išlaidų ataskaitų), kurio ataskaita buvo paskelbta 2022 m.; pažymi, kad Agentūros sprendimas dėl šio atvejo vis dar yra baigiamajame priėmimo etape; ragina Agentūrą informuoti biudžeto įvykdymą tvirtinančią instituciją apie tolesnius veiksmus ir galutinį sprendimą dėl šio atvejo;</w:t>
      </w:r>
    </w:p>
    <w:p w:rsidR="00FF7CC1" w:rsidRPr="008B27B3" w:rsidRDefault="00FF7CC1" w:rsidP="00FF7CC1">
      <w:pPr>
        <w:widowControl/>
        <w:spacing w:after="240"/>
        <w:ind w:left="567" w:hanging="567"/>
        <w:rPr>
          <w:b/>
          <w:i/>
          <w:szCs w:val="24"/>
        </w:rPr>
      </w:pPr>
      <w:r w:rsidRPr="008B27B3">
        <w:rPr>
          <w:b/>
          <w:i/>
        </w:rPr>
        <w:t>Kitos pastabos</w:t>
      </w:r>
    </w:p>
    <w:p w:rsidR="00FF7CC1" w:rsidRPr="008B27B3" w:rsidRDefault="00FF7CC1" w:rsidP="00FF7CC1">
      <w:pPr>
        <w:pStyle w:val="Normal12Hanging"/>
        <w:widowControl/>
        <w:rPr>
          <w:szCs w:val="24"/>
        </w:rPr>
      </w:pPr>
      <w:r w:rsidRPr="008B27B3">
        <w:t>25.</w:t>
      </w:r>
      <w:r w:rsidRPr="008B27B3">
        <w:tab/>
        <w:t>pažymi, kad Agentūra toliau įgyvendino įvairias priemones, kad padidintų savo dalyvavimą viešojoje ir interneto erdvėje: pradėjo rengti tinklalaides, konsolidavo savo interneto svetainę, organizavo konferencijas, pradėjo rengti ataskaitas (pvz., seriją „Spotlight Report“ ir atnaujintą ataskaitą „In Brief“) ir buvo aktyvi socialinėje žiniasklaidoje (2022 m. paskelbta daugiau kaip 100 įrašų); atsižvelgdamas į tai, pažymi, kad 2022 m., palyginti su 2021 m., padaugėjo paminėjimų žiniasklaidoje ir gerokai išaugo Agentūros socialinės žiniasklaidos rodikliai;</w:t>
      </w:r>
    </w:p>
    <w:p w:rsidR="00FF7CC1" w:rsidRPr="008B27B3" w:rsidRDefault="00FF7CC1" w:rsidP="00FF7CC1">
      <w:pPr>
        <w:pStyle w:val="NormalHanging12a"/>
      </w:pPr>
      <w:r w:rsidRPr="008B27B3">
        <w:t>26.</w:t>
      </w:r>
      <w:r w:rsidRPr="008B27B3">
        <w:tab/>
        <w:t>ragina Agentūrą imtis priemonių siekiant užtikrinti, kad būtų visapusiškai laikomasi Sąjungos skaidrumo taisyklių, taip pat pagrindinių teisių, duomenų apsaugos standartų ir atskaitomybės nuostatų, be kita ko, bendradarbiaujant su kitomis agentūromis; mano, kad, siekiant užtikrinti didesnį skaidrumą, reikia atskleisti informaciją apie Agentūros ir trečiųjų šalių susitikimus bei ryšius; atsižvelgdamas į tai, palankiai vertina tai, kad paskirtas Agentūros pagrindinių teisių pareigūnas;</w:t>
      </w:r>
    </w:p>
    <w:p w:rsidR="00FF7CC1" w:rsidRPr="008B27B3" w:rsidRDefault="00FF7CC1" w:rsidP="00FF7CC1">
      <w:pPr>
        <w:pStyle w:val="NormalHanging12a"/>
        <w:jc w:val="both"/>
      </w:pPr>
      <w:r w:rsidRPr="008B27B3">
        <w:t>27.</w:t>
      </w:r>
      <w:r w:rsidRPr="008B27B3">
        <w:tab/>
        <w:t xml:space="preserve">pažymi, kad 2022 m. rugsėjo 16 d. Europos duomenų apsaugos priežiūros pareigūnas (EDAPP) paprašė Europos Sąjungos Teisingumo Teismo panaikinti dvi iš dalies pakeisto Europolo reglamento nuostatas, t. y. 74a ir 74b straipsnius, teigdamas, kad jos labai kenkia asmenų asmens duomenų teisiniam tikrumui ir kelia grėsmę EDAPP nepriklausomumui; taip pat pažymi, kad 2023 m. rugsėjo 6 d. Bendrojo Teismo nutartimi byloje T-578/22 EDAPP ieškinys dėl iš dalies pakeisto Europolo reglamento buvo pripažintas nepriimtinu ir, kalbant apie ginčijamų nuostatų poveikį 2022 m. sausio 3 d. </w:t>
      </w:r>
      <w:r w:rsidRPr="008B27B3">
        <w:lastRenderedPageBreak/>
        <w:t>EDAPP sprendimui, EDAPP negali jomis remtis grįsdamas savo veiksmus; primena, kad EDAPP pateikė apeliacinį skundą byloje T-578/22 ir kad jam pavesta prižiūrėti Agentūros duomenų tvarkymo teisėtumą pagal reglamentą (ES) 2016/794; palankiai vertina Agentūros pastangas atsižvelgti į EDAPP rekomendacijas, visų pirma dėl to, kad visa informacija, gauta prieš įsigaliojant iš dalies pakeistam Europolo reglamentui, buvo priskirta duomenų subjektų kategorijai;</w:t>
      </w:r>
    </w:p>
    <w:p w:rsidR="00FF7CC1" w:rsidRPr="008B27B3" w:rsidRDefault="00FF7CC1" w:rsidP="00FF7CC1">
      <w:pPr>
        <w:widowControl/>
        <w:tabs>
          <w:tab w:val="left" w:pos="-720"/>
        </w:tabs>
        <w:spacing w:after="240"/>
        <w:ind w:left="567" w:hanging="567"/>
      </w:pPr>
      <w:r w:rsidRPr="008B27B3">
        <w:t>28.</w:t>
      </w:r>
      <w:r w:rsidRPr="008B27B3">
        <w:tab/>
        <w:t>primena 2022 m. gruodžio 16 d. EDAPP audito, kurio metu buvo atlikti specialūs Agentūros turimų trečiųjų šalių piliečių duomenų rinkinių patikrinimai, ataskaitos dėl Agentūros išvadas; primena, kad EDAPP nustatė, jog bendras partnerių pateiktos informacijos apie nepilnamečius (įskaitant jaunesnius nei 15 metų amžiaus nepilnamečius) vertinimo procesas yra aiškus ir gerai išplėtotas; primena, kad EDAPP nustatė keletą atvejų, kai tokio paties lygio įtarimų (klasifikavimo požiūriu) priskyrimas nepilnamečių, kurie, kaip manoma, padarė palyginti nedidelius pažeidimus platesnėje organizuotos nusikalstamos grupės sistemoje, duomenims gali neatitikti „griežto proporcingumo“ ribos; pabrėžia, kad Agentūra privalo laikytis „griežto proporcingumo“ principo, nustatyto Europolo reglamento 30 straipsnio 1 dalyje;</w:t>
      </w:r>
    </w:p>
    <w:p w:rsidR="00FF7CC1" w:rsidRPr="008B27B3" w:rsidRDefault="00FF7CC1" w:rsidP="00FF7CC1">
      <w:pPr>
        <w:pStyle w:val="NormalCenter12a"/>
      </w:pPr>
      <w:r w:rsidRPr="008B27B3">
        <w:t>°</w:t>
      </w:r>
    </w:p>
    <w:p w:rsidR="00FF7CC1" w:rsidRPr="008B27B3" w:rsidRDefault="00FF7CC1" w:rsidP="00FF7CC1">
      <w:pPr>
        <w:pStyle w:val="NormalCenter12a"/>
      </w:pPr>
      <w:r w:rsidRPr="008B27B3">
        <w:t>°</w:t>
      </w:r>
      <w:r w:rsidRPr="008B27B3">
        <w:tab/>
        <w:t>°</w:t>
      </w:r>
    </w:p>
    <w:p w:rsidR="00E365E1" w:rsidRPr="008B27B3" w:rsidRDefault="00FF7CC1" w:rsidP="008B27B3">
      <w:pPr>
        <w:ind w:left="567" w:hanging="567"/>
      </w:pPr>
      <w:r w:rsidRPr="008B27B3">
        <w:t>29.</w:t>
      </w:r>
      <w:r w:rsidRPr="008B27B3">
        <w:tab/>
        <w:t xml:space="preserve">pažymi, kad kitos su sprendimu dėl biudžeto įvykdymo patvirtinimo susijusios pastabos, kurios yra horizontaliojo pobūdžio, pateikiamos jo </w:t>
      </w:r>
      <w:r w:rsidR="003C4A1B" w:rsidRPr="008B27B3">
        <w:t xml:space="preserve">2024 m. balandžio 11 d. </w:t>
      </w:r>
      <w:r w:rsidRPr="008B27B3">
        <w:t>rezoliucijoje</w:t>
      </w:r>
      <w:r w:rsidRPr="008B27B3">
        <w:rPr>
          <w:rStyle w:val="FootnoteReference"/>
        </w:rPr>
        <w:footnoteReference w:id="12"/>
      </w:r>
      <w:r w:rsidRPr="008B27B3">
        <w:t xml:space="preserve"> dėl agentūrų veiklos, finansų valdymo ir kontrolės.</w:t>
      </w:r>
      <w:bookmarkStart w:id="11" w:name="TextBodyEnd"/>
      <w:bookmarkEnd w:id="11"/>
    </w:p>
    <w:sectPr w:rsidR="00E365E1" w:rsidRPr="008B27B3" w:rsidSect="00F7695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13A" w:rsidRPr="00F76951" w:rsidRDefault="00B6413A">
      <w:r w:rsidRPr="00F76951">
        <w:separator/>
      </w:r>
    </w:p>
  </w:endnote>
  <w:endnote w:type="continuationSeparator" w:id="0">
    <w:p w:rsidR="00B6413A" w:rsidRPr="00F76951" w:rsidRDefault="00B6413A">
      <w:r w:rsidRPr="00F769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CC1" w:rsidRPr="00F76951" w:rsidRDefault="00FF7CC1" w:rsidP="004B7B96">
    <w:pPr>
      <w:pStyle w:val="EPFooter"/>
    </w:pPr>
    <w:r w:rsidRPr="00F76951">
      <w:t>PE</w:t>
    </w:r>
    <w:r w:rsidRPr="00F76951">
      <w:rPr>
        <w:rStyle w:val="HideTWBExt"/>
      </w:rPr>
      <w:t>&lt;NoPE&gt;</w:t>
    </w:r>
    <w:r w:rsidRPr="00F76951">
      <w:t>753.540</w:t>
    </w:r>
    <w:r w:rsidRPr="00F76951">
      <w:rPr>
        <w:rStyle w:val="HideTWBExt"/>
      </w:rPr>
      <w:t>&lt;/NoPE&gt;&lt;Version&gt;</w:t>
    </w:r>
    <w:r w:rsidRPr="00F76951">
      <w:t>v02-00</w:t>
    </w:r>
    <w:r w:rsidRPr="00F76951">
      <w:rPr>
        <w:rStyle w:val="HideTWBExt"/>
      </w:rPr>
      <w:t>&lt;/Version&gt;</w:t>
    </w:r>
    <w:r w:rsidRPr="00F76951">
      <w:tab/>
    </w:r>
    <w:r w:rsidRPr="00F76951">
      <w:fldChar w:fldCharType="begin"/>
    </w:r>
    <w:r w:rsidRPr="00F76951">
      <w:instrText xml:space="preserve"> PAGE  \* MERGEFORMAT </w:instrText>
    </w:r>
    <w:r w:rsidRPr="00F76951">
      <w:fldChar w:fldCharType="separate"/>
    </w:r>
    <w:r w:rsidR="00F76951" w:rsidRPr="00F76951">
      <w:rPr>
        <w:noProof/>
      </w:rPr>
      <w:t>4</w:t>
    </w:r>
    <w:r w:rsidRPr="00F76951">
      <w:fldChar w:fldCharType="end"/>
    </w:r>
    <w:r w:rsidRPr="00F76951">
      <w:t>/</w:t>
    </w:r>
    <w:r w:rsidR="00400D7B">
      <w:fldChar w:fldCharType="begin"/>
    </w:r>
    <w:r w:rsidR="00400D7B">
      <w:instrText xml:space="preserve"> NUMPAGES  \* MERGEFORMAT </w:instrText>
    </w:r>
    <w:r w:rsidR="00400D7B">
      <w:fldChar w:fldCharType="separate"/>
    </w:r>
    <w:r w:rsidR="00F76951" w:rsidRPr="00F76951">
      <w:rPr>
        <w:noProof/>
      </w:rPr>
      <w:t>6</w:t>
    </w:r>
    <w:r w:rsidR="00400D7B">
      <w:rPr>
        <w:noProof/>
      </w:rPr>
      <w:fldChar w:fldCharType="end"/>
    </w:r>
    <w:r w:rsidRPr="00F76951">
      <w:tab/>
    </w:r>
    <w:r w:rsidRPr="00F76951">
      <w:rPr>
        <w:rStyle w:val="HideTWBExt"/>
      </w:rPr>
      <w:t>&lt;PathFdR&gt;</w:t>
    </w:r>
    <w:r w:rsidRPr="00F76951">
      <w:t>RR\1299015LT.docx</w:t>
    </w:r>
    <w:r w:rsidRPr="00F76951">
      <w:rPr>
        <w:rStyle w:val="HideTWBExt"/>
      </w:rPr>
      <w:t>&lt;/PathFdR&gt;</w:t>
    </w:r>
  </w:p>
  <w:p w:rsidR="00FF7CC1" w:rsidRPr="00F76951" w:rsidRDefault="00FF7CC1" w:rsidP="004B7B96">
    <w:pPr>
      <w:pStyle w:val="EPFooter2"/>
    </w:pPr>
    <w:r w:rsidRPr="00F76951">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CC1" w:rsidRPr="00F76951" w:rsidRDefault="00FF7CC1" w:rsidP="004B7B96">
    <w:pPr>
      <w:pStyle w:val="EPFooter"/>
    </w:pPr>
    <w:r w:rsidRPr="00F76951">
      <w:rPr>
        <w:rStyle w:val="HideTWBExt"/>
      </w:rPr>
      <w:t>&lt;PathFdR&gt;</w:t>
    </w:r>
    <w:r w:rsidRPr="00F76951">
      <w:t>RR\1299015LT.docx</w:t>
    </w:r>
    <w:r w:rsidRPr="00F76951">
      <w:rPr>
        <w:rStyle w:val="HideTWBExt"/>
      </w:rPr>
      <w:t>&lt;/PathFdR&gt;</w:t>
    </w:r>
    <w:r w:rsidRPr="00F76951">
      <w:tab/>
    </w:r>
    <w:r w:rsidRPr="00F76951">
      <w:tab/>
      <w:t>PE</w:t>
    </w:r>
    <w:r w:rsidRPr="00F76951">
      <w:rPr>
        <w:rStyle w:val="HideTWBExt"/>
      </w:rPr>
      <w:t>&lt;NoPE&gt;</w:t>
    </w:r>
    <w:r w:rsidRPr="00F76951">
      <w:t>753.540</w:t>
    </w:r>
    <w:r w:rsidRPr="00F76951">
      <w:rPr>
        <w:rStyle w:val="HideTWBExt"/>
      </w:rPr>
      <w:t>&lt;/NoPE&gt;&lt;Version&gt;</w:t>
    </w:r>
    <w:r w:rsidRPr="00F76951">
      <w:t>v02-00</w:t>
    </w:r>
    <w:r w:rsidRPr="00F76951">
      <w:rPr>
        <w:rStyle w:val="HideTWBExt"/>
      </w:rPr>
      <w:t>&lt;/Version&gt;</w:t>
    </w:r>
  </w:p>
  <w:p w:rsidR="00FF7CC1" w:rsidRPr="00F76951" w:rsidRDefault="00FF7CC1" w:rsidP="004B7B96">
    <w:pPr>
      <w:pStyle w:val="EPFooter2"/>
    </w:pPr>
    <w:r w:rsidRPr="00F76951">
      <w:t>LT</w:t>
    </w:r>
    <w:r w:rsidRPr="00F76951">
      <w:tab/>
    </w:r>
    <w:r w:rsidRPr="00F76951">
      <w:rPr>
        <w:b w:val="0"/>
        <w:i/>
        <w:color w:val="C0C0C0"/>
        <w:sz w:val="22"/>
      </w:rPr>
      <w:t>Suvienijusi įvairovę</w:t>
    </w:r>
    <w:r w:rsidRPr="00F76951">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695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695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69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13A" w:rsidRPr="00F76951" w:rsidRDefault="00B6413A">
      <w:r w:rsidRPr="00F76951">
        <w:separator/>
      </w:r>
    </w:p>
  </w:footnote>
  <w:footnote w:type="continuationSeparator" w:id="0">
    <w:p w:rsidR="00B6413A" w:rsidRPr="00F76951" w:rsidRDefault="00B6413A">
      <w:r w:rsidRPr="00F76951">
        <w:continuationSeparator/>
      </w:r>
    </w:p>
  </w:footnote>
  <w:footnote w:id="1">
    <w:p w:rsidR="00FF7CC1" w:rsidRPr="00F76951" w:rsidRDefault="00FF7CC1" w:rsidP="00F76951">
      <w:pPr>
        <w:pStyle w:val="FootnoteText"/>
        <w:ind w:left="567" w:hanging="567"/>
        <w:rPr>
          <w:sz w:val="24"/>
          <w:lang w:val="lt-LT"/>
        </w:rPr>
      </w:pPr>
      <w:r w:rsidRPr="00F76951">
        <w:rPr>
          <w:rStyle w:val="FootnoteReference"/>
          <w:sz w:val="24"/>
          <w:lang w:val="lt-LT"/>
        </w:rPr>
        <w:footnoteRef/>
      </w:r>
      <w:r w:rsidR="00F76951" w:rsidRPr="00F76951">
        <w:rPr>
          <w:sz w:val="24"/>
          <w:lang w:val="lt-LT"/>
        </w:rPr>
        <w:t xml:space="preserve"> </w:t>
      </w:r>
      <w:r w:rsidR="00F76951" w:rsidRPr="00F76951">
        <w:rPr>
          <w:sz w:val="24"/>
          <w:lang w:val="lt-LT"/>
        </w:rPr>
        <w:tab/>
      </w:r>
      <w:r w:rsidRPr="00F76951">
        <w:rPr>
          <w:sz w:val="24"/>
          <w:lang w:val="lt-LT"/>
        </w:rPr>
        <w:t>OL C, C/2023/594, 2023 10 27.</w:t>
      </w:r>
    </w:p>
  </w:footnote>
  <w:footnote w:id="2">
    <w:p w:rsidR="00FF7CC1" w:rsidRPr="00F76951" w:rsidRDefault="00FF7CC1" w:rsidP="00F76951">
      <w:pPr>
        <w:pStyle w:val="FootnoteText"/>
        <w:ind w:left="567" w:hanging="567"/>
        <w:rPr>
          <w:sz w:val="24"/>
          <w:lang w:val="lt-LT"/>
        </w:rPr>
      </w:pPr>
      <w:r w:rsidRPr="00F76951">
        <w:rPr>
          <w:rStyle w:val="FootnoteReference"/>
          <w:sz w:val="24"/>
          <w:lang w:val="lt-LT"/>
        </w:rPr>
        <w:footnoteRef/>
      </w:r>
      <w:r w:rsidR="00F76951" w:rsidRPr="00F76951">
        <w:rPr>
          <w:sz w:val="24"/>
          <w:lang w:val="lt-LT"/>
        </w:rPr>
        <w:t xml:space="preserve"> </w:t>
      </w:r>
      <w:r w:rsidR="00F76951" w:rsidRPr="00F76951">
        <w:rPr>
          <w:sz w:val="24"/>
          <w:lang w:val="lt-LT"/>
        </w:rPr>
        <w:tab/>
      </w:r>
      <w:r w:rsidRPr="00F76951">
        <w:rPr>
          <w:sz w:val="24"/>
          <w:lang w:val="lt-LT"/>
        </w:rPr>
        <w:t>OL C, C/2023/112, 2023 10 12.</w:t>
      </w:r>
    </w:p>
  </w:footnote>
  <w:footnote w:id="3">
    <w:p w:rsidR="00FF7CC1" w:rsidRPr="00F76951" w:rsidRDefault="00FF7CC1" w:rsidP="00F76951">
      <w:pPr>
        <w:pStyle w:val="FootnoteText"/>
        <w:ind w:left="567" w:hanging="567"/>
        <w:rPr>
          <w:sz w:val="24"/>
          <w:lang w:val="lt-LT"/>
        </w:rPr>
      </w:pPr>
      <w:r w:rsidRPr="00F76951">
        <w:rPr>
          <w:rStyle w:val="FootnoteReference"/>
          <w:sz w:val="24"/>
          <w:lang w:val="lt-LT"/>
        </w:rPr>
        <w:footnoteRef/>
      </w:r>
      <w:r w:rsidR="00F76951" w:rsidRPr="00F76951">
        <w:rPr>
          <w:sz w:val="24"/>
          <w:lang w:val="lt-LT"/>
        </w:rPr>
        <w:t xml:space="preserve"> </w:t>
      </w:r>
      <w:r w:rsidR="00F76951" w:rsidRPr="00F76951">
        <w:rPr>
          <w:sz w:val="24"/>
          <w:lang w:val="lt-LT"/>
        </w:rPr>
        <w:tab/>
      </w:r>
      <w:r w:rsidRPr="00F76951">
        <w:rPr>
          <w:sz w:val="24"/>
          <w:lang w:val="lt-LT"/>
        </w:rPr>
        <w:t>OL L 193, 2018 7 30, p. 1.</w:t>
      </w:r>
    </w:p>
  </w:footnote>
  <w:footnote w:id="4">
    <w:p w:rsidR="00FF7CC1" w:rsidRPr="00F76951" w:rsidRDefault="00FF7CC1" w:rsidP="00F76951">
      <w:pPr>
        <w:pStyle w:val="FootnoteText"/>
        <w:ind w:left="567" w:hanging="567"/>
        <w:rPr>
          <w:sz w:val="24"/>
          <w:lang w:val="lt-LT"/>
        </w:rPr>
      </w:pPr>
      <w:r w:rsidRPr="00F76951">
        <w:rPr>
          <w:rStyle w:val="FootnoteReference"/>
          <w:sz w:val="24"/>
          <w:lang w:val="lt-LT"/>
        </w:rPr>
        <w:footnoteRef/>
      </w:r>
      <w:r w:rsidR="00F76951" w:rsidRPr="00F76951">
        <w:rPr>
          <w:sz w:val="24"/>
          <w:lang w:val="lt-LT"/>
        </w:rPr>
        <w:t xml:space="preserve"> </w:t>
      </w:r>
      <w:r w:rsidR="00F76951" w:rsidRPr="00F76951">
        <w:rPr>
          <w:sz w:val="24"/>
          <w:lang w:val="lt-LT"/>
        </w:rPr>
        <w:tab/>
      </w:r>
      <w:r w:rsidRPr="00F76951">
        <w:rPr>
          <w:sz w:val="24"/>
          <w:lang w:val="lt-LT"/>
        </w:rPr>
        <w:t>OL L 135, 2016 5 24, p. 53.</w:t>
      </w:r>
    </w:p>
  </w:footnote>
  <w:footnote w:id="5">
    <w:p w:rsidR="00FF7CC1" w:rsidRPr="00F76951" w:rsidRDefault="00FF7CC1" w:rsidP="00F76951">
      <w:pPr>
        <w:pStyle w:val="FootnoteText"/>
        <w:ind w:left="567" w:hanging="567"/>
        <w:rPr>
          <w:sz w:val="24"/>
          <w:szCs w:val="24"/>
          <w:lang w:val="lt-LT"/>
        </w:rPr>
      </w:pPr>
      <w:r w:rsidRPr="00F76951">
        <w:rPr>
          <w:rStyle w:val="FootnoteReference"/>
          <w:sz w:val="24"/>
          <w:lang w:val="lt-LT"/>
        </w:rPr>
        <w:footnoteRef/>
      </w:r>
      <w:r w:rsidR="00F76951" w:rsidRPr="00F76951">
        <w:rPr>
          <w:sz w:val="24"/>
          <w:lang w:val="lt-LT"/>
        </w:rPr>
        <w:t xml:space="preserve"> </w:t>
      </w:r>
      <w:r w:rsidR="00F76951" w:rsidRPr="00F76951">
        <w:rPr>
          <w:sz w:val="24"/>
          <w:lang w:val="lt-LT"/>
        </w:rPr>
        <w:tab/>
      </w:r>
      <w:r w:rsidRPr="00F76951">
        <w:rPr>
          <w:sz w:val="24"/>
          <w:lang w:val="lt-LT"/>
        </w:rPr>
        <w:t>OL L 122, 2019 5 10, p. 1.</w:t>
      </w:r>
    </w:p>
  </w:footnote>
  <w:footnote w:id="6">
    <w:p w:rsidR="00FF7CC1" w:rsidRPr="00F76951" w:rsidRDefault="00FF7CC1" w:rsidP="00F76951">
      <w:pPr>
        <w:pStyle w:val="FootnoteText"/>
        <w:ind w:left="567" w:hanging="567"/>
        <w:rPr>
          <w:sz w:val="24"/>
          <w:lang w:val="lt-LT"/>
        </w:rPr>
      </w:pPr>
      <w:r w:rsidRPr="00F76951">
        <w:rPr>
          <w:rStyle w:val="FootnoteReference"/>
          <w:sz w:val="24"/>
          <w:lang w:val="lt-LT"/>
        </w:rPr>
        <w:footnoteRef/>
      </w:r>
      <w:r w:rsidR="00F76951" w:rsidRPr="00F76951">
        <w:rPr>
          <w:sz w:val="24"/>
          <w:lang w:val="lt-LT"/>
        </w:rPr>
        <w:t xml:space="preserve"> </w:t>
      </w:r>
      <w:r w:rsidR="00F76951" w:rsidRPr="00F76951">
        <w:rPr>
          <w:sz w:val="24"/>
          <w:lang w:val="lt-LT"/>
        </w:rPr>
        <w:tab/>
      </w:r>
      <w:r w:rsidRPr="00F76951">
        <w:rPr>
          <w:sz w:val="24"/>
          <w:lang w:val="lt-LT"/>
        </w:rPr>
        <w:t>OL C, C/2023/594, 2023 10 27.</w:t>
      </w:r>
    </w:p>
  </w:footnote>
  <w:footnote w:id="7">
    <w:p w:rsidR="00FF7CC1" w:rsidRPr="00F76951" w:rsidRDefault="00FF7CC1" w:rsidP="00F76951">
      <w:pPr>
        <w:pStyle w:val="FootnoteText"/>
        <w:ind w:left="567" w:hanging="567"/>
        <w:rPr>
          <w:sz w:val="24"/>
          <w:lang w:val="lt-LT"/>
        </w:rPr>
      </w:pPr>
      <w:r w:rsidRPr="00F76951">
        <w:rPr>
          <w:rStyle w:val="FootnoteReference"/>
          <w:sz w:val="24"/>
          <w:lang w:val="lt-LT"/>
        </w:rPr>
        <w:footnoteRef/>
      </w:r>
      <w:r w:rsidR="00F76951" w:rsidRPr="00F76951">
        <w:rPr>
          <w:sz w:val="24"/>
          <w:lang w:val="lt-LT"/>
        </w:rPr>
        <w:t xml:space="preserve"> </w:t>
      </w:r>
      <w:r w:rsidR="00F76951" w:rsidRPr="00F76951">
        <w:rPr>
          <w:sz w:val="24"/>
          <w:lang w:val="lt-LT"/>
        </w:rPr>
        <w:tab/>
      </w:r>
      <w:r w:rsidRPr="00F76951">
        <w:rPr>
          <w:sz w:val="24"/>
          <w:lang w:val="lt-LT"/>
        </w:rPr>
        <w:t>OL C, C/2023/112, 2023 10 12.</w:t>
      </w:r>
    </w:p>
  </w:footnote>
  <w:footnote w:id="8">
    <w:p w:rsidR="00FF7CC1" w:rsidRPr="00F76951" w:rsidRDefault="00FF7CC1" w:rsidP="00F76951">
      <w:pPr>
        <w:pStyle w:val="FootnoteText"/>
        <w:ind w:left="567" w:hanging="567"/>
        <w:rPr>
          <w:sz w:val="24"/>
          <w:lang w:val="lt-LT"/>
        </w:rPr>
      </w:pPr>
      <w:r w:rsidRPr="00F76951">
        <w:rPr>
          <w:rStyle w:val="FootnoteReference"/>
          <w:sz w:val="24"/>
          <w:lang w:val="lt-LT"/>
        </w:rPr>
        <w:footnoteRef/>
      </w:r>
      <w:r w:rsidR="00F76951" w:rsidRPr="00F76951">
        <w:rPr>
          <w:sz w:val="24"/>
          <w:lang w:val="lt-LT"/>
        </w:rPr>
        <w:t xml:space="preserve"> </w:t>
      </w:r>
      <w:r w:rsidR="00F76951" w:rsidRPr="00F76951">
        <w:rPr>
          <w:sz w:val="24"/>
          <w:lang w:val="lt-LT"/>
        </w:rPr>
        <w:tab/>
      </w:r>
      <w:r w:rsidRPr="00F76951">
        <w:rPr>
          <w:sz w:val="24"/>
          <w:lang w:val="lt-LT"/>
        </w:rPr>
        <w:t>OL L 193, 2018 7 30, p. 1.</w:t>
      </w:r>
    </w:p>
  </w:footnote>
  <w:footnote w:id="9">
    <w:p w:rsidR="00FF7CC1" w:rsidRPr="00F76951" w:rsidRDefault="00FF7CC1" w:rsidP="00F76951">
      <w:pPr>
        <w:pStyle w:val="FootnoteText"/>
        <w:ind w:left="567" w:hanging="567"/>
        <w:rPr>
          <w:sz w:val="24"/>
          <w:lang w:val="lt-LT"/>
        </w:rPr>
      </w:pPr>
      <w:r w:rsidRPr="00F76951">
        <w:rPr>
          <w:rStyle w:val="FootnoteReference"/>
          <w:sz w:val="24"/>
          <w:lang w:val="lt-LT"/>
        </w:rPr>
        <w:footnoteRef/>
      </w:r>
      <w:r w:rsidR="00F76951" w:rsidRPr="00F76951">
        <w:rPr>
          <w:sz w:val="24"/>
          <w:lang w:val="lt-LT"/>
        </w:rPr>
        <w:t xml:space="preserve"> </w:t>
      </w:r>
      <w:r w:rsidR="00F76951" w:rsidRPr="00F76951">
        <w:rPr>
          <w:sz w:val="24"/>
          <w:lang w:val="lt-LT"/>
        </w:rPr>
        <w:tab/>
      </w:r>
      <w:r w:rsidRPr="00F76951">
        <w:rPr>
          <w:sz w:val="24"/>
          <w:lang w:val="lt-LT"/>
        </w:rPr>
        <w:t>OL L 135, 2016 5 24, p. 53.</w:t>
      </w:r>
    </w:p>
  </w:footnote>
  <w:footnote w:id="10">
    <w:p w:rsidR="00FF7CC1" w:rsidRPr="00F76951" w:rsidRDefault="00FF7CC1" w:rsidP="00F76951">
      <w:pPr>
        <w:pStyle w:val="FootnoteText"/>
        <w:ind w:left="567" w:hanging="567"/>
        <w:rPr>
          <w:sz w:val="24"/>
          <w:szCs w:val="24"/>
          <w:lang w:val="lt-LT"/>
        </w:rPr>
      </w:pPr>
      <w:r w:rsidRPr="00F76951">
        <w:rPr>
          <w:rStyle w:val="FootnoteReference"/>
          <w:sz w:val="24"/>
          <w:lang w:val="lt-LT"/>
        </w:rPr>
        <w:footnoteRef/>
      </w:r>
      <w:r w:rsidR="00F76951" w:rsidRPr="00F76951">
        <w:rPr>
          <w:sz w:val="24"/>
          <w:lang w:val="lt-LT"/>
        </w:rPr>
        <w:t xml:space="preserve"> </w:t>
      </w:r>
      <w:r w:rsidR="00F76951" w:rsidRPr="00F76951">
        <w:rPr>
          <w:sz w:val="24"/>
          <w:lang w:val="lt-LT"/>
        </w:rPr>
        <w:tab/>
      </w:r>
      <w:r w:rsidRPr="00F76951">
        <w:rPr>
          <w:sz w:val="24"/>
          <w:lang w:val="lt-LT"/>
        </w:rPr>
        <w:t>OL L 122, 2019 5 10, p. 1.</w:t>
      </w:r>
    </w:p>
  </w:footnote>
  <w:footnote w:id="11">
    <w:p w:rsidR="00FF7CC1" w:rsidRPr="00F76951" w:rsidRDefault="00FF7CC1" w:rsidP="00F76951">
      <w:pPr>
        <w:pStyle w:val="FootnoteText"/>
        <w:ind w:left="567" w:hanging="567"/>
        <w:rPr>
          <w:sz w:val="24"/>
          <w:lang w:val="lt-LT"/>
        </w:rPr>
      </w:pPr>
      <w:r w:rsidRPr="00F76951">
        <w:rPr>
          <w:rStyle w:val="FootnoteReference"/>
          <w:sz w:val="24"/>
          <w:lang w:val="lt-LT"/>
        </w:rPr>
        <w:footnoteRef/>
      </w:r>
      <w:r w:rsidR="00F76951" w:rsidRPr="00F76951">
        <w:rPr>
          <w:sz w:val="24"/>
          <w:lang w:val="lt-LT"/>
        </w:rPr>
        <w:t xml:space="preserve"> </w:t>
      </w:r>
      <w:r w:rsidR="00F76951" w:rsidRPr="00F76951">
        <w:rPr>
          <w:sz w:val="24"/>
          <w:lang w:val="lt-LT"/>
        </w:rPr>
        <w:tab/>
      </w:r>
      <w:r w:rsidRPr="00F76951">
        <w:rPr>
          <w:sz w:val="24"/>
          <w:lang w:val="lt-LT"/>
        </w:rPr>
        <w:t>OL C 38, 2023 1 31, p. 160.</w:t>
      </w:r>
    </w:p>
  </w:footnote>
  <w:footnote w:id="12">
    <w:p w:rsidR="00FF7CC1" w:rsidRPr="00F76951" w:rsidRDefault="00FF7CC1" w:rsidP="00F76951">
      <w:pPr>
        <w:pStyle w:val="FootnoteText"/>
        <w:ind w:left="567" w:hanging="567"/>
        <w:rPr>
          <w:sz w:val="24"/>
          <w:szCs w:val="24"/>
          <w:lang w:val="lt-LT"/>
        </w:rPr>
      </w:pPr>
      <w:r w:rsidRPr="001C2A21">
        <w:rPr>
          <w:rStyle w:val="FootnoteReference"/>
          <w:sz w:val="24"/>
          <w:szCs w:val="24"/>
          <w:lang w:val="lt-LT"/>
        </w:rPr>
        <w:footnoteRef/>
      </w:r>
      <w:r w:rsidR="00F76951" w:rsidRPr="001C2A21">
        <w:rPr>
          <w:sz w:val="24"/>
          <w:lang w:val="lt-LT"/>
        </w:rPr>
        <w:t xml:space="preserve"> </w:t>
      </w:r>
      <w:r w:rsidR="00F76951" w:rsidRPr="001C2A21">
        <w:rPr>
          <w:sz w:val="24"/>
          <w:lang w:val="lt-LT"/>
        </w:rPr>
        <w:tab/>
      </w:r>
      <w:r w:rsidRPr="00D26B05">
        <w:rPr>
          <w:sz w:val="24"/>
          <w:lang w:val="lt-LT"/>
        </w:rPr>
        <w:t>Priimti tekstai, P9_TA(2024)0</w:t>
      </w:r>
      <w:r w:rsidR="001C2A21" w:rsidRPr="008B27B3">
        <w:rPr>
          <w:sz w:val="24"/>
          <w:lang w:val="lt-LT"/>
        </w:rPr>
        <w:t>280</w:t>
      </w:r>
      <w:r w:rsidRPr="00D26B05">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695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695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69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LT"/>
    <w:docVar w:name="dvnumam" w:val="0"/>
    <w:docVar w:name="dvpe" w:val="753.540"/>
    <w:docVar w:name="dvrapporteur" w:val="Pranešėjas: "/>
    <w:docVar w:name="dvtitre" w:val="2024 m. balandzio 11 d. Europos Parlamento sprendimas dėl Europos Sąjungos teisėsaugos bendradarbiavimo agentūros (Europolo) 2022 finansinių metų biudžeto įvykdymo patvirtinimo(2023/2169(DEC))"/>
  </w:docVars>
  <w:rsids>
    <w:rsidRoot w:val="00B6413A"/>
    <w:rsid w:val="00002272"/>
    <w:rsid w:val="00064002"/>
    <w:rsid w:val="00066DF9"/>
    <w:rsid w:val="000677B9"/>
    <w:rsid w:val="000831BA"/>
    <w:rsid w:val="000969B0"/>
    <w:rsid w:val="000A42CC"/>
    <w:rsid w:val="000E7DD9"/>
    <w:rsid w:val="0010095E"/>
    <w:rsid w:val="00125B37"/>
    <w:rsid w:val="00187494"/>
    <w:rsid w:val="001C2A21"/>
    <w:rsid w:val="001F32AE"/>
    <w:rsid w:val="00240291"/>
    <w:rsid w:val="002767FF"/>
    <w:rsid w:val="002B18FE"/>
    <w:rsid w:val="002B5493"/>
    <w:rsid w:val="00343214"/>
    <w:rsid w:val="00361C00"/>
    <w:rsid w:val="00395FA1"/>
    <w:rsid w:val="003C4A1B"/>
    <w:rsid w:val="003E15D4"/>
    <w:rsid w:val="00400D7B"/>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7B3"/>
    <w:rsid w:val="008C2AC6"/>
    <w:rsid w:val="00921428"/>
    <w:rsid w:val="00930C23"/>
    <w:rsid w:val="0093193B"/>
    <w:rsid w:val="009509D8"/>
    <w:rsid w:val="00950B64"/>
    <w:rsid w:val="00981893"/>
    <w:rsid w:val="00A1687D"/>
    <w:rsid w:val="00A43E52"/>
    <w:rsid w:val="00A4678D"/>
    <w:rsid w:val="00A778C7"/>
    <w:rsid w:val="00AB441E"/>
    <w:rsid w:val="00AB6293"/>
    <w:rsid w:val="00AE0928"/>
    <w:rsid w:val="00AE7795"/>
    <w:rsid w:val="00AF3B82"/>
    <w:rsid w:val="00B12E95"/>
    <w:rsid w:val="00B22876"/>
    <w:rsid w:val="00B558F0"/>
    <w:rsid w:val="00B6413A"/>
    <w:rsid w:val="00BD48FE"/>
    <w:rsid w:val="00BD7BD8"/>
    <w:rsid w:val="00BE6ADC"/>
    <w:rsid w:val="00C05BFE"/>
    <w:rsid w:val="00C23CD4"/>
    <w:rsid w:val="00C61C0C"/>
    <w:rsid w:val="00C941CB"/>
    <w:rsid w:val="00CC2357"/>
    <w:rsid w:val="00CF071A"/>
    <w:rsid w:val="00D058B8"/>
    <w:rsid w:val="00D26B05"/>
    <w:rsid w:val="00D56C11"/>
    <w:rsid w:val="00D834A0"/>
    <w:rsid w:val="00D872DF"/>
    <w:rsid w:val="00D91E21"/>
    <w:rsid w:val="00D9296C"/>
    <w:rsid w:val="00DA7FCD"/>
    <w:rsid w:val="00E365E1"/>
    <w:rsid w:val="00E820A4"/>
    <w:rsid w:val="00EA694B"/>
    <w:rsid w:val="00EB006A"/>
    <w:rsid w:val="00EB4772"/>
    <w:rsid w:val="00ED169E"/>
    <w:rsid w:val="00ED4235"/>
    <w:rsid w:val="00F04346"/>
    <w:rsid w:val="00F075DC"/>
    <w:rsid w:val="00F149E9"/>
    <w:rsid w:val="00F5134D"/>
    <w:rsid w:val="00F74202"/>
    <w:rsid w:val="00F76951"/>
    <w:rsid w:val="00F87713"/>
    <w:rsid w:val="00F97807"/>
    <w:rsid w:val="00FB4360"/>
    <w:rsid w:val="00FD0C70"/>
    <w:rsid w:val="00FF7CC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EF5167"/>
  <w15:chartTrackingRefBased/>
  <w15:docId w15:val="{C00D080B-03AD-4B0D-B90F-41198B83E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F7CC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F7CC1"/>
    <w:pPr>
      <w:spacing w:before="480" w:after="240"/>
    </w:pPr>
  </w:style>
  <w:style w:type="paragraph" w:customStyle="1" w:styleId="PageHeading">
    <w:name w:val="PageHeading"/>
    <w:basedOn w:val="Normal"/>
    <w:rsid w:val="00FF7CC1"/>
    <w:pPr>
      <w:keepNext/>
      <w:spacing w:after="480"/>
      <w:jc w:val="center"/>
    </w:pPr>
    <w:rPr>
      <w:rFonts w:ascii="Arial" w:hAnsi="Arial" w:cs="Arial"/>
      <w:b/>
    </w:rPr>
  </w:style>
  <w:style w:type="paragraph" w:customStyle="1" w:styleId="NormalBold">
    <w:name w:val="NormalBold"/>
    <w:basedOn w:val="Normal"/>
    <w:rsid w:val="00FF7CC1"/>
    <w:rPr>
      <w:b/>
    </w:rPr>
  </w:style>
  <w:style w:type="paragraph" w:customStyle="1" w:styleId="NormalHanging12a">
    <w:name w:val="NormalHanging12a"/>
    <w:basedOn w:val="Normal"/>
    <w:link w:val="NormalHanging12aChar"/>
    <w:rsid w:val="00FF7CC1"/>
    <w:pPr>
      <w:spacing w:after="240"/>
      <w:ind w:left="567" w:hanging="567"/>
    </w:pPr>
  </w:style>
  <w:style w:type="paragraph" w:customStyle="1" w:styleId="NormalCenter12a">
    <w:name w:val="NormalCenter12a"/>
    <w:basedOn w:val="Normal"/>
    <w:rsid w:val="00FF7CC1"/>
    <w:pPr>
      <w:spacing w:after="240"/>
      <w:jc w:val="center"/>
    </w:pPr>
  </w:style>
  <w:style w:type="paragraph" w:styleId="Header">
    <w:name w:val="header"/>
    <w:basedOn w:val="Normal"/>
    <w:link w:val="HeaderChar"/>
    <w:rsid w:val="00FF7CC1"/>
    <w:pPr>
      <w:tabs>
        <w:tab w:val="center" w:pos="4513"/>
        <w:tab w:val="right" w:pos="9026"/>
      </w:tabs>
    </w:pPr>
  </w:style>
  <w:style w:type="character" w:customStyle="1" w:styleId="HeaderChar">
    <w:name w:val="Header Char"/>
    <w:basedOn w:val="DefaultParagraphFont"/>
    <w:link w:val="Header"/>
    <w:rsid w:val="00FF7CC1"/>
    <w:rPr>
      <w:sz w:val="24"/>
      <w:lang w:val="lt-LT"/>
    </w:rPr>
  </w:style>
  <w:style w:type="paragraph" w:customStyle="1" w:styleId="EPFooter">
    <w:name w:val="EPFooter"/>
    <w:basedOn w:val="Normal"/>
    <w:rsid w:val="00FF7CC1"/>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FF7CC1"/>
    <w:rPr>
      <w:sz w:val="24"/>
      <w:lang w:val="lt-LT"/>
    </w:rPr>
  </w:style>
  <w:style w:type="paragraph" w:customStyle="1" w:styleId="Normal12Hanging">
    <w:name w:val="Normal12Hanging"/>
    <w:basedOn w:val="Normal"/>
    <w:rsid w:val="00FF7CC1"/>
    <w:pPr>
      <w:spacing w:after="240"/>
      <w:ind w:left="567" w:hanging="567"/>
    </w:pPr>
  </w:style>
  <w:style w:type="paragraph" w:styleId="BalloonText">
    <w:name w:val="Balloon Text"/>
    <w:basedOn w:val="Normal"/>
    <w:link w:val="BalloonTextChar"/>
    <w:rsid w:val="00066DF9"/>
    <w:rPr>
      <w:rFonts w:ascii="Segoe UI" w:hAnsi="Segoe UI" w:cs="Segoe UI"/>
      <w:sz w:val="18"/>
      <w:szCs w:val="18"/>
    </w:rPr>
  </w:style>
  <w:style w:type="character" w:customStyle="1" w:styleId="BalloonTextChar">
    <w:name w:val="Balloon Text Char"/>
    <w:basedOn w:val="DefaultParagraphFont"/>
    <w:link w:val="BalloonText"/>
    <w:rsid w:val="00066DF9"/>
    <w:rPr>
      <w:rFonts w:ascii="Segoe UI" w:hAnsi="Segoe UI" w:cs="Segoe UI"/>
      <w:sz w:val="18"/>
      <w:szCs w:val="18"/>
      <w:lang w:val="lt-LT"/>
    </w:rPr>
  </w:style>
  <w:style w:type="paragraph" w:styleId="Footer">
    <w:name w:val="footer"/>
    <w:basedOn w:val="Normal"/>
    <w:link w:val="FooterChar"/>
    <w:rsid w:val="008B27B3"/>
    <w:pPr>
      <w:tabs>
        <w:tab w:val="center" w:pos="4513"/>
        <w:tab w:val="right" w:pos="9026"/>
      </w:tabs>
    </w:pPr>
  </w:style>
  <w:style w:type="character" w:customStyle="1" w:styleId="FooterChar">
    <w:name w:val="Footer Char"/>
    <w:basedOn w:val="DefaultParagraphFont"/>
    <w:link w:val="Footer"/>
    <w:rsid w:val="008B27B3"/>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EE971-D24D-4FD3-9113-010BBB0CB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4112</Words>
  <Characters>27632</Characters>
  <Application>Microsoft Office Word</Application>
  <DocSecurity>0</DocSecurity>
  <Lines>230</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2024-04-11T16:46:00Z</dcterms:created>
  <dcterms:modified xsi:type="dcterms:W3CDTF">2024-04-11T16:46:00Z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A9-0119/2024</vt:lpwstr>
  </property>
  <property fmtid="{D5CDD505-2E9C-101B-9397-08002B2CF9AE}" pid="4" name="&lt;Type&gt;">
    <vt:lpwstr>RR</vt:lpwstr>
  </property>
</Properties>
</file>