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18DE" w:rsidTr="0010095E">
        <w:trPr>
          <w:trHeight w:hRule="exact" w:val="1418"/>
        </w:trPr>
        <w:tc>
          <w:tcPr>
            <w:tcW w:w="6804" w:type="dxa"/>
            <w:shd w:val="clear" w:color="auto" w:fill="auto"/>
            <w:vAlign w:val="center"/>
          </w:tcPr>
          <w:p w:rsidR="00751A4A" w:rsidRPr="00B418DE" w:rsidRDefault="009A0DFD" w:rsidP="0010095E">
            <w:pPr>
              <w:pStyle w:val="EPName"/>
            </w:pPr>
            <w:bookmarkStart w:id="0" w:name="_GoBack"/>
            <w:bookmarkEnd w:id="0"/>
            <w:r w:rsidRPr="00B418DE">
              <w:t>Parlamentul European</w:t>
            </w:r>
          </w:p>
          <w:p w:rsidR="00751A4A" w:rsidRPr="00B418DE" w:rsidRDefault="00817416" w:rsidP="00756632">
            <w:pPr>
              <w:pStyle w:val="EPTerm"/>
              <w:rPr>
                <w:rStyle w:val="HideTWBExt"/>
                <w:noProof w:val="0"/>
                <w:vanish w:val="0"/>
                <w:color w:val="auto"/>
              </w:rPr>
            </w:pPr>
            <w:r w:rsidRPr="00B418DE">
              <w:t>2019-2024</w:t>
            </w:r>
          </w:p>
        </w:tc>
        <w:tc>
          <w:tcPr>
            <w:tcW w:w="2268" w:type="dxa"/>
            <w:shd w:val="clear" w:color="auto" w:fill="auto"/>
          </w:tcPr>
          <w:p w:rsidR="00751A4A" w:rsidRPr="00B418DE" w:rsidRDefault="00187494" w:rsidP="0010095E">
            <w:pPr>
              <w:pStyle w:val="EPLogo"/>
            </w:pPr>
            <w:r w:rsidRPr="00B418D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18DE" w:rsidRDefault="00D058B8" w:rsidP="004C5D52">
      <w:pPr>
        <w:pStyle w:val="LineTop"/>
      </w:pPr>
    </w:p>
    <w:p w:rsidR="00680577" w:rsidRPr="00B418DE" w:rsidRDefault="009A0DFD" w:rsidP="00680577">
      <w:pPr>
        <w:pStyle w:val="EPBodyTA1"/>
      </w:pPr>
      <w:r w:rsidRPr="00B418DE">
        <w:t>TEXTE ADOPTATE</w:t>
      </w:r>
    </w:p>
    <w:p w:rsidR="00D058B8" w:rsidRPr="00B418DE" w:rsidRDefault="00D058B8" w:rsidP="00D058B8">
      <w:pPr>
        <w:pStyle w:val="LineBottom"/>
      </w:pPr>
    </w:p>
    <w:p w:rsidR="009A0DFD" w:rsidRPr="00B418DE" w:rsidRDefault="009A0DFD" w:rsidP="009A0DFD">
      <w:pPr>
        <w:pStyle w:val="ATHeading1"/>
      </w:pPr>
      <w:bookmarkStart w:id="1" w:name="TANumber"/>
      <w:r w:rsidRPr="00B418DE">
        <w:t>P9_TA(2024)</w:t>
      </w:r>
      <w:bookmarkEnd w:id="1"/>
      <w:r w:rsidR="00B418DE" w:rsidRPr="00B418DE">
        <w:t>0</w:t>
      </w:r>
      <w:r w:rsidR="00B418DE" w:rsidRPr="00B418DE">
        <w:t>260</w:t>
      </w:r>
    </w:p>
    <w:p w:rsidR="009A0DFD" w:rsidRPr="00B418DE" w:rsidRDefault="009A0DFD" w:rsidP="009A0DFD">
      <w:pPr>
        <w:pStyle w:val="ATHeading2"/>
      </w:pPr>
      <w:bookmarkStart w:id="2" w:name="title"/>
      <w:r w:rsidRPr="00B418DE">
        <w:t>Descărcarea de gestiune 2022: Agenția Uniunii Europene pentru cooperare și formare în materie de aplicare a legii (Europol)</w:t>
      </w:r>
      <w:bookmarkEnd w:id="2"/>
    </w:p>
    <w:p w:rsidR="009A0DFD" w:rsidRPr="00B418DE" w:rsidRDefault="009A0DFD" w:rsidP="009A0DFD">
      <w:pPr>
        <w:rPr>
          <w:i/>
          <w:vanish/>
        </w:rPr>
      </w:pPr>
      <w:r w:rsidRPr="00B418DE">
        <w:rPr>
          <w:i/>
        </w:rPr>
        <w:fldChar w:fldCharType="begin"/>
      </w:r>
      <w:r w:rsidRPr="00B418DE">
        <w:rPr>
          <w:i/>
        </w:rPr>
        <w:instrText xml:space="preserve"> TC"(</w:instrText>
      </w:r>
      <w:bookmarkStart w:id="3" w:name="DocNumber"/>
      <w:r w:rsidRPr="00B418DE">
        <w:rPr>
          <w:i/>
        </w:rPr>
        <w:instrText>A9-0119/2024</w:instrText>
      </w:r>
      <w:bookmarkEnd w:id="3"/>
      <w:r w:rsidRPr="00B418DE">
        <w:rPr>
          <w:i/>
        </w:rPr>
        <w:instrText xml:space="preserve"> - Raportor: Petri </w:instrText>
      </w:r>
      <w:proofErr w:type="spellStart"/>
      <w:r w:rsidRPr="00B418DE">
        <w:rPr>
          <w:i/>
        </w:rPr>
        <w:instrText>Sarvamaa</w:instrText>
      </w:r>
      <w:proofErr w:type="spellEnd"/>
      <w:r w:rsidRPr="00B418DE">
        <w:rPr>
          <w:i/>
        </w:rPr>
        <w:instrText xml:space="preserve">)"\l3 \n&gt; \* MERGEFORMAT </w:instrText>
      </w:r>
      <w:r w:rsidRPr="00B418DE">
        <w:rPr>
          <w:i/>
        </w:rPr>
        <w:fldChar w:fldCharType="end"/>
      </w:r>
    </w:p>
    <w:p w:rsidR="009A0DFD" w:rsidRPr="00B418DE" w:rsidRDefault="009A0DFD" w:rsidP="009A0DFD">
      <w:pPr>
        <w:rPr>
          <w:vanish/>
        </w:rPr>
      </w:pPr>
      <w:bookmarkStart w:id="4" w:name="Commission"/>
      <w:r w:rsidRPr="00B418DE">
        <w:rPr>
          <w:vanish/>
        </w:rPr>
        <w:t>Comisia pentru control bugetar</w:t>
      </w:r>
      <w:bookmarkEnd w:id="4"/>
    </w:p>
    <w:p w:rsidR="009A0DFD" w:rsidRPr="00B418DE" w:rsidRDefault="009A0DFD" w:rsidP="009A0DFD">
      <w:pPr>
        <w:rPr>
          <w:vanish/>
        </w:rPr>
      </w:pPr>
      <w:bookmarkStart w:id="5" w:name="PE"/>
      <w:r w:rsidRPr="00B418DE">
        <w:rPr>
          <w:vanish/>
        </w:rPr>
        <w:t>PE753.540</w:t>
      </w:r>
      <w:bookmarkEnd w:id="5"/>
    </w:p>
    <w:p w:rsidR="009A0DFD" w:rsidRPr="00B418DE" w:rsidRDefault="009A0DFD" w:rsidP="00F40858">
      <w:pPr>
        <w:pStyle w:val="ATHeading3"/>
      </w:pPr>
      <w:bookmarkStart w:id="6" w:name="Sujet"/>
      <w:r w:rsidRPr="00B418DE">
        <w:t>1. Decizia Parlamentului European din 11 aprilie 2024 privind descărcarea de gestiune pentru execuția bugetului Agenției Uniunii Europene pentru Cooperare în Materie de Aplicare a Legii (Europol) aferent exercițiului financiar 2022</w:t>
      </w:r>
      <w:bookmarkEnd w:id="6"/>
      <w:r w:rsidRPr="00B418DE">
        <w:t xml:space="preserve"> </w:t>
      </w:r>
      <w:bookmarkStart w:id="7" w:name="References"/>
      <w:r w:rsidRPr="00B418DE">
        <w:t>(2023/2169(DEC))</w:t>
      </w:r>
      <w:bookmarkEnd w:id="7"/>
    </w:p>
    <w:p w:rsidR="00BE0CF2" w:rsidRPr="00B418DE" w:rsidRDefault="00BE0CF2" w:rsidP="00BE0CF2">
      <w:pPr>
        <w:pStyle w:val="EPComma"/>
      </w:pPr>
      <w:bookmarkStart w:id="8" w:name="TextBodyBegin"/>
      <w:bookmarkEnd w:id="8"/>
      <w:r w:rsidRPr="00B418DE">
        <w:rPr>
          <w:i/>
          <w:iCs/>
        </w:rPr>
        <w:t>Parlamentul European</w:t>
      </w:r>
      <w:r w:rsidRPr="00B418DE">
        <w:t>,</w:t>
      </w:r>
    </w:p>
    <w:p w:rsidR="00BE0CF2" w:rsidRPr="00B418DE" w:rsidRDefault="00BE0CF2" w:rsidP="00BE0CF2">
      <w:pPr>
        <w:pStyle w:val="NormalHanging12a"/>
      </w:pPr>
      <w:r w:rsidRPr="00B418DE">
        <w:t>–</w:t>
      </w:r>
      <w:r w:rsidRPr="00B418DE">
        <w:tab/>
        <w:t>având în vedere conturile anuale finale ale Agenției Uniunii Europene pentru Cooperare în Materie de Aplicare a Legii (Europol) pentru exercițiul financiar 2022,</w:t>
      </w:r>
    </w:p>
    <w:p w:rsidR="00BE0CF2" w:rsidRPr="00B418DE" w:rsidRDefault="00BE0CF2" w:rsidP="00BE0CF2">
      <w:pPr>
        <w:pStyle w:val="NormalHanging12a"/>
      </w:pPr>
      <w:r w:rsidRPr="00B418DE">
        <w:t>–</w:t>
      </w:r>
      <w:r w:rsidRPr="00B418DE">
        <w:tab/>
        <w:t>având în vedere Raportul anual al Curții de Conturi privind agențiile UE pentru exercițiul financiar 2022, însoțit de răspunsurile agențiilor</w:t>
      </w:r>
      <w:r w:rsidRPr="00B418DE">
        <w:rPr>
          <w:rStyle w:val="FootnoteReference"/>
        </w:rPr>
        <w:footnoteReference w:id="1"/>
      </w:r>
      <w:r w:rsidRPr="00B418DE">
        <w:t>,</w:t>
      </w:r>
    </w:p>
    <w:p w:rsidR="00BE0CF2" w:rsidRPr="00B418DE" w:rsidRDefault="00BE0CF2" w:rsidP="00BE0CF2">
      <w:pPr>
        <w:pStyle w:val="NormalHanging12a"/>
      </w:pPr>
      <w:r w:rsidRPr="00B418DE">
        <w:t>–</w:t>
      </w:r>
      <w:r w:rsidRPr="00B418DE">
        <w:tab/>
        <w:t>având în vedere declarația de asigurare</w:t>
      </w:r>
      <w:r w:rsidRPr="00B418DE">
        <w:rPr>
          <w:rStyle w:val="FootnoteReference"/>
        </w:rPr>
        <w:footnoteReference w:id="2"/>
      </w:r>
      <w:r w:rsidRPr="00B418DE">
        <w:t xml:space="preserve"> privind fiabilitatea conturilor și legalitatea și regularitatea operațiunilor subiacente întocmită de Curtea de Conturi pentru exercițiul 2022 în temeiul articolului 287 din Tratatul privind funcționarea Uniunii Europene,</w:t>
      </w:r>
    </w:p>
    <w:p w:rsidR="00BE0CF2" w:rsidRPr="00B418DE" w:rsidRDefault="00BE0CF2" w:rsidP="00BE0CF2">
      <w:pPr>
        <w:pStyle w:val="NormalHanging12a"/>
      </w:pPr>
      <w:r w:rsidRPr="00B418DE">
        <w:t>–</w:t>
      </w:r>
      <w:r w:rsidRPr="00B418DE">
        <w:tab/>
        <w:t>având în vedere Recomandarea Consiliului din 22 februarie 2024 privind descărcarea de gestiune a Agenției în ceea ce privește execuția bugetară pentru exercițiul financiar 2022 (</w:t>
      </w:r>
      <w:r w:rsidR="003E0892" w:rsidRPr="00B418DE">
        <w:t>0</w:t>
      </w:r>
      <w:r w:rsidR="003E0892" w:rsidRPr="00B418DE">
        <w:rPr>
          <w:lang w:val="bg-BG"/>
        </w:rPr>
        <w:t>6180</w:t>
      </w:r>
      <w:r w:rsidR="003E0892" w:rsidRPr="00B418DE">
        <w:t>/2024 – C9</w:t>
      </w:r>
      <w:r w:rsidR="003E0892" w:rsidRPr="00B418DE">
        <w:noBreakHyphen/>
        <w:t>0107/2024</w:t>
      </w:r>
      <w:r w:rsidRPr="00B418DE">
        <w:t>),</w:t>
      </w:r>
    </w:p>
    <w:p w:rsidR="00BE0CF2" w:rsidRPr="00B418DE" w:rsidRDefault="00BE0CF2" w:rsidP="00BE0CF2">
      <w:pPr>
        <w:pStyle w:val="NormalHanging12a"/>
      </w:pPr>
      <w:r w:rsidRPr="00B418DE">
        <w:t>–</w:t>
      </w:r>
      <w:r w:rsidRPr="00B418DE">
        <w:tab/>
        <w:t>având în vedere articolul 319 din Tratatul privind funcționarea Uniunii Europene,</w:t>
      </w:r>
    </w:p>
    <w:p w:rsidR="00BE0CF2" w:rsidRPr="00B418DE" w:rsidRDefault="00BE0CF2" w:rsidP="00BE0CF2">
      <w:pPr>
        <w:pStyle w:val="NormalHanging12a"/>
      </w:pPr>
      <w:r w:rsidRPr="00B418DE">
        <w:t>–</w:t>
      </w:r>
      <w:r w:rsidRPr="00B418D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B418DE">
        <w:rPr>
          <w:rStyle w:val="FootnoteReference"/>
        </w:rPr>
        <w:footnoteReference w:id="3"/>
      </w:r>
      <w:r w:rsidRPr="00B418DE">
        <w:t>, în special articolul 70,</w:t>
      </w:r>
    </w:p>
    <w:p w:rsidR="00BE0CF2" w:rsidRPr="00B418DE" w:rsidRDefault="00BE0CF2" w:rsidP="00BE0CF2">
      <w:pPr>
        <w:pStyle w:val="NormalHanging12a"/>
      </w:pPr>
      <w:r w:rsidRPr="00B418DE">
        <w:t>–</w:t>
      </w:r>
      <w:r w:rsidRPr="00B418DE">
        <w:tab/>
        <w:t xml:space="preserve">având în vedere Regulamentul (UE) 2016/794 al Parlamentului European și al </w:t>
      </w:r>
      <w:r w:rsidRPr="00B418DE">
        <w:lastRenderedPageBreak/>
        <w:t>Consiliului din 11 mai 2016 privind Agenția Uniunii Europene pentru Cooperare în Materie de Aplicare a Legii (Europol) și de înlocuire și de abrogare a Deciziilor 2009/371/JAI, 2009/934/JAI, 2009/935/JAI, 2009/936/JAI și 2009/968/JAI ale Consiliului</w:t>
      </w:r>
      <w:r w:rsidRPr="00B418DE">
        <w:rPr>
          <w:rStyle w:val="FootnoteReference"/>
        </w:rPr>
        <w:footnoteReference w:id="4"/>
      </w:r>
      <w:r w:rsidRPr="00B418DE">
        <w:t>, în special articolul 60,</w:t>
      </w:r>
    </w:p>
    <w:p w:rsidR="00BE0CF2" w:rsidRPr="00B418DE" w:rsidRDefault="00BE0CF2" w:rsidP="00BE0CF2">
      <w:pPr>
        <w:pStyle w:val="NormalHanging12a"/>
      </w:pPr>
      <w:r w:rsidRPr="00B418DE">
        <w:t>–</w:t>
      </w:r>
      <w:r w:rsidRPr="00B418D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B418DE">
        <w:rPr>
          <w:rStyle w:val="FootnoteReference"/>
        </w:rPr>
        <w:footnoteReference w:id="5"/>
      </w:r>
      <w:r w:rsidRPr="00B418DE">
        <w:t>, în special articolul 105,</w:t>
      </w:r>
    </w:p>
    <w:p w:rsidR="00BE0CF2" w:rsidRPr="00B418DE" w:rsidRDefault="00BE0CF2" w:rsidP="00BE0CF2">
      <w:pPr>
        <w:pStyle w:val="NormalHanging12a"/>
      </w:pPr>
      <w:r w:rsidRPr="00B418DE">
        <w:t>–</w:t>
      </w:r>
      <w:r w:rsidRPr="00B418DE">
        <w:tab/>
        <w:t>având în vedere articolul 100 și anexa V la Regulamentul său de procedură,</w:t>
      </w:r>
    </w:p>
    <w:p w:rsidR="00BE0CF2" w:rsidRPr="00B418DE" w:rsidRDefault="00BE0CF2" w:rsidP="00BE0CF2">
      <w:pPr>
        <w:pStyle w:val="NormalHanging12a"/>
      </w:pPr>
      <w:r w:rsidRPr="00B418DE">
        <w:t>–</w:t>
      </w:r>
      <w:r w:rsidRPr="00B418DE">
        <w:tab/>
        <w:t>având în vedere avizul Comisiei pentru libertăți civile, justiție și afaceri interne,</w:t>
      </w:r>
    </w:p>
    <w:p w:rsidR="00BE0CF2" w:rsidRPr="00B418DE" w:rsidRDefault="00BE0CF2" w:rsidP="00BE0CF2">
      <w:pPr>
        <w:pStyle w:val="NormalHanging12a"/>
      </w:pPr>
      <w:r w:rsidRPr="00B418DE">
        <w:t>–</w:t>
      </w:r>
      <w:r w:rsidRPr="00B418DE">
        <w:tab/>
        <w:t>având în vedere raportul Comisiei pentru control bugetar (A9-0119/2024),</w:t>
      </w:r>
    </w:p>
    <w:p w:rsidR="00BE0CF2" w:rsidRPr="00B418DE" w:rsidRDefault="00BE0CF2" w:rsidP="00BE0CF2">
      <w:pPr>
        <w:pStyle w:val="NormalHanging12a"/>
      </w:pPr>
      <w:r w:rsidRPr="00B418DE">
        <w:t>1.</w:t>
      </w:r>
      <w:r w:rsidRPr="00B418DE">
        <w:tab/>
        <w:t>acordă directo</w:t>
      </w:r>
      <w:r w:rsidR="003E0892" w:rsidRPr="00B418DE">
        <w:t>a</w:t>
      </w:r>
      <w:r w:rsidRPr="00B418DE">
        <w:t>r</w:t>
      </w:r>
      <w:r w:rsidR="003E0892" w:rsidRPr="00B418DE">
        <w:t>ei</w:t>
      </w:r>
      <w:r w:rsidRPr="00B418DE">
        <w:t xml:space="preserve"> executiv</w:t>
      </w:r>
      <w:r w:rsidR="003E0892" w:rsidRPr="00B418DE">
        <w:t>e</w:t>
      </w:r>
      <w:r w:rsidRPr="00B418DE">
        <w:t xml:space="preserve"> a Agenției Uniunii Europene pentru Cooperare în Materie de Aplicare a Legii (Europol) descărcarea de gestiune pentru execuția bugetului Agenției aferent exercițiului financiar 2022;</w:t>
      </w:r>
    </w:p>
    <w:p w:rsidR="00BE0CF2" w:rsidRPr="00B418DE" w:rsidRDefault="00BE0CF2" w:rsidP="00BE0CF2">
      <w:pPr>
        <w:pStyle w:val="NormalHanging12a"/>
      </w:pPr>
      <w:r w:rsidRPr="00B418DE">
        <w:t>2.</w:t>
      </w:r>
      <w:r w:rsidRPr="00B418DE">
        <w:tab/>
        <w:t>își prezintă observațiile în cadrul rezoluției de mai jos;</w:t>
      </w:r>
    </w:p>
    <w:p w:rsidR="00BE0CF2" w:rsidRPr="00B418DE" w:rsidRDefault="00BE0CF2" w:rsidP="00BE0CF2">
      <w:pPr>
        <w:pStyle w:val="NormalHanging12a"/>
      </w:pPr>
      <w:r w:rsidRPr="00B418DE">
        <w:t>3.</w:t>
      </w:r>
      <w:r w:rsidRPr="00B418DE">
        <w:tab/>
        <w:t xml:space="preserve">încredințează Președintei sarcina de a transmite prezenta decizie împreună cu rezoluția Parlamentului, ca parte integrantă a acesteia, directoarei executive a Agenției Uniunii Europene pentru Cooperare în Materie de Aplicare a Legii (Europol), Consiliului, Comisiei și Curții de Conturi și de a asigura publicarea acestora în </w:t>
      </w:r>
      <w:r w:rsidRPr="00B418DE">
        <w:rPr>
          <w:i/>
          <w:iCs/>
        </w:rPr>
        <w:t>Jurnalul Oficial al Uniunii Europene</w:t>
      </w:r>
      <w:r w:rsidRPr="00B418DE">
        <w:t xml:space="preserve"> (seria L).</w:t>
      </w:r>
    </w:p>
    <w:p w:rsidR="00BE0CF2" w:rsidRPr="00B418DE" w:rsidRDefault="00BE0CF2" w:rsidP="00BE0CF2"/>
    <w:p w:rsidR="00BE0CF2" w:rsidRPr="00B418DE" w:rsidRDefault="00BE0CF2" w:rsidP="00BE0CF2">
      <w:pPr>
        <w:widowControl/>
        <w:rPr>
          <w:rFonts w:ascii="Arial" w:hAnsi="Arial" w:cs="Arial"/>
          <w:b/>
        </w:rPr>
        <w:sectPr w:rsidR="00BE0CF2" w:rsidRPr="00B418DE" w:rsidSect="009A314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BE0CF2" w:rsidRPr="00B418DE" w:rsidRDefault="00F40858" w:rsidP="00F40858">
      <w:pPr>
        <w:pStyle w:val="ATHeading3"/>
      </w:pPr>
      <w:r w:rsidRPr="00B418DE">
        <w:lastRenderedPageBreak/>
        <w:t xml:space="preserve">2. Decizia Parlamentului European din 11 aprilie 2024 </w:t>
      </w:r>
      <w:r w:rsidR="00BE0CF2" w:rsidRPr="00B418DE">
        <w:t>privind închiderea conturilor Agenției Uniunii Europene pentru Cooperare în Materie de Aplicare a Legii (Europol) pentru exercițiul financiar 2022</w:t>
      </w:r>
      <w:r w:rsidRPr="00B418DE">
        <w:t xml:space="preserve"> </w:t>
      </w:r>
      <w:r w:rsidR="00BE0CF2" w:rsidRPr="00B418DE">
        <w:t>(2023/2169(DEC))</w:t>
      </w:r>
    </w:p>
    <w:p w:rsidR="00BE0CF2" w:rsidRPr="00B418DE" w:rsidRDefault="00BE0CF2" w:rsidP="00BE0CF2">
      <w:pPr>
        <w:pStyle w:val="EPComma"/>
      </w:pPr>
      <w:r w:rsidRPr="00B418DE">
        <w:rPr>
          <w:i/>
          <w:iCs/>
        </w:rPr>
        <w:t>Parlamentul European</w:t>
      </w:r>
      <w:r w:rsidRPr="00B418DE">
        <w:t>,</w:t>
      </w:r>
    </w:p>
    <w:p w:rsidR="00BE0CF2" w:rsidRPr="00B418DE" w:rsidRDefault="00BE0CF2" w:rsidP="00BE0CF2">
      <w:pPr>
        <w:pStyle w:val="NormalHanging12a"/>
      </w:pPr>
      <w:r w:rsidRPr="00B418DE">
        <w:t>–</w:t>
      </w:r>
      <w:r w:rsidRPr="00B418DE">
        <w:tab/>
        <w:t>având în vedere conturile anuale finale ale Agenției Uniunii Europene pentru Cooperare în Materie de Aplicare a Legii (Europol) pentru exercițiul financiar 2022,</w:t>
      </w:r>
    </w:p>
    <w:p w:rsidR="00BE0CF2" w:rsidRPr="00B418DE" w:rsidRDefault="00BE0CF2" w:rsidP="00BE0CF2">
      <w:pPr>
        <w:pStyle w:val="NormalHanging12a"/>
      </w:pPr>
      <w:r w:rsidRPr="00B418DE">
        <w:t>–</w:t>
      </w:r>
      <w:r w:rsidRPr="00B418DE">
        <w:tab/>
        <w:t>având în vedere Raportul anual al Curții de Conturi privind agențiile UE pentru exercițiul financiar 2022, însoțit de răspunsurile agențiilor</w:t>
      </w:r>
      <w:r w:rsidRPr="00B418DE">
        <w:rPr>
          <w:rStyle w:val="FootnoteReference"/>
        </w:rPr>
        <w:footnoteReference w:id="6"/>
      </w:r>
      <w:r w:rsidRPr="00B418DE">
        <w:t>,</w:t>
      </w:r>
    </w:p>
    <w:p w:rsidR="00BE0CF2" w:rsidRPr="00B418DE" w:rsidRDefault="00BE0CF2" w:rsidP="00BE0CF2">
      <w:pPr>
        <w:pStyle w:val="NormalHanging12a"/>
      </w:pPr>
      <w:r w:rsidRPr="00B418DE">
        <w:t>–</w:t>
      </w:r>
      <w:r w:rsidRPr="00B418DE">
        <w:tab/>
        <w:t>având în vedere declarația de asigurare</w:t>
      </w:r>
      <w:r w:rsidRPr="00B418DE">
        <w:rPr>
          <w:rStyle w:val="FootnoteReference"/>
        </w:rPr>
        <w:footnoteReference w:id="7"/>
      </w:r>
      <w:r w:rsidRPr="00B418DE">
        <w:t xml:space="preserve"> privind fiabilitatea conturilor și legalitatea și regularitatea operațiunilor subiacente întocmită de Curtea de Conturi pentru exercițiul 2022 în temeiul articolului 287 din Tratatul privind funcționarea Uniunii Europene,</w:t>
      </w:r>
    </w:p>
    <w:p w:rsidR="00BE0CF2" w:rsidRPr="00B418DE" w:rsidRDefault="00BE0CF2" w:rsidP="00BE0CF2">
      <w:pPr>
        <w:pStyle w:val="NormalHanging12a"/>
      </w:pPr>
      <w:r w:rsidRPr="00B418DE">
        <w:t>–</w:t>
      </w:r>
      <w:r w:rsidRPr="00B418DE">
        <w:tab/>
        <w:t>având în vedere Recomandarea Consiliului din 22 februarie 2024 privind descărcarea de gestiune a Agenției în ceea ce privește execuția bugetară pentru exercițiul financiar 2022 (</w:t>
      </w:r>
      <w:r w:rsidR="003E0892" w:rsidRPr="00B418DE">
        <w:t>0</w:t>
      </w:r>
      <w:r w:rsidR="003E0892" w:rsidRPr="00B418DE">
        <w:rPr>
          <w:lang w:val="bg-BG"/>
        </w:rPr>
        <w:t>6180</w:t>
      </w:r>
      <w:r w:rsidR="003E0892" w:rsidRPr="00B418DE">
        <w:t>/2024 – C9</w:t>
      </w:r>
      <w:r w:rsidR="003E0892" w:rsidRPr="00B418DE">
        <w:noBreakHyphen/>
      </w:r>
      <w:r w:rsidR="003E0892" w:rsidRPr="00B418DE">
        <w:rPr>
          <w:lang w:val="bg-BG"/>
        </w:rPr>
        <w:t>0107</w:t>
      </w:r>
      <w:r w:rsidR="003E0892" w:rsidRPr="00B418DE">
        <w:t>/2024</w:t>
      </w:r>
      <w:r w:rsidRPr="00B418DE">
        <w:t>),</w:t>
      </w:r>
    </w:p>
    <w:p w:rsidR="00BE0CF2" w:rsidRPr="00B418DE" w:rsidRDefault="00BE0CF2" w:rsidP="00BE0CF2">
      <w:pPr>
        <w:pStyle w:val="NormalHanging12a"/>
      </w:pPr>
      <w:r w:rsidRPr="00B418DE">
        <w:t>–</w:t>
      </w:r>
      <w:r w:rsidRPr="00B418DE">
        <w:tab/>
        <w:t>având în vedere articolul 319 din Tratatul privind funcționarea Uniunii Europene,</w:t>
      </w:r>
    </w:p>
    <w:p w:rsidR="00BE0CF2" w:rsidRPr="00B418DE" w:rsidRDefault="00BE0CF2" w:rsidP="00BE0CF2">
      <w:pPr>
        <w:pStyle w:val="NormalHanging12a"/>
      </w:pPr>
      <w:r w:rsidRPr="00B418DE">
        <w:t>–</w:t>
      </w:r>
      <w:r w:rsidRPr="00B418D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B418DE">
        <w:rPr>
          <w:rStyle w:val="FootnoteReference"/>
        </w:rPr>
        <w:footnoteReference w:id="8"/>
      </w:r>
      <w:r w:rsidRPr="00B418DE">
        <w:t>, în special articolul 70,</w:t>
      </w:r>
    </w:p>
    <w:p w:rsidR="00BE0CF2" w:rsidRPr="00B418DE" w:rsidRDefault="00BE0CF2" w:rsidP="00BE0CF2">
      <w:pPr>
        <w:pStyle w:val="NormalHanging12a"/>
      </w:pPr>
      <w:r w:rsidRPr="00B418DE">
        <w:t>–</w:t>
      </w:r>
      <w:r w:rsidRPr="00B418DE">
        <w:tab/>
        <w:t>având în vedere 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w:t>
      </w:r>
      <w:r w:rsidRPr="00B418DE">
        <w:rPr>
          <w:rStyle w:val="FootnoteReference"/>
        </w:rPr>
        <w:footnoteReference w:id="9"/>
      </w:r>
      <w:r w:rsidRPr="00B418DE">
        <w:t>, în special articolul 60,</w:t>
      </w:r>
    </w:p>
    <w:p w:rsidR="00BE0CF2" w:rsidRPr="00B418DE" w:rsidRDefault="00BE0CF2" w:rsidP="00BE0CF2">
      <w:pPr>
        <w:pStyle w:val="NormalHanging12a"/>
      </w:pPr>
      <w:r w:rsidRPr="00B418DE">
        <w:t>–</w:t>
      </w:r>
      <w:r w:rsidRPr="00B418D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B418DE">
        <w:rPr>
          <w:rStyle w:val="FootnoteReference"/>
        </w:rPr>
        <w:footnoteReference w:id="10"/>
      </w:r>
      <w:r w:rsidRPr="00B418DE">
        <w:t>, în special articolul 105,</w:t>
      </w:r>
    </w:p>
    <w:p w:rsidR="00BE0CF2" w:rsidRPr="00B418DE" w:rsidRDefault="00BE0CF2" w:rsidP="00BE0CF2">
      <w:pPr>
        <w:pStyle w:val="NormalHanging12a"/>
      </w:pPr>
      <w:r w:rsidRPr="00B418DE">
        <w:t>–</w:t>
      </w:r>
      <w:r w:rsidRPr="00B418DE">
        <w:tab/>
        <w:t>având în vedere articolul 100 și anexa V la Regulamentul său de procedură,</w:t>
      </w:r>
    </w:p>
    <w:p w:rsidR="00BE0CF2" w:rsidRPr="00B418DE" w:rsidRDefault="00BE0CF2" w:rsidP="00BE0CF2">
      <w:pPr>
        <w:pStyle w:val="NormalHanging12a"/>
      </w:pPr>
      <w:r w:rsidRPr="00B418DE">
        <w:t>–</w:t>
      </w:r>
      <w:r w:rsidRPr="00B418DE">
        <w:tab/>
        <w:t>având în vedere avizul Comisiei pentru libertăți civile, justiție și afaceri interne,</w:t>
      </w:r>
    </w:p>
    <w:p w:rsidR="00BE0CF2" w:rsidRPr="00B418DE" w:rsidRDefault="00BE0CF2" w:rsidP="00BE0CF2">
      <w:pPr>
        <w:pStyle w:val="NormalHanging12a"/>
      </w:pPr>
      <w:r w:rsidRPr="00B418DE">
        <w:lastRenderedPageBreak/>
        <w:t>–</w:t>
      </w:r>
      <w:r w:rsidRPr="00B418DE">
        <w:tab/>
        <w:t>având în vedere raportul Comisiei pentru control bugetar (A9-0119/2024),</w:t>
      </w:r>
    </w:p>
    <w:p w:rsidR="00BE0CF2" w:rsidRPr="00B418DE" w:rsidRDefault="00BE0CF2" w:rsidP="00BE0CF2">
      <w:pPr>
        <w:pStyle w:val="NormalHanging12a"/>
      </w:pPr>
      <w:r w:rsidRPr="00B418DE">
        <w:t>1.</w:t>
      </w:r>
      <w:r w:rsidRPr="00B418DE">
        <w:tab/>
        <w:t>aprobă închiderea conturilor Agenției Uniunii Europene pentru Cooperare în Materie de Aplicare a Legii (Europol) pentru exercițiul financiar 2022;</w:t>
      </w:r>
    </w:p>
    <w:p w:rsidR="00BE0CF2" w:rsidRPr="00B418DE" w:rsidRDefault="00BE0CF2" w:rsidP="00BE0CF2">
      <w:pPr>
        <w:pStyle w:val="NormalHanging12a"/>
      </w:pPr>
      <w:r w:rsidRPr="00B418DE">
        <w:t>2.</w:t>
      </w:r>
      <w:r w:rsidRPr="00B418DE">
        <w:tab/>
        <w:t xml:space="preserve">încredințează Președintei sarcina de a transmite prezenta decizie directoarei executive a Agenției Uniunii Europene pentru Cooperare în Materie de Aplicare a Legii (Europol), Consiliului, Comisiei și Curții de Conturi și de a asigura publicarea acesteia în </w:t>
      </w:r>
      <w:r w:rsidRPr="00B418DE">
        <w:rPr>
          <w:i/>
          <w:iCs/>
        </w:rPr>
        <w:t>Jurnalul Oficial al Uniunii Europene</w:t>
      </w:r>
      <w:r w:rsidRPr="00B418DE">
        <w:t xml:space="preserve"> (seria L).</w:t>
      </w:r>
    </w:p>
    <w:p w:rsidR="00BE0CF2" w:rsidRPr="00B418DE" w:rsidRDefault="00BE0CF2" w:rsidP="00BE0CF2"/>
    <w:p w:rsidR="00BE0CF2" w:rsidRPr="00B418DE" w:rsidRDefault="00BE0CF2" w:rsidP="00BE0CF2">
      <w:pPr>
        <w:widowControl/>
        <w:rPr>
          <w:rFonts w:ascii="Arial" w:hAnsi="Arial" w:cs="Arial"/>
          <w:b/>
        </w:rPr>
        <w:sectPr w:rsidR="00BE0CF2" w:rsidRPr="00B418DE" w:rsidSect="009A3140">
          <w:footnotePr>
            <w:numRestart w:val="eachPage"/>
          </w:footnotePr>
          <w:endnotePr>
            <w:numFmt w:val="decimal"/>
          </w:endnotePr>
          <w:pgSz w:w="11906" w:h="16838"/>
          <w:pgMar w:top="1134" w:right="1418" w:bottom="1418" w:left="1418" w:header="567" w:footer="567" w:gutter="0"/>
          <w:cols w:space="720"/>
          <w:docGrid w:linePitch="326"/>
        </w:sectPr>
      </w:pPr>
    </w:p>
    <w:p w:rsidR="00BE0CF2" w:rsidRPr="00B418DE" w:rsidRDefault="00F40858" w:rsidP="00F40858">
      <w:pPr>
        <w:pStyle w:val="ATHeading3"/>
      </w:pPr>
      <w:r w:rsidRPr="00B418DE">
        <w:lastRenderedPageBreak/>
        <w:t xml:space="preserve">3. Rezoluția Parlamentului European din 11 aprilie 2024 </w:t>
      </w:r>
      <w:r w:rsidR="00BE0CF2" w:rsidRPr="00B418DE">
        <w:t>conținând observațiile care fac parte integrantă din decizia privind descărcarea de gestiune pentru execuția bugetului Agenției Uniunii Europene pentru Cooperare în Materie de Aplicare a Legii (Europol) aferent exercițiului financiar 2022</w:t>
      </w:r>
      <w:r w:rsidRPr="00B418DE">
        <w:t xml:space="preserve"> </w:t>
      </w:r>
      <w:r w:rsidR="00BE0CF2" w:rsidRPr="00B418DE">
        <w:t>(2023/2169(DEC))</w:t>
      </w:r>
    </w:p>
    <w:p w:rsidR="00BE0CF2" w:rsidRPr="00B418DE" w:rsidRDefault="00BE0CF2" w:rsidP="00BE0CF2">
      <w:pPr>
        <w:pStyle w:val="EPComma"/>
      </w:pPr>
      <w:r w:rsidRPr="00B418DE">
        <w:rPr>
          <w:i/>
          <w:iCs/>
        </w:rPr>
        <w:t>Parlamentul European</w:t>
      </w:r>
      <w:r w:rsidRPr="00B418DE">
        <w:t>,</w:t>
      </w:r>
    </w:p>
    <w:p w:rsidR="00BE0CF2" w:rsidRPr="00B418DE" w:rsidRDefault="00BE0CF2" w:rsidP="00BE0CF2">
      <w:pPr>
        <w:pStyle w:val="NormalHanging12a"/>
      </w:pPr>
      <w:r w:rsidRPr="00B418DE">
        <w:t>–</w:t>
      </w:r>
      <w:r w:rsidRPr="00B418DE">
        <w:tab/>
        <w:t>având în vedere decizia sa privind descărcarea de gestiune pentru execuția bugetului Agenției Uniunii Europene pentru Cooperare în Materie de Aplicare a Legii (Europol) aferent exercițiului financiar 2022,</w:t>
      </w:r>
    </w:p>
    <w:p w:rsidR="00BE0CF2" w:rsidRPr="00B418DE" w:rsidRDefault="00BE0CF2" w:rsidP="00BE0CF2">
      <w:pPr>
        <w:pStyle w:val="NormalHanging12a"/>
      </w:pPr>
      <w:r w:rsidRPr="00B418DE">
        <w:t>–</w:t>
      </w:r>
      <w:r w:rsidRPr="00B418DE">
        <w:tab/>
        <w:t>având în vedere articolul 100 și anexa V la Regulamentul său de procedură,</w:t>
      </w:r>
    </w:p>
    <w:p w:rsidR="00BE0CF2" w:rsidRPr="00B418DE" w:rsidRDefault="00BE0CF2" w:rsidP="00BE0CF2">
      <w:pPr>
        <w:pStyle w:val="NormalHanging12a"/>
      </w:pPr>
      <w:r w:rsidRPr="00B418DE">
        <w:t>–</w:t>
      </w:r>
      <w:r w:rsidRPr="00B418DE">
        <w:tab/>
        <w:t>având în vedere avizul Comisiei pentru libertăți civile, justiție și afaceri interne,</w:t>
      </w:r>
    </w:p>
    <w:p w:rsidR="00BE0CF2" w:rsidRPr="00B418DE" w:rsidRDefault="00BE0CF2" w:rsidP="00BE0CF2">
      <w:pPr>
        <w:pStyle w:val="NormalHanging12a"/>
      </w:pPr>
      <w:r w:rsidRPr="00B418DE">
        <w:t>–</w:t>
      </w:r>
      <w:r w:rsidRPr="00B418DE">
        <w:tab/>
        <w:t>având în vedere raportul Comisiei pentru control bugetar (A9-0119/2024),</w:t>
      </w:r>
    </w:p>
    <w:p w:rsidR="00BE0CF2" w:rsidRPr="00B418DE" w:rsidRDefault="00BE0CF2" w:rsidP="00BE0CF2">
      <w:pPr>
        <w:pStyle w:val="Normal12Hanging"/>
        <w:widowControl/>
        <w:rPr>
          <w:szCs w:val="24"/>
        </w:rPr>
      </w:pPr>
      <w:r w:rsidRPr="00B418DE">
        <w:t>A.</w:t>
      </w:r>
      <w:r w:rsidRPr="00B418DE">
        <w:tab/>
        <w:t>întrucât, potrivit situației veniturilor și cheltuielilor sale</w:t>
      </w:r>
      <w:r w:rsidRPr="00B418DE">
        <w:rPr>
          <w:szCs w:val="24"/>
          <w:vertAlign w:val="superscript"/>
        </w:rPr>
        <w:footnoteReference w:id="11"/>
      </w:r>
      <w:r w:rsidRPr="00B418DE">
        <w:t>, bugetul definitiv al Agenției Uniunii Europene pentru Cooperare în Materie de Aplicare a Legii (Europol) (denumită în continuare „Agenția”) aferent exercițiului financiar 2022 a fost de 197 759 722 EUR, ceea ce reprezintă o majorare cu 10,91 % față de 2021; întrucât bugetul Agenției provine în principal de la bugetul Uniunii;</w:t>
      </w:r>
    </w:p>
    <w:p w:rsidR="00BE0CF2" w:rsidRPr="00B418DE" w:rsidRDefault="00BE0CF2" w:rsidP="00BE0CF2">
      <w:pPr>
        <w:pStyle w:val="Normal12Hanging"/>
        <w:widowControl/>
        <w:rPr>
          <w:szCs w:val="24"/>
        </w:rPr>
      </w:pPr>
      <w:r w:rsidRPr="00B418DE">
        <w:t>B.</w:t>
      </w:r>
      <w:r w:rsidRPr="00B418DE">
        <w:tab/>
        <w:t>întrucât, în raportul său privind conturile anuale ale Agenției Uniunii Europene pentru Cooperare în Materie de Aplicare a Legii (Europol) pentru exercițiul financiar 2022 („raportul Curții”), Curtea de Conturi („Curtea”) a declarat că a obținut asigurări rezonabile cu privire la fiabilitatea conturilor anuale ale Agenției și cu privire la legalitatea și regularitatea operațiunilor subiacente,</w:t>
      </w:r>
    </w:p>
    <w:p w:rsidR="00BE0CF2" w:rsidRPr="00B418DE" w:rsidRDefault="00BE0CF2" w:rsidP="00BE0CF2">
      <w:pPr>
        <w:pStyle w:val="Normal12Hanging"/>
        <w:widowControl/>
        <w:rPr>
          <w:b/>
          <w:i/>
          <w:szCs w:val="24"/>
        </w:rPr>
      </w:pPr>
      <w:r w:rsidRPr="00B418DE">
        <w:rPr>
          <w:b/>
          <w:i/>
        </w:rPr>
        <w:t>Gestiunea bugetară și financiară</w:t>
      </w:r>
    </w:p>
    <w:p w:rsidR="00BE0CF2" w:rsidRPr="00B418DE" w:rsidRDefault="00BE0CF2" w:rsidP="00BE0CF2">
      <w:pPr>
        <w:pStyle w:val="NormalHanging12a"/>
      </w:pPr>
      <w:r w:rsidRPr="00B418DE">
        <w:t>1.</w:t>
      </w:r>
      <w:r w:rsidRPr="00B418DE">
        <w:tab/>
        <w:t>constată că eforturile de monitorizare a bugetului au avut ca rezultat o rată de execuție bugetară în 2022 de 96,62 % a creditelor de angajament, ceea ce reprezintă o scădere de 2,10 % față de 2021; constată că rata de execuție a creditelor de plată pentru anul în curs a fost de 79,73 %, ceea ce reprezintă o scădere de 3,78 % în comparație cu 2021; felicită Agenția pentru eforturile de a-și reduce și mai mult întârzierile în efectuarea plăților de la 32,8 % în 2020 și 7,8 % în 2021 la 7,2 % în 2022;</w:t>
      </w:r>
      <w:r w:rsidRPr="00B418DE">
        <w:rPr>
          <w:b/>
          <w:i/>
        </w:rPr>
        <w:t xml:space="preserve"> </w:t>
      </w:r>
      <w:r w:rsidRPr="00B418DE">
        <w:t xml:space="preserve">constată însă cu preocupare observația Curții, care subliniază că Agenția se confruntă cu probleme legate de plăți întârziate, este încă valabilă; este de acord cu opinia Curții potrivit căreia deficiența recurentă respective expune Agenția la riscuri </w:t>
      </w:r>
      <w:proofErr w:type="spellStart"/>
      <w:r w:rsidRPr="00B418DE">
        <w:t>reputaționale</w:t>
      </w:r>
      <w:proofErr w:type="spellEnd"/>
      <w:r w:rsidRPr="00B418DE">
        <w:t>;</w:t>
      </w:r>
    </w:p>
    <w:p w:rsidR="00BE0CF2" w:rsidRPr="00B418DE" w:rsidRDefault="00BE0CF2" w:rsidP="00BE0CF2">
      <w:pPr>
        <w:pStyle w:val="Normal12Hanging"/>
        <w:widowControl/>
        <w:rPr>
          <w:szCs w:val="24"/>
        </w:rPr>
      </w:pPr>
      <w:r w:rsidRPr="00B418DE">
        <w:t>2.</w:t>
      </w:r>
      <w:r w:rsidRPr="00B418DE">
        <w:tab/>
        <w:t xml:space="preserve">constată o rată scăzută de execuție (85 %) a fondurilor (C8) reportate din 2021 în 2022, ceea ce a dus la o sumă neutilizată de 3,8 milioane EUR în credite; observă cu îngrijorare că creditele aferente bugetului actual reportate din 2022 în 2023 se situează la un nivel relativ ridicat, de 17 % sau 32,5 milioane EUR; observă totodată o tendință ascendentă în ultimii ani (2020-2022) în ceea ce privește excedentul Agenției (rezultatul bugetar) la sfârșitul exercițiului financiar, în timp ce, pentru 2022, acest excedent a fost de 10,3 milioane EUR, mai mult decât dublul aceleiași cifre în 2021 (5,1 milioane </w:t>
      </w:r>
      <w:r w:rsidRPr="00B418DE">
        <w:lastRenderedPageBreak/>
        <w:t>EUR); constată, pe baza Raportului anual de activitate consolidat pe 2022 (RAAC) al Agenției și a raportului Agenției privind măsurile subsecvente deciziei Parlamentului de descărcare de gestiune pentru execuția bugetului Agenției aferent exercițiului 2021, că Agenția a evaluat cauzele profunde ale nivelurilor ridicate ale excedentului la sfârșitul exercițiului financiar și performanța de reportare a execuției bugetare; constată, în acest sens, că Agenția a pregătit și un plan de acțiune; invită Agenția să informeze autoritatea care acordă descărcarea de gestiune cu privire la progresele înregistrate în acest sens;</w:t>
      </w:r>
    </w:p>
    <w:p w:rsidR="00BE0CF2" w:rsidRPr="00B418DE" w:rsidRDefault="00BE0CF2" w:rsidP="00BE0CF2">
      <w:pPr>
        <w:pStyle w:val="Normal12Hanging"/>
        <w:widowControl/>
        <w:rPr>
          <w:szCs w:val="24"/>
        </w:rPr>
      </w:pPr>
      <w:r w:rsidRPr="00B418DE">
        <w:t>3.</w:t>
      </w:r>
      <w:r w:rsidRPr="00B418DE">
        <w:tab/>
        <w:t>ia act de faptul că bugetul final al Agenției pentru 2022 este rezultatul unei prime rectificări în valoare de 4,3 milioane EUR, al contribuției Danemarcei pentru 2022 și al unei a doua rectificări în valoare de 1,1 milioane EUR pentru acordurile de contribuție și acordurile privind nivelul serviciilor;</w:t>
      </w:r>
    </w:p>
    <w:p w:rsidR="00BE0CF2" w:rsidRPr="00B418DE" w:rsidRDefault="00BE0CF2" w:rsidP="00BE0CF2">
      <w:pPr>
        <w:pStyle w:val="Normal12Hanging"/>
        <w:widowControl/>
        <w:rPr>
          <w:b/>
          <w:i/>
          <w:szCs w:val="24"/>
        </w:rPr>
      </w:pPr>
      <w:r w:rsidRPr="00B418DE">
        <w:rPr>
          <w:b/>
          <w:i/>
        </w:rPr>
        <w:t>Performanță</w:t>
      </w:r>
    </w:p>
    <w:p w:rsidR="00BE0CF2" w:rsidRPr="00B418DE" w:rsidRDefault="00BE0CF2" w:rsidP="00BE0CF2">
      <w:pPr>
        <w:pStyle w:val="Normal12Hanging"/>
        <w:widowControl/>
        <w:rPr>
          <w:szCs w:val="24"/>
        </w:rPr>
      </w:pPr>
      <w:r w:rsidRPr="00B418DE">
        <w:t>4.</w:t>
      </w:r>
      <w:r w:rsidRPr="00B418DE">
        <w:tab/>
        <w:t>constată cu satisfacție din RAAC că Agenția a utilizat indicatori-cheie de performanță și indicatori privind programul de lucru pentru a măsura valoarea adăugată oferită de activitățile sale și alte măsuri pentru a-și îmbunătăți gestiunea bugetară în 2022; ia act de faptul că Agenția a monitorizat 15 indicatori-cheie de performanță (ICP) și 56 de indicatori ai programului de lucru; ia act de faptul că 10 indicatori-cheie de performanță și 40 de indicatori ai programului de lucru au atins sau au depășit obiectivele stabilite; apreciază, în acest context, creșterea unor indicatori-cheie de performanță în comparație cu exercițiile precedente, în legătură cu numărul de operațiuni (2 758) și numărul de zile de acțiune (394) sprijinite de Agenție, precum și numărul de căutări efectuate în EIS și QUEST (13 milioane) și numărul de verificări ale criminalității transfrontaliere în SIE legate de persoane (2 339);</w:t>
      </w:r>
    </w:p>
    <w:p w:rsidR="00BE0CF2" w:rsidRPr="00B418DE" w:rsidRDefault="00BE0CF2" w:rsidP="00BE0CF2">
      <w:pPr>
        <w:pStyle w:val="Normal12Hanging"/>
        <w:widowControl/>
        <w:rPr>
          <w:szCs w:val="24"/>
        </w:rPr>
      </w:pPr>
      <w:r w:rsidRPr="00B418DE">
        <w:t>5.</w:t>
      </w:r>
      <w:r w:rsidRPr="00B418DE">
        <w:tab/>
        <w:t>felicită Agenția pentru succesul de anvergură în îndeplinirea celor cinci priorități strategice multianuale stabilite în Strategia Europol 2020+; ia act, în special, de înființarea Unității de gestionare a informațiilor (IMU), de elaborarea unei strategii TIC care ar trebui să contribuie la punerea în aplicare a strategiei Agenției în domeniul gestionării informațiilor și la punerea în aplicare a unui nou model de valoare economică pentru monitorizarea progreselor înregistrate în ceea ce privește TIC; ia act de faptul că Laboratorul de inovare al Europol a devenit parte a Unității de gestionare a informațiilor (IMU) într-o structură care se preconizează că va conduce la o colaborare mai strânsă, necesară pentru punerea în aplicare a Regulamentului revizuit privind Europol și a lansat repertoriul de instrumente Europol pentru a sprijini cercetarea și inovarea în statele membre, pentru a încuraja schimbul de experiență și a promova sinergii; ia act și de lansarea Unității de sprijin digital, care vizează un răspuns eficient și eficace la nevoile de investigare ale statelor membre și în cadrul Agenției, în special în ceea ce privește cazurile complexe care necesită sprijin din partea expertizei criminalistice digitale;</w:t>
      </w:r>
    </w:p>
    <w:p w:rsidR="00BE0CF2" w:rsidRPr="00B418DE" w:rsidRDefault="00BE0CF2" w:rsidP="00BE0CF2">
      <w:pPr>
        <w:pStyle w:val="Normal12Hanging"/>
        <w:widowControl/>
      </w:pPr>
      <w:r w:rsidRPr="00B418DE">
        <w:t>6.</w:t>
      </w:r>
      <w:r w:rsidRPr="00B418DE">
        <w:tab/>
        <w:t xml:space="preserve">felicită Agenția pentru capacitatea sa de reacție promptă și sprijinul pe care îl acordă statelor membre în combaterea criminalității, după invadarea ilegală și neprovocată a Ucrainei de către Rusia, prin trimiterea de experți și agenți pentru a sprijini autoritățile locale de aplicare a legii din țările învecinate cu Ucraina sau prin sprijinirea anchetelor financiare care vizează bunurile provenite din săvârșirea de infracțiuni deținute de persoane fizice și entități juridice sancționate în contextul acestui război; constată și că, în 2022, Agenția a publicat mai multe studii de evaluare a riscurilor prezentate de acest război și a emis alerte timpurii și notificări privind traficul de arme și de ființe umane, </w:t>
      </w:r>
      <w:r w:rsidRPr="00B418DE">
        <w:lastRenderedPageBreak/>
        <w:t>printre altele; încurajează totodată Agenția să facă tot posibilul pentru a sprijini acțiunile Uniunii și ale statelor membre în acest domeniu; ia act de faptul că agresiunea militară ilegală a provocat o criză umanitară și un număr mare de refugiați din Ucraina în Uniune, situație de care se pot prevala rețelele criminale pentru a-și intensifica activitățile infracționale; subliniază totodată că extinderea competențelor Agenției la sprijinul acordat statelor membre și cooperarea cu părți private, țări terțe și organizații internaționale ar necesita instituirea unor mecanisme de supraveghere interne și externe suplimentare pentru a garanta respectarea legislației Uniunii și a asigura protecția drepturilor fundamentale;</w:t>
      </w:r>
    </w:p>
    <w:p w:rsidR="00BE0CF2" w:rsidRPr="00B418DE" w:rsidRDefault="00BE0CF2" w:rsidP="00BE0CF2">
      <w:pPr>
        <w:pStyle w:val="Normal12Hanging"/>
        <w:widowControl/>
      </w:pPr>
    </w:p>
    <w:p w:rsidR="00BE0CF2" w:rsidRPr="00B418DE" w:rsidRDefault="00BE0CF2" w:rsidP="00BE0CF2">
      <w:pPr>
        <w:pStyle w:val="Normal12Hanging"/>
        <w:widowControl/>
      </w:pPr>
      <w:r w:rsidRPr="00B418DE">
        <w:t>7.</w:t>
      </w:r>
      <w:r w:rsidRPr="00B418DE">
        <w:tab/>
        <w:t>ia act de cooperarea strânsă și continuă dintre Agenție și eu-LISA pentru a institui verificări automatizate ale datelor privind cererile de călătorie din Sistemul european de informații și de autorizare privind călătoriile (ETIAS) în raport cu datele Europol; ia act de faptul că intrarea în funcțiune a ETIAS a fost amânată pentru noiembrie 2023 prin decizia Consiliului; apreciază faptul că Agenția și-a extins cooperarea cu Parchetul European (EPPO) în 2022, și, până la sfârșitul anului, a sprijinit 21 de operațiuni importante ale EPPO în domeniul fraudei fiscale;</w:t>
      </w:r>
    </w:p>
    <w:p w:rsidR="00BE0CF2" w:rsidRPr="00B418DE" w:rsidRDefault="00BE0CF2" w:rsidP="00BE0CF2">
      <w:pPr>
        <w:pStyle w:val="NormalHanging12a"/>
        <w:widowControl/>
        <w:rPr>
          <w:b/>
          <w:i/>
          <w:szCs w:val="24"/>
        </w:rPr>
      </w:pPr>
      <w:r w:rsidRPr="00B418DE">
        <w:rPr>
          <w:b/>
          <w:i/>
        </w:rPr>
        <w:t>Eficiența și realizările</w:t>
      </w:r>
    </w:p>
    <w:p w:rsidR="00BE0CF2" w:rsidRPr="00B418DE" w:rsidRDefault="00BE0CF2" w:rsidP="00BE0CF2">
      <w:pPr>
        <w:pStyle w:val="Normal12Hanging"/>
        <w:widowControl/>
      </w:pPr>
      <w:r w:rsidRPr="00B418DE">
        <w:t>8.</w:t>
      </w:r>
      <w:r w:rsidRPr="00B418DE">
        <w:tab/>
        <w:t>ia act cu satisfacție de faptul că Agenția și-a revizuit Strategia Europol 2020+, adaptându-și prioritățile strategice la nevoile operaționale actuale ale statelor membre și la amenințările la adresa securității cu care se confruntă, vizând astfel îmbunătățirea performanței Agenției; ia act, în acest sens, de o nouă prioritate strategică de a reuni partenerii relevanți pentru cooperarea transfrontalieră și acțiunile comune, inclusiv țările asociate spațiului Schengen, Interpol și agențiile Uniunii din domeniul justiției și afacerilor interne;</w:t>
      </w:r>
    </w:p>
    <w:p w:rsidR="00BE0CF2" w:rsidRPr="00B418DE" w:rsidRDefault="00BE0CF2" w:rsidP="00BE0CF2">
      <w:pPr>
        <w:pStyle w:val="NormalHanging12a"/>
        <w:widowControl/>
        <w:rPr>
          <w:szCs w:val="24"/>
        </w:rPr>
      </w:pPr>
      <w:r w:rsidRPr="00B418DE">
        <w:t>9.</w:t>
      </w:r>
      <w:r w:rsidRPr="00B418DE">
        <w:tab/>
        <w:t xml:space="preserve">ia act cu satisfacție de răspunsurile Agenției la întrebările cu solicitare de răspuns scris adresate Parlament, de măsurile și practicile extinse ale Agenției de creștere a eficienței </w:t>
      </w:r>
      <w:r w:rsidR="003E0892" w:rsidRPr="00B418DE">
        <w:t xml:space="preserve">și realizările </w:t>
      </w:r>
      <w:r w:rsidRPr="00B418DE">
        <w:t>în ceea ce privește soluțiile TIC de bază (</w:t>
      </w:r>
      <w:proofErr w:type="spellStart"/>
      <w:r w:rsidRPr="00B418DE">
        <w:t>internalizare</w:t>
      </w:r>
      <w:proofErr w:type="spellEnd"/>
      <w:r w:rsidRPr="00B418DE">
        <w:t xml:space="preserve"> în loc de externalizare), digitalizarea serviciilor de resurse umane (recrutarea electronică, formarea online) și instrumentele de monitorizare a execuției bugetare, rata locurilor de muncă vacante, plafoanele contractuale din cadrul procedurilor de achiziții publice și indicatorii de mediu, printre altele; felicită Agenția pentru punerea în aplicare a instrumentului de gestionare a achizițiilor publice, precum și pentru desfășurarea în comun a procedurilor de achiziții publice cu alte agenții;</w:t>
      </w:r>
    </w:p>
    <w:p w:rsidR="00BE0CF2" w:rsidRPr="00B418DE" w:rsidRDefault="00BE0CF2" w:rsidP="00BE0CF2">
      <w:pPr>
        <w:pStyle w:val="NormalHanging12a"/>
        <w:widowControl/>
        <w:rPr>
          <w:szCs w:val="24"/>
        </w:rPr>
      </w:pPr>
      <w:r w:rsidRPr="00B418DE">
        <w:t>10.</w:t>
      </w:r>
      <w:r w:rsidRPr="00B418DE">
        <w:tab/>
        <w:t xml:space="preserve">ia act de faptul că, după modificarea planificării Agendei de interoperabilitate a Uniunii (AI), a fost necesară replanificarea activităților și a resurselor interne ale Agenției, ceea ce a necesitat personal suplimentar; ia act, în acest context, de acordul convenit, prin care 25 de membri ai personalului Agenției Europene pentru Poliția de Frontieră și Garda de Coastă vor sprijini Agenția, începând din 2024, în îndeplinirea obligațiilor care îi revin în cadrul Agendei de Interoperabilitate; constată și că se manifestă o presiune asupra resurselor Agenției legate de procedurile de consultare cu Autoritatea Europeană pentru Protecția Datelor (AEPD), 25 de angajați ai Agenției fiind transferați la AEPD; felicită Agenția pentru colaborarea sa strânsă cu AEPD și pentru integrarea recomandărilor acesteia în ceea ce privește utilizarea diferitelor sisteme, cum ar fi EPRIS, ADEP, SIS, PERCI și QUEST+; ia act de observația Agenției cu privire la </w:t>
      </w:r>
      <w:r w:rsidRPr="00B418DE">
        <w:lastRenderedPageBreak/>
        <w:t>întârzierea punerii în funcțiune a PERCI (Platforma Uniunii privind conținutul ilegal online) din cauza impactului pe care avizele AEPD și recomandările ulterioare l-au avut asupra evoluțiilor de importanță operațională majoră; felicită Agenția pentru desemnarea ofițerului pentru drepturile fundamentale care va sprijini Agenția în procesul de garantare a respectării drepturilor fundamentale în toate activitățile și sarcinile sale;</w:t>
      </w:r>
    </w:p>
    <w:p w:rsidR="00BE0CF2" w:rsidRPr="00B418DE" w:rsidRDefault="00BE0CF2" w:rsidP="00BE0CF2">
      <w:pPr>
        <w:pStyle w:val="NormalHanging12a"/>
      </w:pPr>
      <w:r w:rsidRPr="00B418DE">
        <w:t>11.</w:t>
      </w:r>
      <w:r w:rsidRPr="00B418DE">
        <w:tab/>
        <w:t>felicită Agenția pentru certificarea sistemului de management de mediu și audit (EMAS) în 2022; felicită Agenția și pentru utilizarea criteriilor de achiziții publice ecologice, precum și pentru integrarea politicii și obiectivelor de mediu ale Agenției în procedurile sale de achiziții publice; ia act de faptul că Agenția a inițiat un proiect de studiu de fezabilitate pentru dezvoltarea viziunii de mediu a Agenției pentru 2030, pentru a defini obiectivele de reducere a emisiilor de gaze cu efect de seră ale Agenției și măsurile de îmbunătățire necesare pentru atingerea acestor obiective; invită Agenția să informeze autoritatea care acordă descărcarea de gestiune cu privire la rezultatele acestui studiu;</w:t>
      </w:r>
      <w:r w:rsidRPr="00B418DE">
        <w:rPr>
          <w:b/>
          <w:i/>
        </w:rPr>
        <w:t xml:space="preserve"> </w:t>
      </w:r>
      <w:r w:rsidRPr="00B418DE">
        <w:t>invită Agenția să ia în considerare și implementarea unor soluții intermediare sustenabile și eficiente din punct de vedere energetic atât pentru infrastructura sa, cât și pentru procesele sale interne, cum ar fi utilizarea sporită a instrumentelor digitale și gestionarea documentelor;</w:t>
      </w:r>
    </w:p>
    <w:p w:rsidR="00BE0CF2" w:rsidRPr="00B418DE" w:rsidRDefault="00BE0CF2" w:rsidP="00BE0CF2">
      <w:pPr>
        <w:pStyle w:val="Normal12Hanging"/>
        <w:widowControl/>
        <w:rPr>
          <w:b/>
          <w:i/>
          <w:szCs w:val="24"/>
        </w:rPr>
      </w:pPr>
      <w:r w:rsidRPr="00B418DE">
        <w:rPr>
          <w:b/>
          <w:i/>
        </w:rPr>
        <w:t>Politica de personal</w:t>
      </w:r>
    </w:p>
    <w:p w:rsidR="00BE0CF2" w:rsidRPr="00B418DE" w:rsidRDefault="00BE0CF2" w:rsidP="00BE0CF2">
      <w:pPr>
        <w:pStyle w:val="Normal12Hanging"/>
        <w:widowControl/>
        <w:rPr>
          <w:szCs w:val="24"/>
        </w:rPr>
      </w:pPr>
      <w:r w:rsidRPr="00B418DE">
        <w:t>12.</w:t>
      </w:r>
      <w:r w:rsidRPr="00B418DE">
        <w:tab/>
        <w:t>constată că la 31 decembrie 2022 schema de personal era completată în proporție de 99,41 %, fiind ocupate 682 din cele 686 de posturi de agenți temporari din bugetul Uniunii (615 în 2021); constată că, în plus, în 2022, la Agenție au mai lucrat 236 agenți contractuali (din care 19 finanțați prin granturi/acorduri) și 55 de experți naționali detașați, fiind autorizate 235, respectiv 71 de posturi de la bugetul Uniunii; constată și că 11 posturi suplimentare de agenți contractuali, în afara schemei de personal pentru 2022, au fost alocate pentru o perioadă limitată, pentru a menține numărul de posturi vacante la un nivel minim; constată că Agenția face distincție între cinci categorii de experți naționali detașați, patru categorii implicând costuri zero sau limitate pentru bugetul Agenției și reprezentând alte 152 de persoane, numărul total de experți naționali detașați ridicându-se la 207 în 2022; salută rata scăzută a posturilor vacante la Agenție, de 0,6 % în 2022, cu mult sub obiectivul anual privind o rată maximă a posturilor vacante de 2 %; ia act și de creșterea ratei de rotație a personalului Agenției de la 6,9 % în 2021 la 9,12 % în 2022;</w:t>
      </w:r>
    </w:p>
    <w:p w:rsidR="00BE0CF2" w:rsidRPr="00B418DE" w:rsidRDefault="00BE0CF2" w:rsidP="00BE0CF2">
      <w:pPr>
        <w:pStyle w:val="NormalHanging12a"/>
      </w:pPr>
      <w:r w:rsidRPr="00B418DE">
        <w:t>13.</w:t>
      </w:r>
      <w:r w:rsidRPr="00B418DE">
        <w:tab/>
        <w:t>subliniază că, în contextul invaziei rusești în Ucraina în 2022, Agenția a trimis echipe operaționale alcătuite din experți naționali detașați fără costuri (END) în mai multe state membre, cum ar fi Lituania, Slovacia, Ungaria, România sau Bulgaria, precum și în țări partenere precum Moldova, sporind astfel utilizarea de END fără costuri; subliniază că venitul END fără costuri depinde în continuare de deciziile naționale și că o serie de state membre au decis să nu plătească în continuare salariile atunci când apar astfel de situații, respectivii experții depinzând de sumele care le sunt plătite cu titlu de diurne; reamintește că, deși Actul legislativ privind serviciile digitale ar trebui ajustat cu coeficientul de corecție și ar trebui să compenseze costul mai ridicat al vieții, corectat cu inflația, o dată la 3 ani, aceste rate au rămas neschimbate în ultimii 6 ani; solicită Agenției să se angajeze într-un dialog substanțial cu Comisia și cu autoritățile naționale competente pentru a asigura o compensație echitabilă pentru toți experții angajați de Agenție;</w:t>
      </w:r>
    </w:p>
    <w:p w:rsidR="00BE0CF2" w:rsidRPr="00B418DE" w:rsidRDefault="00BE0CF2" w:rsidP="00BE0CF2">
      <w:pPr>
        <w:pStyle w:val="NormalHanging12a"/>
      </w:pPr>
      <w:r w:rsidRPr="00B418DE">
        <w:lastRenderedPageBreak/>
        <w:t>14.</w:t>
      </w:r>
      <w:r w:rsidRPr="00B418DE">
        <w:tab/>
        <w:t xml:space="preserve">ia act cu îngrijorare de distribuția de gen în cadrul Agenției raportată în 2022: cadrele de conducere de nivel superior și mediu - 82 % bărbați (28 de bărbați și 6 femei), consiliul de administrație - 75 % bărbați (38 de bărbați și 13 femei) și personalul general - 65 % bărbați (556 de bărbați și 295 de femei); ia act de faptul că proporția de femei (35 %) angajate de Agenție în 2022 este peste media (pe baza statisticilor </w:t>
      </w:r>
      <w:proofErr w:type="spellStart"/>
      <w:r w:rsidRPr="00B418DE">
        <w:t>Eurostat</w:t>
      </w:r>
      <w:proofErr w:type="spellEnd"/>
      <w:r w:rsidRPr="00B418DE">
        <w:t xml:space="preserve"> din 2021) a femeilor (21,6 %) angajate în domeniul aplicării legii în Uniune (ofițeri de poliție, judecători și personal penitenciar); reamintește că este important să se asigure echilibrul de gen și invită Agenția să ia în considerare acest aspect la viitoarele recrutări de personal și numiri ale cadrelor superioare și medii; solicită Comisiei și statelor membre să țină cont că este important să se garanteze echilibrul de gen atunci când sunt desemnați membrii consiliului de administrație al Agenției;</w:t>
      </w:r>
    </w:p>
    <w:p w:rsidR="00BE0CF2" w:rsidRPr="00B418DE" w:rsidRDefault="00BE0CF2" w:rsidP="00BE0CF2">
      <w:pPr>
        <w:pStyle w:val="NormalHanging12a"/>
      </w:pPr>
      <w:r w:rsidRPr="00B418DE">
        <w:t>15.</w:t>
      </w:r>
      <w:r w:rsidRPr="00B418DE">
        <w:tab/>
        <w:t>observă că, în 2022, serviciul medical al Agenției a raportat trei noi cazuri de epuizare; constată și că Agenția a pus în aplicare măsuri de îmbunătățire a confortului personalului său, cum ar fi consilierea privind sănătatea la locul de muncă și stilul de viață, programul de lucru medical cu fracțiune de normă, îndrumarea specialiștilor medicali și consilierea personalului de conducere care sprijină personalul, printre altele; ia act de faptul că Consiliul de administrație a fost de acord cu aplicarea, prin analogie cu Agenția, a Deciziei C (2022) a Comisiei privind timpul de lucru și munca hibridă, înlocuind dispozițiile anterioare privind timpul de lucru și munca la distanță, cu scopul de a oferi un cadru în care munca la birou și munca la distanță sunt considerate modalități de lucru echivalente; invită Agenția să continue să analizeze soluții pentru evitarea cazurilor de epuizare și să informeze autoritatea care acordă descărcarea de gestiune despre progresele înregistrate;</w:t>
      </w:r>
    </w:p>
    <w:p w:rsidR="00BE0CF2" w:rsidRPr="00B418DE" w:rsidRDefault="00BE0CF2" w:rsidP="00BE0CF2">
      <w:pPr>
        <w:pStyle w:val="NormalHanging12a"/>
      </w:pPr>
      <w:r w:rsidRPr="00B418DE">
        <w:t>16.</w:t>
      </w:r>
      <w:r w:rsidRPr="00B418DE">
        <w:tab/>
        <w:t>constată, pe baza răspunsurilor Agenției la întrebările cu solicitare de răspuns scris ale Parlamentului, că, deși Agenția nu a pus în aplicare „Carta privind diversitatea și incluziunea”, aceasta și-a pus în aplicare propria strategie privind diversitatea și incluziunea; constată totodată că, în 2022, Agenția a revizuit și a adoptat Manualul de proceduri pentru punerea în aplicare a deciziei Consiliului de administrație privind politica de protecție a demnității persoanei și de prevenire a hărțuirii psihologice și sexuale; ia act de faptul că, în perioada 2017-2022, Agenția a solicitat consiliere juridică externă cu privire la două cazuri implicând acuzații de hărțuire; constată că în 2022 nu a fost adus în fața unei instanțe niciun caz de hărțuire implicând personalul Agenției;</w:t>
      </w:r>
      <w:r w:rsidRPr="00B418DE">
        <w:rPr>
          <w:b/>
          <w:i/>
        </w:rPr>
        <w:t xml:space="preserve"> </w:t>
      </w:r>
      <w:r w:rsidRPr="00B418DE">
        <w:t>subliniază că este important să existe cadre solide de combatere a hărțuirii, în special în medii de lucru extrem de stresante și solicitante; invită Agenția să introducă un program de formare în acest domeniu atât pentru nou-veniți, cât și pentru personalul existent;</w:t>
      </w:r>
    </w:p>
    <w:p w:rsidR="00BE0CF2" w:rsidRPr="00B418DE" w:rsidRDefault="00BE0CF2" w:rsidP="00BE0CF2">
      <w:pPr>
        <w:pStyle w:val="NormalHanging12a"/>
        <w:widowControl/>
        <w:rPr>
          <w:b/>
          <w:i/>
          <w:szCs w:val="24"/>
        </w:rPr>
      </w:pPr>
      <w:r w:rsidRPr="00B418DE">
        <w:rPr>
          <w:b/>
          <w:i/>
        </w:rPr>
        <w:t>Achiziții publice</w:t>
      </w:r>
    </w:p>
    <w:p w:rsidR="00BE0CF2" w:rsidRPr="00B418DE" w:rsidRDefault="00BE0CF2" w:rsidP="00BE0CF2">
      <w:pPr>
        <w:pStyle w:val="NormalHanging12a"/>
        <w:widowControl/>
        <w:rPr>
          <w:szCs w:val="24"/>
        </w:rPr>
      </w:pPr>
      <w:r w:rsidRPr="00B418DE">
        <w:t>17.</w:t>
      </w:r>
      <w:r w:rsidRPr="00B418DE">
        <w:tab/>
        <w:t>ia act de observația din raportul Curții că, în 2022, Agenția a debursat un grant în valoare de 3,3 milioane de euro pentru a finanța activitățile unei forțe naționale de poliție dintr-un stat membru, sumă care includea 1,4 milioane de euro care au fost utilizați pentru a rambursa achiziționarea a cinci ambarcațiuni și un provizion de 7 % pentru cheltuieli indirecte aferente, inclusiv TVA; constată din evaluarea Curții că, pentru achiziționarea de ambarcațiuni pentru cursuri ale poliției, în conformitate cu articolul 186 alineatul (4) litera (c) din Regulamentul financiar, TVA-</w:t>
      </w:r>
      <w:proofErr w:type="spellStart"/>
      <w:r w:rsidRPr="00B418DE">
        <w:t>ul</w:t>
      </w:r>
      <w:proofErr w:type="spellEnd"/>
      <w:r w:rsidRPr="00B418DE">
        <w:t xml:space="preserve"> nu ar fi trebuit rambursat deoarece beneficiarul este o autoritate publică, de drept public, și desfășoară activități în calitate de autoritate publică, prin urmare, acea parte a grantului, în valoare de 0,2 milioane EUR, fiind considerată neconformă; ia act din răspunsul Agenției de faptul că, conform articolului 5 din Decizia 2008/617/JHA a Consiliului privind </w:t>
      </w:r>
      <w:r w:rsidRPr="00B418DE">
        <w:lastRenderedPageBreak/>
        <w:t>îmbunătățirea cooperării dintre unitățile speciale de intervenție din statele membre ale Uniunii, care prevede că SIUS asigură exerciții de formare comune, deși grantul operațional se referă la activitățile UIP coordonate de un stat membru, Agenția a considerat că, în conformitate cu articolul 186 alineatul (4) litera (c) din Regulamentul financiar și cu orientările specifice corespunzătoare privind punerea în aplicare ale Comisiei privind administrarea granturilor, TVA-</w:t>
      </w:r>
      <w:proofErr w:type="spellStart"/>
      <w:r w:rsidRPr="00B418DE">
        <w:t>ul</w:t>
      </w:r>
      <w:proofErr w:type="spellEnd"/>
      <w:r w:rsidRPr="00B418DE">
        <w:t xml:space="preserve"> este un cost eligibil dacă nu poate fi recuperat în temeiul legislației naționale aplicabile și în cazul în care se referă la activități de formare, informare sau similare în domeniul securității, cu excepția TVA-ului plătit de statele membre atunci când acționează în calitate de autorități publice suverane, în special în cazul în care societățile private nu au putut furniza servicii conexe; constată în cele din urmă, în ceea ce privește evoluția viitoare, că Europol va evalua eligibilitatea TVA-ului pentru granturile operaționale, pe baza observațiilor Curții;</w:t>
      </w:r>
    </w:p>
    <w:p w:rsidR="00BE0CF2" w:rsidRPr="00B418DE" w:rsidRDefault="00BE0CF2" w:rsidP="00BE0CF2">
      <w:pPr>
        <w:pStyle w:val="NormalHanging12a"/>
        <w:widowControl/>
        <w:rPr>
          <w:b/>
          <w:i/>
          <w:szCs w:val="24"/>
        </w:rPr>
      </w:pPr>
      <w:r w:rsidRPr="00B418DE">
        <w:rPr>
          <w:b/>
          <w:i/>
        </w:rPr>
        <w:t>Prevenirea și gestionarea conflictelor de interese și transparența</w:t>
      </w:r>
    </w:p>
    <w:p w:rsidR="00BE0CF2" w:rsidRPr="00B418DE" w:rsidRDefault="00BE0CF2" w:rsidP="00BE0CF2">
      <w:pPr>
        <w:pStyle w:val="NormalHanging12a"/>
      </w:pPr>
      <w:r w:rsidRPr="00B418DE">
        <w:t>18.</w:t>
      </w:r>
      <w:r w:rsidRPr="00B418DE">
        <w:tab/>
        <w:t>ia act de măsurile aplicate de Agenție și de acțiunile sale în curs pentru a asigura transparența, prevenirea și gestionarea conflictelor de interese și protecția avertizorilor de integritate; constată cu satisfacție că declarațiile de interese și CV-urile tuturor membrilor consiliului de administrație și ale conducerii de nivel superior sunt publicate pe site-ul Agenției;</w:t>
      </w:r>
      <w:r w:rsidRPr="00B418DE">
        <w:rPr>
          <w:b/>
          <w:i/>
        </w:rPr>
        <w:t xml:space="preserve"> </w:t>
      </w:r>
      <w:r w:rsidRPr="00B418DE">
        <w:t>invită Agenția să ia în considerare măsuri de prevenire și a fenomenului „ușilor turnante”;</w:t>
      </w:r>
    </w:p>
    <w:p w:rsidR="00BE0CF2" w:rsidRPr="00B418DE" w:rsidRDefault="00BE0CF2" w:rsidP="00BE0CF2">
      <w:pPr>
        <w:pStyle w:val="NormalHanging12a"/>
        <w:widowControl/>
        <w:rPr>
          <w:szCs w:val="24"/>
        </w:rPr>
      </w:pPr>
      <w:r w:rsidRPr="00B418DE">
        <w:t>19.</w:t>
      </w:r>
      <w:r w:rsidRPr="00B418DE">
        <w:tab/>
        <w:t>ia act de faptul că, în cursul anului 2022, Agenția a gestionat șase cazuri privind situații de conflict de interese, din care două în ceea ce privește rolul de consilier în procesul de selecție, una survenită în timpul recrutării unui candidat selecționat înainte de preluarea atribuțiilor în cadrul agenției și două privind foști angajați (după încetarea raporturilor de muncă); constată totodată că au fost luate măsuri adecvate în legătură cu aceste situații, inclusiv autorizații condiționate pentru ocuparea unui loc de muncă după încetarea raporturilor de muncă; ia act de faptul că Agenția a tratat un caz de denunțare a neregulilor în 2022, care a fost închis fără acțiuni suplimentare în ceea ce privește o posibilă încălcare a obligațiilor profesionale;</w:t>
      </w:r>
    </w:p>
    <w:p w:rsidR="00BE0CF2" w:rsidRPr="00B418DE" w:rsidRDefault="00BE0CF2" w:rsidP="00BE0CF2">
      <w:pPr>
        <w:pStyle w:val="NormalHanging12a"/>
      </w:pPr>
      <w:r w:rsidRPr="00B418DE">
        <w:t>20.</w:t>
      </w:r>
      <w:r w:rsidRPr="00B418DE">
        <w:tab/>
        <w:t>își exprimă îngrijorarea cu privire la relatările din mass-media referitoare la conflictele de interese care apar în rândul personalului Agenției; ia act de faptul că, în decembrie 2023, Ombudsmanul European a decis să deschidă o anchetă pentru a investiga modul în care Agenția a gestionat mutarea a doi foști membri ai personalului în posturi legate de combaterea abuzului sexual online asupra copiilor; ia act de faptul că unul dintre aceștia a fost angajat de un terț interesat important din domeniul tehnologiei la începutul anului 2022, iar al doilea a fost angajat de același terț ca membru al consiliului de administrație mai târziu în cursul aceluiași an; ia act de răspunsul Agenției și solicită investigarea amănunțită a acuzațiilor și raportarea rezultatelor către autoritatea care acordă descărcarea de gestiune;</w:t>
      </w:r>
    </w:p>
    <w:p w:rsidR="00BE0CF2" w:rsidRPr="00B418DE" w:rsidRDefault="00BE0CF2" w:rsidP="00BE0CF2">
      <w:pPr>
        <w:pStyle w:val="NormalHanging12a"/>
        <w:widowControl/>
        <w:rPr>
          <w:szCs w:val="24"/>
        </w:rPr>
      </w:pPr>
      <w:r w:rsidRPr="00B418DE">
        <w:rPr>
          <w:b/>
          <w:i/>
        </w:rPr>
        <w:t>Controalele interne</w:t>
      </w:r>
    </w:p>
    <w:p w:rsidR="00BE0CF2" w:rsidRPr="00B418DE" w:rsidRDefault="00BE0CF2" w:rsidP="00BE0CF2">
      <w:pPr>
        <w:pStyle w:val="Normal12Hanging"/>
        <w:widowControl/>
        <w:rPr>
          <w:szCs w:val="24"/>
        </w:rPr>
      </w:pPr>
      <w:r w:rsidRPr="00B418DE">
        <w:t>21.</w:t>
      </w:r>
      <w:r w:rsidRPr="00B418DE">
        <w:tab/>
        <w:t xml:space="preserve">ia act de observația din raportul Curții potrivit căreia, în perioada 2020-2022, Agenția a vărsat diurnă unui număr de trei cetățeni neerlandezi angajați ca experți naționali detașați; constată că, dat fiind că Agenția își are sediul în Țările de Jos, cei trei experți naționali nu aveau dreptul la aceste diurne în conformitate cu normele interne ale Agenției; constată totodată că, deși în decembrie 2022 Agenția a oprit plata diurnei către </w:t>
      </w:r>
      <w:r w:rsidRPr="00B418DE">
        <w:lastRenderedPageBreak/>
        <w:t>cei trei experți naționali, Agenția a decis să nu solicite rambursarea plăților necuvenite deja virate; constată că suma totală aferentă acestor plăți a fost de 155 553 EUR, din care 90 605 EUR în 2022; se declară preocupat de deficiențele constatate în controalele ex ante efectuate de Agenție pentru o perioadă de peste trei ani; constată, pe baza răspunsului Agenției la observația Curții, că Agenția a întărit procedurile de control ex ante pentru a asigura legalitatea drepturilor financiare ale personalului înainte de efectuarea plății;</w:t>
      </w:r>
    </w:p>
    <w:p w:rsidR="00BE0CF2" w:rsidRPr="00B418DE" w:rsidRDefault="00BE0CF2" w:rsidP="00BE0CF2">
      <w:pPr>
        <w:pStyle w:val="Normal12Hanging"/>
        <w:widowControl/>
        <w:rPr>
          <w:szCs w:val="24"/>
        </w:rPr>
      </w:pPr>
      <w:r w:rsidRPr="00B418DE">
        <w:t>22.</w:t>
      </w:r>
      <w:r w:rsidRPr="00B418DE">
        <w:tab/>
        <w:t>felicită Agenția pentru progresele înregistrate în punerea în aplicare a recomandărilor în curs aferente auditului efectuat, 89 % dintre cele critice sau foarte importante fiind rezolvate în 2022; constată că, la sfârșitul lui 2022, șapte recomandări foarte importante (destinate să fie puse în aplicare și aplicabile) erau încă pendinte la rapoartele de audit din 2018, 2019 și 2021; ia act de faptul că Serviciul de Audit Intern al Comisiei (IAS) a publicat planul strategic de audit intern al Agenției pentru perioada 2022-2024, care acoperă trei domenii, printre care un audit privind coordonarea și acordurile de lucru cu DG HOME efectuat în 2022, ale cărui rezultate sunt așteptate în 2023;</w:t>
      </w:r>
    </w:p>
    <w:p w:rsidR="00BE0CF2" w:rsidRPr="00B418DE" w:rsidRDefault="00BE0CF2" w:rsidP="00BE0CF2">
      <w:pPr>
        <w:pStyle w:val="Normal12Hanging"/>
        <w:widowControl/>
        <w:rPr>
          <w:szCs w:val="24"/>
        </w:rPr>
      </w:pPr>
      <w:r w:rsidRPr="00B418DE">
        <w:t>23.</w:t>
      </w:r>
      <w:r w:rsidRPr="00B418DE">
        <w:tab/>
        <w:t>ia act de concluzia autoevaluării Agenției cu privire la eficacitatea sistemului său de control intern (SCI), atât prin măsurători cantitative, cât și prin aspecte calitative, inclusiv printr-un set de 76 de indicatori de control intern, că, în ansamblu, toate componentele SCI funcționau într-un mod integrat și nu au fost identificate deficiențe importante în materie de control intern în 2022; ia act de faptul că structura de audit intern a Agenției a finalizat o revizuire a cadrului de control intern al Agenției pentru 2022, conchizând că Agenția dispune de un sistem solid de controale interne;</w:t>
      </w:r>
    </w:p>
    <w:p w:rsidR="00BE0CF2" w:rsidRPr="00B418DE" w:rsidRDefault="00BE0CF2" w:rsidP="00BE0CF2">
      <w:pPr>
        <w:pStyle w:val="Normal12Hanging"/>
        <w:widowControl/>
        <w:rPr>
          <w:szCs w:val="24"/>
        </w:rPr>
      </w:pPr>
      <w:r w:rsidRPr="00B418DE">
        <w:t>24.</w:t>
      </w:r>
      <w:r w:rsidRPr="00B418DE">
        <w:tab/>
        <w:t>ia act de faptul că Agenția a elaborat și a publicat o politică de management al riscului în 2022; observă totodată că profilul de risc corporativ al Agenției în 2022 a fost marcat de extinderea mandatului și a sarcinilor, de creșterea cererii de unor soluții TIC esențiale pentru prelucrarea datelor cu caracter personal, de acțiuni permanente pentru a atenua impactul la nivel de securitate și de aplicare a legii generat de războiul din Ucraina și de intensificarea activităților de supraveghere și de control aferent (inclusiv pentru protecția datelor), printre altele; felicită Agenția pentru adoptarea în 2022 a strategiei antifraudă revizuite pentru perioada 2022-2024, care reflectă principiile, evaluarea riscului de fraudă, obiectivele și acțiunile antifraudă, precum și o revizuire a punerii în aplicare a Strategiei antifraudă pentru perioada 2017-2020; ia act de faptul că Oficiul European de Luptă Antifraudă a finalizat o anchetă (privind declarațiile incorecte de cheltuieli de misiune ale unuia dintre membrii personalului Agenției), raportul fiind publicat în 2022; ia act de faptul că acest aspect se află în faza finală a procesului de decizie al Agenției; invită Agenția să informeze autoritatea care acordă descărcarea de gestiune cu privire la progresele ulterioare și la decizia finală;</w:t>
      </w:r>
    </w:p>
    <w:p w:rsidR="00BE0CF2" w:rsidRPr="00B418DE" w:rsidRDefault="00BE0CF2" w:rsidP="00BE0CF2">
      <w:pPr>
        <w:widowControl/>
        <w:spacing w:after="240"/>
        <w:ind w:left="567" w:hanging="567"/>
        <w:rPr>
          <w:b/>
          <w:i/>
          <w:szCs w:val="24"/>
        </w:rPr>
      </w:pPr>
      <w:r w:rsidRPr="00B418DE">
        <w:rPr>
          <w:b/>
          <w:i/>
        </w:rPr>
        <w:t>Alte observații</w:t>
      </w:r>
    </w:p>
    <w:p w:rsidR="00BE0CF2" w:rsidRPr="00B418DE" w:rsidRDefault="00BE0CF2" w:rsidP="00BE0CF2">
      <w:pPr>
        <w:pStyle w:val="Normal12Hanging"/>
        <w:widowControl/>
        <w:rPr>
          <w:szCs w:val="24"/>
        </w:rPr>
      </w:pPr>
      <w:r w:rsidRPr="00B418DE">
        <w:t>25.</w:t>
      </w:r>
      <w:r w:rsidRPr="00B418DE">
        <w:tab/>
        <w:t xml:space="preserve">ia act de faptul că Agenția a continuat să pună în aplicare diferite măsuri pentru a-și accentua prezența publică și online prin lansarea unei serii de </w:t>
      </w:r>
      <w:proofErr w:type="spellStart"/>
      <w:r w:rsidRPr="00B418DE">
        <w:t>podcasturi</w:t>
      </w:r>
      <w:proofErr w:type="spellEnd"/>
      <w:r w:rsidRPr="00B418DE">
        <w:t>, reamenajarea site-ului său web, organizarea de conferințe, lansarea de rapoarte (cum ar fi seria „</w:t>
      </w:r>
      <w:proofErr w:type="spellStart"/>
      <w:r w:rsidRPr="00B418DE">
        <w:t>Spotlight</w:t>
      </w:r>
      <w:proofErr w:type="spellEnd"/>
      <w:r w:rsidRPr="00B418DE">
        <w:t xml:space="preserve"> Report” și raportul „In </w:t>
      </w:r>
      <w:proofErr w:type="spellStart"/>
      <w:r w:rsidRPr="00B418DE">
        <w:t>Brief</w:t>
      </w:r>
      <w:proofErr w:type="spellEnd"/>
      <w:r w:rsidRPr="00B418DE">
        <w:t>”, într-o nouă versiune) și prezența sa pe platformele de comunicare socială (cu peste 1 100 de postări în 2022); constată aici că Agenția a fost mai des menționată în presă în articole cu impact ridicat și că prezența Agenției a fost mai marcată pe platformele de comunicare socială în 2022 față de 2021;</w:t>
      </w:r>
    </w:p>
    <w:p w:rsidR="00BE0CF2" w:rsidRPr="00B418DE" w:rsidRDefault="00BE0CF2" w:rsidP="00BE0CF2">
      <w:pPr>
        <w:pStyle w:val="NormalHanging12a"/>
      </w:pPr>
      <w:r w:rsidRPr="00B418DE">
        <w:lastRenderedPageBreak/>
        <w:t>26.</w:t>
      </w:r>
      <w:r w:rsidRPr="00B418DE">
        <w:tab/>
        <w:t>invită Agenția să ia măsuri pentru a asigura respectarea deplină a normelor Uniunii în materie de transparență, precum și a drepturilor fundamentale, a standardelor de protecție a datelor și a responsabilității, inclusiv atunci când cooperează cu alte agenții; consideră că divulgarea de informații despre reuniunile și interacțiunile Agenției cu părți terțe este necesară pentru a asigura un grad mai mare de transparență; salută, în acest sens, numirea ofițerului pentru drepturile fundamentale al Agenției;</w:t>
      </w:r>
    </w:p>
    <w:p w:rsidR="00BE0CF2" w:rsidRPr="00B418DE" w:rsidRDefault="00BE0CF2" w:rsidP="00BE0CF2">
      <w:pPr>
        <w:pStyle w:val="NormalHanging12a"/>
        <w:jc w:val="both"/>
      </w:pPr>
      <w:r w:rsidRPr="00B418DE">
        <w:t>27.</w:t>
      </w:r>
      <w:r w:rsidRPr="00B418DE">
        <w:tab/>
        <w:t>ia act de faptul că, la 16 septembrie 2022, Autoritatea Europeană pentru Protecția Datelor (AEPD) a solicitat Curții de Justiție a Uniunii Europene să anuleze două dispoziții ale Regulamentului modificat privind Europol, și anume articolele 74a și 74b, susținând că acestea subminează grav securitatea juridică a datelor cu caracter personal ale indivizilor și amenință independența AEPD; ia act și de hotărârea Tribunalului în cauza T-578/22 din 6 septembrie 2023, prin care acțiunea introdusă de AEPD împotriva Regulamentului modificat privind Europol a fost considerată inadmisibilă și, în ceea ce privește eventualele efecte ale dispozițiilor atacate asupra deciziei AEPD din 3 ianuarie 2022, AEPD nu se poate prevala de acestea în susținerea acțiunii sale; reamintește că AEPD a intentat recurs în cauza T-578/22 și că este mandatată să supravegheze legalitatea prelucrării datelor cu caracter personal ale Agenției în temeiul Regulamentului (UE) 2016/794; salută eforturile depuse de Agenție pentru a da curs recomandărilor AEPD, în special faptul că tuturor contribuțiilor de dinainte de intrarea în vigoare a Regulamentului modificat privind Europol li s-a atribuit între timp o categorie de persoane vizate (DSC);</w:t>
      </w:r>
    </w:p>
    <w:p w:rsidR="00BE0CF2" w:rsidRPr="00B418DE" w:rsidRDefault="00BE0CF2" w:rsidP="00BE0CF2">
      <w:pPr>
        <w:widowControl/>
        <w:tabs>
          <w:tab w:val="left" w:pos="-720"/>
        </w:tabs>
        <w:spacing w:after="240"/>
        <w:ind w:left="567" w:hanging="567"/>
      </w:pPr>
      <w:r w:rsidRPr="00B418DE">
        <w:t>28.</w:t>
      </w:r>
      <w:r w:rsidRPr="00B418DE">
        <w:tab/>
        <w:t>reamintește constatările din raportul de audit al AEPD privind Agenția din 16 decembrie 2022, care a efectuat controale specifice ale seturilor de date ale resortisanților țărilor terțe deținute de Agenție; reamintește că AEPD a constatat că procesul general de evaluare a informațiilor furnizate de parteneri cu privire la minori (inclusiv la minorii sub 15 ani) este clar și bine dezvoltat; reamintește că AEPD a identificat mai multe cazuri în care atribuirea aceluiași nivel de suspiciune (în ceea ce privește clasificarea) datelor minorilor aparent implicați într-o infracțiune relativ minoră într-un cadru mai larg al unui grup infracțional organizat ar putea să nu îndeplinească pragul de „proporționalitate strictă”; subliniază că Agenția are obligația de a respecta principiul „proporționalității stricte” prevăzut la articolul 30 alineatul (1) din Regulamentul Europol;</w:t>
      </w:r>
    </w:p>
    <w:p w:rsidR="00BE0CF2" w:rsidRPr="00B418DE" w:rsidRDefault="00BE0CF2" w:rsidP="00BE0CF2">
      <w:pPr>
        <w:pStyle w:val="NormalCenter12a"/>
      </w:pPr>
      <w:r w:rsidRPr="00B418DE">
        <w:t>°</w:t>
      </w:r>
    </w:p>
    <w:p w:rsidR="00BE0CF2" w:rsidRPr="00B418DE" w:rsidRDefault="00BE0CF2" w:rsidP="00BE0CF2">
      <w:pPr>
        <w:pStyle w:val="NormalCenter12a"/>
      </w:pPr>
      <w:r w:rsidRPr="00B418DE">
        <w:t>°</w:t>
      </w:r>
      <w:r w:rsidRPr="00B418DE">
        <w:tab/>
        <w:t>°</w:t>
      </w:r>
    </w:p>
    <w:p w:rsidR="00BE0CF2" w:rsidRPr="00B418DE" w:rsidRDefault="00BE0CF2" w:rsidP="00BE0CF2">
      <w:pPr>
        <w:pStyle w:val="NormalHanging12a"/>
      </w:pPr>
      <w:r w:rsidRPr="00B418DE">
        <w:t>29.</w:t>
      </w:r>
      <w:r w:rsidRPr="00B418DE">
        <w:tab/>
        <w:t xml:space="preserve">face trimitere, pentru alte observații cu caracter orizontal care însoțesc decizia privind descărcarea de gestiune, la rezoluția sa din </w:t>
      </w:r>
      <w:r w:rsidR="003E0892" w:rsidRPr="00B418DE">
        <w:t>11 aprilie 2024</w:t>
      </w:r>
      <w:r w:rsidRPr="00B418DE">
        <w:rPr>
          <w:rStyle w:val="FootnoteReference"/>
        </w:rPr>
        <w:footnoteReference w:id="12"/>
      </w:r>
      <w:r w:rsidRPr="00B418DE">
        <w:t xml:space="preserve"> referitoare la performanțele, gestiunea financiară și controlul agențiilor.</w:t>
      </w:r>
    </w:p>
    <w:p w:rsidR="00E365E1" w:rsidRPr="00B418DE" w:rsidRDefault="00E365E1" w:rsidP="009A0DFD">
      <w:bookmarkStart w:id="9" w:name="TextBodyEnd"/>
      <w:bookmarkEnd w:id="9"/>
    </w:p>
    <w:sectPr w:rsidR="00E365E1" w:rsidRPr="00B418DE" w:rsidSect="009A314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DFD" w:rsidRPr="009A3140" w:rsidRDefault="009A0DFD">
      <w:r w:rsidRPr="009A3140">
        <w:separator/>
      </w:r>
    </w:p>
  </w:endnote>
  <w:endnote w:type="continuationSeparator" w:id="0">
    <w:p w:rsidR="009A0DFD" w:rsidRPr="009A3140" w:rsidRDefault="009A0DFD">
      <w:r w:rsidRPr="009A31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CF2" w:rsidRPr="009A3140" w:rsidRDefault="00BE0CF2" w:rsidP="00E00098">
    <w:pPr>
      <w:pStyle w:val="EPFooter"/>
    </w:pPr>
    <w:r w:rsidRPr="009A3140">
      <w:t>PE</w:t>
    </w:r>
    <w:r w:rsidRPr="009A3140">
      <w:rPr>
        <w:rStyle w:val="HideTWBExt"/>
      </w:rPr>
      <w:t>&lt;</w:t>
    </w:r>
    <w:proofErr w:type="spellStart"/>
    <w:r w:rsidRPr="009A3140">
      <w:rPr>
        <w:rStyle w:val="HideTWBExt"/>
      </w:rPr>
      <w:t>NoPE</w:t>
    </w:r>
    <w:proofErr w:type="spellEnd"/>
    <w:r w:rsidRPr="009A3140">
      <w:rPr>
        <w:rStyle w:val="HideTWBExt"/>
      </w:rPr>
      <w:t>&gt;</w:t>
    </w:r>
    <w:r w:rsidRPr="009A3140">
      <w:t>753.540</w:t>
    </w:r>
    <w:r w:rsidRPr="009A3140">
      <w:rPr>
        <w:rStyle w:val="HideTWBExt"/>
      </w:rPr>
      <w:t>&lt;/</w:t>
    </w:r>
    <w:proofErr w:type="spellStart"/>
    <w:r w:rsidRPr="009A3140">
      <w:rPr>
        <w:rStyle w:val="HideTWBExt"/>
      </w:rPr>
      <w:t>NoPE</w:t>
    </w:r>
    <w:proofErr w:type="spellEnd"/>
    <w:r w:rsidRPr="009A3140">
      <w:rPr>
        <w:rStyle w:val="HideTWBExt"/>
      </w:rPr>
      <w:t>&gt;&lt;Version&gt;</w:t>
    </w:r>
    <w:r w:rsidRPr="009A3140">
      <w:t>v02-00</w:t>
    </w:r>
    <w:r w:rsidRPr="009A3140">
      <w:rPr>
        <w:rStyle w:val="HideTWBExt"/>
      </w:rPr>
      <w:t>&lt;/</w:t>
    </w:r>
    <w:proofErr w:type="spellStart"/>
    <w:r w:rsidRPr="009A3140">
      <w:rPr>
        <w:rStyle w:val="HideTWBExt"/>
      </w:rPr>
      <w:t>Version</w:t>
    </w:r>
    <w:proofErr w:type="spellEnd"/>
    <w:r w:rsidRPr="009A3140">
      <w:rPr>
        <w:rStyle w:val="HideTWBExt"/>
      </w:rPr>
      <w:t>&gt;</w:t>
    </w:r>
    <w:r w:rsidRPr="009A3140">
      <w:tab/>
    </w:r>
    <w:r w:rsidRPr="009A3140">
      <w:fldChar w:fldCharType="begin"/>
    </w:r>
    <w:r w:rsidRPr="009A3140">
      <w:instrText xml:space="preserve"> PAGE  \* MERGEFORMAT </w:instrText>
    </w:r>
    <w:r w:rsidRPr="009A3140">
      <w:fldChar w:fldCharType="separate"/>
    </w:r>
    <w:r w:rsidR="009A3140" w:rsidRPr="009A3140">
      <w:rPr>
        <w:noProof/>
      </w:rPr>
      <w:t>2</w:t>
    </w:r>
    <w:r w:rsidRPr="009A3140">
      <w:fldChar w:fldCharType="end"/>
    </w:r>
    <w:r w:rsidRPr="009A3140">
      <w:t>/</w:t>
    </w:r>
    <w:r w:rsidR="00B418DE">
      <w:fldChar w:fldCharType="begin"/>
    </w:r>
    <w:r w:rsidR="00B418DE">
      <w:instrText xml:space="preserve"> NUMPAGES  \* MERGEFORMAT </w:instrText>
    </w:r>
    <w:r w:rsidR="00B418DE">
      <w:fldChar w:fldCharType="separate"/>
    </w:r>
    <w:r w:rsidR="009A3140" w:rsidRPr="009A3140">
      <w:rPr>
        <w:noProof/>
      </w:rPr>
      <w:t>5</w:t>
    </w:r>
    <w:r w:rsidR="00B418DE">
      <w:rPr>
        <w:noProof/>
      </w:rPr>
      <w:fldChar w:fldCharType="end"/>
    </w:r>
    <w:r w:rsidRPr="009A3140">
      <w:tab/>
    </w:r>
    <w:r w:rsidRPr="009A3140">
      <w:rPr>
        <w:rStyle w:val="HideTWBExt"/>
      </w:rPr>
      <w:t>&lt;PathFdR&gt;</w:t>
    </w:r>
    <w:r w:rsidRPr="009A3140">
      <w:t>RR\1299015RO.docx</w:t>
    </w:r>
    <w:r w:rsidRPr="009A3140">
      <w:rPr>
        <w:rStyle w:val="HideTWBExt"/>
      </w:rPr>
      <w:t>&lt;/</w:t>
    </w:r>
    <w:proofErr w:type="spellStart"/>
    <w:r w:rsidRPr="009A3140">
      <w:rPr>
        <w:rStyle w:val="HideTWBExt"/>
      </w:rPr>
      <w:t>PathFdR</w:t>
    </w:r>
    <w:proofErr w:type="spellEnd"/>
    <w:r w:rsidRPr="009A3140">
      <w:rPr>
        <w:rStyle w:val="HideTWBExt"/>
      </w:rPr>
      <w:t>&gt;</w:t>
    </w:r>
  </w:p>
  <w:p w:rsidR="00BE0CF2" w:rsidRPr="009A3140" w:rsidRDefault="00BE0CF2" w:rsidP="00E00098">
    <w:pPr>
      <w:pStyle w:val="EPFooter2"/>
    </w:pPr>
    <w:r w:rsidRPr="009A3140">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CF2" w:rsidRPr="009A3140" w:rsidRDefault="00BE0CF2" w:rsidP="00E00098">
    <w:pPr>
      <w:pStyle w:val="EPFooter"/>
    </w:pPr>
    <w:r w:rsidRPr="009A3140">
      <w:rPr>
        <w:rStyle w:val="HideTWBExt"/>
      </w:rPr>
      <w:t>&lt;PathFdR&gt;</w:t>
    </w:r>
    <w:r w:rsidRPr="009A3140">
      <w:t>RR\1299015RO.docx</w:t>
    </w:r>
    <w:r w:rsidRPr="009A3140">
      <w:rPr>
        <w:rStyle w:val="HideTWBExt"/>
      </w:rPr>
      <w:t>&lt;/</w:t>
    </w:r>
    <w:proofErr w:type="spellStart"/>
    <w:r w:rsidRPr="009A3140">
      <w:rPr>
        <w:rStyle w:val="HideTWBExt"/>
      </w:rPr>
      <w:t>PathFdR</w:t>
    </w:r>
    <w:proofErr w:type="spellEnd"/>
    <w:r w:rsidRPr="009A3140">
      <w:rPr>
        <w:rStyle w:val="HideTWBExt"/>
      </w:rPr>
      <w:t>&gt;</w:t>
    </w:r>
    <w:r w:rsidRPr="009A3140">
      <w:tab/>
    </w:r>
    <w:r w:rsidRPr="009A3140">
      <w:tab/>
      <w:t>PE</w:t>
    </w:r>
    <w:r w:rsidRPr="009A3140">
      <w:rPr>
        <w:rStyle w:val="HideTWBExt"/>
      </w:rPr>
      <w:t>&lt;</w:t>
    </w:r>
    <w:proofErr w:type="spellStart"/>
    <w:r w:rsidRPr="009A3140">
      <w:rPr>
        <w:rStyle w:val="HideTWBExt"/>
      </w:rPr>
      <w:t>NoPE</w:t>
    </w:r>
    <w:proofErr w:type="spellEnd"/>
    <w:r w:rsidRPr="009A3140">
      <w:rPr>
        <w:rStyle w:val="HideTWBExt"/>
      </w:rPr>
      <w:t>&gt;</w:t>
    </w:r>
    <w:r w:rsidRPr="009A3140">
      <w:t>753.540</w:t>
    </w:r>
    <w:r w:rsidRPr="009A3140">
      <w:rPr>
        <w:rStyle w:val="HideTWBExt"/>
      </w:rPr>
      <w:t>&lt;/</w:t>
    </w:r>
    <w:proofErr w:type="spellStart"/>
    <w:r w:rsidRPr="009A3140">
      <w:rPr>
        <w:rStyle w:val="HideTWBExt"/>
      </w:rPr>
      <w:t>NoPE</w:t>
    </w:r>
    <w:proofErr w:type="spellEnd"/>
    <w:r w:rsidRPr="009A3140">
      <w:rPr>
        <w:rStyle w:val="HideTWBExt"/>
      </w:rPr>
      <w:t>&gt;&lt;Version&gt;</w:t>
    </w:r>
    <w:r w:rsidRPr="009A3140">
      <w:t>v02-00</w:t>
    </w:r>
    <w:r w:rsidRPr="009A3140">
      <w:rPr>
        <w:rStyle w:val="HideTWBExt"/>
      </w:rPr>
      <w:t>&lt;/</w:t>
    </w:r>
    <w:proofErr w:type="spellStart"/>
    <w:r w:rsidRPr="009A3140">
      <w:rPr>
        <w:rStyle w:val="HideTWBExt"/>
      </w:rPr>
      <w:t>Version</w:t>
    </w:r>
    <w:proofErr w:type="spellEnd"/>
    <w:r w:rsidRPr="009A3140">
      <w:rPr>
        <w:rStyle w:val="HideTWBExt"/>
      </w:rPr>
      <w:t>&gt;</w:t>
    </w:r>
  </w:p>
  <w:p w:rsidR="00BE0CF2" w:rsidRPr="009A3140" w:rsidRDefault="00BE0CF2" w:rsidP="00E00098">
    <w:pPr>
      <w:pStyle w:val="EPFooter2"/>
    </w:pPr>
    <w:r w:rsidRPr="009A3140">
      <w:t>RO</w:t>
    </w:r>
    <w:r w:rsidRPr="009A3140">
      <w:tab/>
    </w:r>
    <w:r w:rsidRPr="009A3140">
      <w:rPr>
        <w:b w:val="0"/>
        <w:i/>
        <w:color w:val="C0C0C0"/>
        <w:sz w:val="22"/>
      </w:rPr>
      <w:t>Unită în diversitate</w:t>
    </w:r>
    <w:r w:rsidRPr="009A3140">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314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314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31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DFD" w:rsidRPr="009A3140" w:rsidRDefault="009A0DFD">
      <w:r w:rsidRPr="009A3140">
        <w:separator/>
      </w:r>
    </w:p>
  </w:footnote>
  <w:footnote w:type="continuationSeparator" w:id="0">
    <w:p w:rsidR="009A0DFD" w:rsidRPr="009A3140" w:rsidRDefault="009A0DFD">
      <w:r w:rsidRPr="009A3140">
        <w:continuationSeparator/>
      </w:r>
    </w:p>
  </w:footnote>
  <w:footnote w:id="1">
    <w:p w:rsidR="00BE0CF2" w:rsidRPr="00B418DE" w:rsidRDefault="00BE0CF2" w:rsidP="009A3140">
      <w:pPr>
        <w:pStyle w:val="FootnoteText"/>
        <w:ind w:left="567" w:hanging="567"/>
        <w:rPr>
          <w:sz w:val="24"/>
          <w:lang w:val="ro-RO"/>
        </w:rPr>
      </w:pPr>
      <w:r w:rsidRPr="00B418DE">
        <w:rPr>
          <w:rStyle w:val="FootnoteReference"/>
          <w:sz w:val="24"/>
          <w:lang w:val="ro-RO"/>
        </w:rPr>
        <w:footnoteRef/>
      </w:r>
      <w:r w:rsidR="009A3140" w:rsidRPr="00B418DE">
        <w:rPr>
          <w:sz w:val="24"/>
          <w:lang w:val="ro-RO"/>
        </w:rPr>
        <w:t xml:space="preserve"> </w:t>
      </w:r>
      <w:r w:rsidR="009A3140" w:rsidRPr="00B418DE">
        <w:rPr>
          <w:sz w:val="24"/>
          <w:lang w:val="ro-RO"/>
        </w:rPr>
        <w:tab/>
      </w:r>
      <w:r w:rsidRPr="00B418DE">
        <w:rPr>
          <w:sz w:val="24"/>
          <w:lang w:val="ro-RO"/>
        </w:rPr>
        <w:t>JO C, C/2023/594, 27.10.2023.</w:t>
      </w:r>
    </w:p>
  </w:footnote>
  <w:footnote w:id="2">
    <w:p w:rsidR="00BE0CF2" w:rsidRPr="00B418DE" w:rsidRDefault="00BE0CF2" w:rsidP="009A3140">
      <w:pPr>
        <w:pStyle w:val="FootnoteText"/>
        <w:ind w:left="567" w:hanging="567"/>
        <w:rPr>
          <w:sz w:val="24"/>
          <w:lang w:val="ro-RO"/>
        </w:rPr>
      </w:pPr>
      <w:r w:rsidRPr="00B418DE">
        <w:rPr>
          <w:rStyle w:val="FootnoteReference"/>
          <w:sz w:val="24"/>
          <w:lang w:val="ro-RO"/>
        </w:rPr>
        <w:footnoteRef/>
      </w:r>
      <w:r w:rsidR="009A3140" w:rsidRPr="00B418DE">
        <w:rPr>
          <w:sz w:val="24"/>
          <w:lang w:val="ro-RO"/>
        </w:rPr>
        <w:t xml:space="preserve"> </w:t>
      </w:r>
      <w:r w:rsidR="009A3140" w:rsidRPr="00B418DE">
        <w:rPr>
          <w:sz w:val="24"/>
          <w:lang w:val="ro-RO"/>
        </w:rPr>
        <w:tab/>
      </w:r>
      <w:r w:rsidRPr="00B418DE">
        <w:rPr>
          <w:sz w:val="24"/>
          <w:lang w:val="ro-RO"/>
        </w:rPr>
        <w:t>JO C, C/2023/112, 12.10.2023.</w:t>
      </w:r>
    </w:p>
  </w:footnote>
  <w:footnote w:id="3">
    <w:p w:rsidR="00BE0CF2" w:rsidRPr="00B418DE" w:rsidRDefault="00BE0CF2" w:rsidP="009A3140">
      <w:pPr>
        <w:pStyle w:val="FootnoteText"/>
        <w:ind w:left="567" w:hanging="567"/>
        <w:rPr>
          <w:sz w:val="24"/>
          <w:lang w:val="ro-RO"/>
        </w:rPr>
      </w:pPr>
      <w:r w:rsidRPr="00B418DE">
        <w:rPr>
          <w:rStyle w:val="FootnoteReference"/>
          <w:sz w:val="24"/>
          <w:lang w:val="ro-RO"/>
        </w:rPr>
        <w:footnoteRef/>
      </w:r>
      <w:r w:rsidR="009A3140" w:rsidRPr="00B418DE">
        <w:rPr>
          <w:sz w:val="24"/>
          <w:lang w:val="ro-RO"/>
        </w:rPr>
        <w:t xml:space="preserve"> </w:t>
      </w:r>
      <w:r w:rsidR="009A3140" w:rsidRPr="00B418DE">
        <w:rPr>
          <w:sz w:val="24"/>
          <w:lang w:val="ro-RO"/>
        </w:rPr>
        <w:tab/>
      </w:r>
      <w:r w:rsidRPr="00B418DE">
        <w:rPr>
          <w:sz w:val="24"/>
          <w:lang w:val="ro-RO"/>
        </w:rPr>
        <w:t>JO L 193, 30.7.2018, p. 1.</w:t>
      </w:r>
    </w:p>
  </w:footnote>
  <w:footnote w:id="4">
    <w:p w:rsidR="00BE0CF2" w:rsidRPr="00B418DE" w:rsidRDefault="00BE0CF2" w:rsidP="009A3140">
      <w:pPr>
        <w:pStyle w:val="FootnoteText"/>
        <w:ind w:left="567" w:hanging="567"/>
        <w:rPr>
          <w:sz w:val="24"/>
          <w:lang w:val="ro-RO"/>
        </w:rPr>
      </w:pPr>
      <w:r w:rsidRPr="00B418DE">
        <w:rPr>
          <w:rStyle w:val="FootnoteReference"/>
          <w:sz w:val="24"/>
          <w:lang w:val="ro-RO"/>
        </w:rPr>
        <w:footnoteRef/>
      </w:r>
      <w:r w:rsidR="009A3140" w:rsidRPr="00B418DE">
        <w:rPr>
          <w:sz w:val="24"/>
          <w:lang w:val="ro-RO"/>
        </w:rPr>
        <w:t xml:space="preserve"> </w:t>
      </w:r>
      <w:r w:rsidR="009A3140" w:rsidRPr="00B418DE">
        <w:rPr>
          <w:sz w:val="24"/>
          <w:lang w:val="ro-RO"/>
        </w:rPr>
        <w:tab/>
      </w:r>
      <w:r w:rsidRPr="00B418DE">
        <w:rPr>
          <w:sz w:val="24"/>
          <w:lang w:val="ro-RO"/>
        </w:rPr>
        <w:t>JO L 135, 24.5.2016, p. 53.</w:t>
      </w:r>
    </w:p>
  </w:footnote>
  <w:footnote w:id="5">
    <w:p w:rsidR="00BE0CF2" w:rsidRPr="00B418DE" w:rsidRDefault="00BE0CF2" w:rsidP="009A3140">
      <w:pPr>
        <w:pStyle w:val="FootnoteText"/>
        <w:ind w:left="567" w:hanging="567"/>
        <w:rPr>
          <w:sz w:val="24"/>
          <w:szCs w:val="24"/>
          <w:lang w:val="ro-RO"/>
        </w:rPr>
      </w:pPr>
      <w:r w:rsidRPr="00B418DE">
        <w:rPr>
          <w:rStyle w:val="FootnoteReference"/>
          <w:sz w:val="24"/>
          <w:lang w:val="ro-RO"/>
        </w:rPr>
        <w:footnoteRef/>
      </w:r>
      <w:r w:rsidR="009A3140" w:rsidRPr="00B418DE">
        <w:rPr>
          <w:sz w:val="24"/>
          <w:lang w:val="ro-RO"/>
        </w:rPr>
        <w:t xml:space="preserve"> </w:t>
      </w:r>
      <w:r w:rsidR="009A3140" w:rsidRPr="00B418DE">
        <w:rPr>
          <w:sz w:val="24"/>
          <w:lang w:val="ro-RO"/>
        </w:rPr>
        <w:tab/>
      </w:r>
      <w:r w:rsidRPr="00B418DE">
        <w:rPr>
          <w:sz w:val="24"/>
          <w:lang w:val="ro-RO"/>
        </w:rPr>
        <w:t>JO L 122, 10.5.2019, p. 1.</w:t>
      </w:r>
    </w:p>
  </w:footnote>
  <w:footnote w:id="6">
    <w:p w:rsidR="00BE0CF2" w:rsidRPr="00B418DE" w:rsidRDefault="00BE0CF2" w:rsidP="009A3140">
      <w:pPr>
        <w:pStyle w:val="FootnoteText"/>
        <w:ind w:left="567" w:hanging="567"/>
        <w:rPr>
          <w:sz w:val="24"/>
          <w:lang w:val="ro-RO"/>
        </w:rPr>
      </w:pPr>
      <w:r w:rsidRPr="00B418DE">
        <w:rPr>
          <w:rStyle w:val="FootnoteReference"/>
          <w:sz w:val="24"/>
          <w:lang w:val="ro-RO"/>
        </w:rPr>
        <w:footnoteRef/>
      </w:r>
      <w:r w:rsidR="009A3140" w:rsidRPr="00B418DE">
        <w:rPr>
          <w:sz w:val="24"/>
          <w:lang w:val="ro-RO"/>
        </w:rPr>
        <w:t xml:space="preserve"> </w:t>
      </w:r>
      <w:r w:rsidR="009A3140" w:rsidRPr="00B418DE">
        <w:rPr>
          <w:sz w:val="24"/>
          <w:lang w:val="ro-RO"/>
        </w:rPr>
        <w:tab/>
      </w:r>
      <w:r w:rsidRPr="00B418DE">
        <w:rPr>
          <w:sz w:val="24"/>
          <w:lang w:val="ro-RO"/>
        </w:rPr>
        <w:t>JO C, C/2023/594, 27.10.2023.</w:t>
      </w:r>
    </w:p>
  </w:footnote>
  <w:footnote w:id="7">
    <w:p w:rsidR="00BE0CF2" w:rsidRPr="00B418DE" w:rsidRDefault="00BE0CF2" w:rsidP="009A3140">
      <w:pPr>
        <w:pStyle w:val="FootnoteText"/>
        <w:ind w:left="567" w:hanging="567"/>
        <w:rPr>
          <w:sz w:val="24"/>
          <w:lang w:val="ro-RO"/>
        </w:rPr>
      </w:pPr>
      <w:r w:rsidRPr="00B418DE">
        <w:rPr>
          <w:rStyle w:val="FootnoteReference"/>
          <w:sz w:val="24"/>
          <w:lang w:val="ro-RO"/>
        </w:rPr>
        <w:footnoteRef/>
      </w:r>
      <w:r w:rsidR="009A3140" w:rsidRPr="00B418DE">
        <w:rPr>
          <w:sz w:val="24"/>
          <w:lang w:val="ro-RO"/>
        </w:rPr>
        <w:t xml:space="preserve"> </w:t>
      </w:r>
      <w:r w:rsidR="009A3140" w:rsidRPr="00B418DE">
        <w:rPr>
          <w:sz w:val="24"/>
          <w:lang w:val="ro-RO"/>
        </w:rPr>
        <w:tab/>
      </w:r>
      <w:r w:rsidRPr="00B418DE">
        <w:rPr>
          <w:sz w:val="24"/>
          <w:lang w:val="ro-RO"/>
        </w:rPr>
        <w:t>JO C, C/2023/112, 12.10.2023.</w:t>
      </w:r>
    </w:p>
  </w:footnote>
  <w:footnote w:id="8">
    <w:p w:rsidR="00BE0CF2" w:rsidRPr="00B418DE" w:rsidRDefault="00BE0CF2" w:rsidP="009A3140">
      <w:pPr>
        <w:pStyle w:val="FootnoteText"/>
        <w:ind w:left="567" w:hanging="567"/>
        <w:rPr>
          <w:sz w:val="24"/>
          <w:lang w:val="ro-RO"/>
        </w:rPr>
      </w:pPr>
      <w:r w:rsidRPr="00B418DE">
        <w:rPr>
          <w:rStyle w:val="FootnoteReference"/>
          <w:sz w:val="24"/>
          <w:lang w:val="ro-RO"/>
        </w:rPr>
        <w:footnoteRef/>
      </w:r>
      <w:r w:rsidR="009A3140" w:rsidRPr="00B418DE">
        <w:rPr>
          <w:sz w:val="24"/>
          <w:lang w:val="ro-RO"/>
        </w:rPr>
        <w:t xml:space="preserve"> </w:t>
      </w:r>
      <w:r w:rsidR="009A3140" w:rsidRPr="00B418DE">
        <w:rPr>
          <w:sz w:val="24"/>
          <w:lang w:val="ro-RO"/>
        </w:rPr>
        <w:tab/>
      </w:r>
      <w:r w:rsidRPr="00B418DE">
        <w:rPr>
          <w:sz w:val="24"/>
          <w:lang w:val="ro-RO"/>
        </w:rPr>
        <w:t>JO L 193, 30.7.2018, p. 1.</w:t>
      </w:r>
    </w:p>
  </w:footnote>
  <w:footnote w:id="9">
    <w:p w:rsidR="00BE0CF2" w:rsidRPr="00B418DE" w:rsidRDefault="00BE0CF2" w:rsidP="009A3140">
      <w:pPr>
        <w:pStyle w:val="FootnoteText"/>
        <w:ind w:left="567" w:hanging="567"/>
        <w:rPr>
          <w:sz w:val="24"/>
          <w:lang w:val="ro-RO"/>
        </w:rPr>
      </w:pPr>
      <w:r w:rsidRPr="00B418DE">
        <w:rPr>
          <w:rStyle w:val="FootnoteReference"/>
          <w:sz w:val="24"/>
          <w:lang w:val="ro-RO"/>
        </w:rPr>
        <w:footnoteRef/>
      </w:r>
      <w:r w:rsidR="009A3140" w:rsidRPr="00B418DE">
        <w:rPr>
          <w:sz w:val="24"/>
          <w:lang w:val="ro-RO"/>
        </w:rPr>
        <w:t xml:space="preserve"> </w:t>
      </w:r>
      <w:r w:rsidR="009A3140" w:rsidRPr="00B418DE">
        <w:rPr>
          <w:sz w:val="24"/>
          <w:lang w:val="ro-RO"/>
        </w:rPr>
        <w:tab/>
      </w:r>
      <w:r w:rsidRPr="00B418DE">
        <w:rPr>
          <w:sz w:val="24"/>
          <w:lang w:val="ro-RO"/>
        </w:rPr>
        <w:t>JO L 135, 24.5.2016, p. 53.</w:t>
      </w:r>
    </w:p>
  </w:footnote>
  <w:footnote w:id="10">
    <w:p w:rsidR="00BE0CF2" w:rsidRPr="00B418DE" w:rsidRDefault="00BE0CF2" w:rsidP="009A3140">
      <w:pPr>
        <w:pStyle w:val="FootnoteText"/>
        <w:ind w:left="567" w:hanging="567"/>
        <w:rPr>
          <w:sz w:val="24"/>
          <w:szCs w:val="24"/>
          <w:lang w:val="ro-RO"/>
        </w:rPr>
      </w:pPr>
      <w:r w:rsidRPr="00B418DE">
        <w:rPr>
          <w:rStyle w:val="FootnoteReference"/>
          <w:sz w:val="24"/>
          <w:lang w:val="ro-RO"/>
        </w:rPr>
        <w:footnoteRef/>
      </w:r>
      <w:r w:rsidR="009A3140" w:rsidRPr="00B418DE">
        <w:rPr>
          <w:sz w:val="24"/>
          <w:lang w:val="ro-RO"/>
        </w:rPr>
        <w:t xml:space="preserve"> </w:t>
      </w:r>
      <w:r w:rsidR="009A3140" w:rsidRPr="00B418DE">
        <w:rPr>
          <w:sz w:val="24"/>
          <w:lang w:val="ro-RO"/>
        </w:rPr>
        <w:tab/>
      </w:r>
      <w:r w:rsidRPr="00B418DE">
        <w:rPr>
          <w:sz w:val="24"/>
          <w:lang w:val="ro-RO"/>
        </w:rPr>
        <w:t>JO L 122, 10.5.2019, p. 1.</w:t>
      </w:r>
    </w:p>
  </w:footnote>
  <w:footnote w:id="11">
    <w:p w:rsidR="00BE0CF2" w:rsidRPr="00B418DE" w:rsidRDefault="00BE0CF2" w:rsidP="009A3140">
      <w:pPr>
        <w:pStyle w:val="FootnoteText"/>
        <w:ind w:left="567" w:hanging="567"/>
        <w:rPr>
          <w:sz w:val="24"/>
          <w:lang w:val="ro-RO"/>
        </w:rPr>
      </w:pPr>
      <w:r w:rsidRPr="00B418DE">
        <w:rPr>
          <w:rStyle w:val="FootnoteReference"/>
          <w:sz w:val="24"/>
          <w:lang w:val="ro-RO"/>
        </w:rPr>
        <w:footnoteRef/>
      </w:r>
      <w:r w:rsidR="009A3140" w:rsidRPr="00B418DE">
        <w:rPr>
          <w:sz w:val="24"/>
          <w:lang w:val="ro-RO"/>
        </w:rPr>
        <w:t xml:space="preserve"> </w:t>
      </w:r>
      <w:r w:rsidR="009A3140" w:rsidRPr="00B418DE">
        <w:rPr>
          <w:sz w:val="24"/>
          <w:lang w:val="ro-RO"/>
        </w:rPr>
        <w:tab/>
      </w:r>
      <w:r w:rsidRPr="00B418DE">
        <w:rPr>
          <w:sz w:val="24"/>
          <w:lang w:val="ro-RO"/>
        </w:rPr>
        <w:t>JO C 38, 31.1.2023, p. 160.</w:t>
      </w:r>
    </w:p>
  </w:footnote>
  <w:footnote w:id="12">
    <w:p w:rsidR="00BE0CF2" w:rsidRPr="009A3140" w:rsidRDefault="00BE0CF2" w:rsidP="009A3140">
      <w:pPr>
        <w:pStyle w:val="FootnoteText"/>
        <w:ind w:left="567" w:hanging="567"/>
        <w:rPr>
          <w:sz w:val="24"/>
          <w:szCs w:val="24"/>
          <w:lang w:val="ro-RO"/>
        </w:rPr>
      </w:pPr>
      <w:r w:rsidRPr="00B418DE">
        <w:rPr>
          <w:rStyle w:val="FootnoteReference"/>
          <w:sz w:val="24"/>
          <w:szCs w:val="24"/>
          <w:lang w:val="ro-RO"/>
        </w:rPr>
        <w:footnoteRef/>
      </w:r>
      <w:r w:rsidR="009A3140" w:rsidRPr="00B418DE">
        <w:rPr>
          <w:sz w:val="24"/>
          <w:lang w:val="ro-RO"/>
        </w:rPr>
        <w:t xml:space="preserve"> </w:t>
      </w:r>
      <w:r w:rsidR="009A3140" w:rsidRPr="00B418DE">
        <w:rPr>
          <w:sz w:val="24"/>
          <w:lang w:val="ro-RO"/>
        </w:rPr>
        <w:tab/>
      </w:r>
      <w:r w:rsidRPr="00B418DE">
        <w:rPr>
          <w:sz w:val="24"/>
          <w:lang w:val="ro-RO"/>
        </w:rPr>
        <w:t>Texte adoptate, P9_TA(2024)</w:t>
      </w:r>
      <w:r w:rsidR="00B418DE" w:rsidRPr="00B418DE">
        <w:rPr>
          <w:sz w:val="24"/>
          <w:lang w:val="ro-RO"/>
        </w:rPr>
        <w:t>0</w:t>
      </w:r>
      <w:r w:rsidR="00B418DE" w:rsidRPr="00B418DE">
        <w:rPr>
          <w:sz w:val="24"/>
          <w:lang w:val="ro-RO"/>
        </w:rPr>
        <w:t>280</w:t>
      </w:r>
      <w:r w:rsidRPr="00B418DE">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314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314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31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RO"/>
    <w:docVar w:name="dvnumam" w:val="0"/>
    <w:docVar w:name="dvpe" w:val="753.540"/>
    <w:docVar w:name="dvrapporteur" w:val="Raportor: "/>
    <w:docVar w:name="dvtitre" w:val="1. Decizia Parlamentului European din 11 aprilie 2024 privind descărcarea de gestiune pentru execuția bugetului Agenției Uniunii Europene pentru Cooperare în Materie de Aplicare a Legii (Europol) aferent exercițiului financiar 2022(2023/2169(DEC))"/>
  </w:docVars>
  <w:rsids>
    <w:rsidRoot w:val="009A0DF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089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DFD"/>
    <w:rsid w:val="009A3140"/>
    <w:rsid w:val="00A1687D"/>
    <w:rsid w:val="00A43E52"/>
    <w:rsid w:val="00A4678D"/>
    <w:rsid w:val="00A778C7"/>
    <w:rsid w:val="00AB441E"/>
    <w:rsid w:val="00AB6293"/>
    <w:rsid w:val="00AE0928"/>
    <w:rsid w:val="00AF3B82"/>
    <w:rsid w:val="00B12E95"/>
    <w:rsid w:val="00B22876"/>
    <w:rsid w:val="00B418DE"/>
    <w:rsid w:val="00B558F0"/>
    <w:rsid w:val="00BD48FE"/>
    <w:rsid w:val="00BD7BD8"/>
    <w:rsid w:val="00BE0CF2"/>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85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5F001C"/>
  <w15:chartTrackingRefBased/>
  <w15:docId w15:val="{84B82BDE-74B2-4BBD-8D79-A640F3E2D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E0CF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E0CF2"/>
    <w:pPr>
      <w:spacing w:before="480" w:after="240"/>
    </w:pPr>
  </w:style>
  <w:style w:type="paragraph" w:customStyle="1" w:styleId="PageHeading">
    <w:name w:val="PageHeading"/>
    <w:basedOn w:val="Normal"/>
    <w:rsid w:val="00BE0CF2"/>
    <w:pPr>
      <w:keepNext/>
      <w:spacing w:after="480"/>
      <w:jc w:val="center"/>
    </w:pPr>
    <w:rPr>
      <w:rFonts w:ascii="Arial" w:hAnsi="Arial" w:cs="Arial"/>
      <w:b/>
    </w:rPr>
  </w:style>
  <w:style w:type="paragraph" w:customStyle="1" w:styleId="NormalBold">
    <w:name w:val="NormalBold"/>
    <w:basedOn w:val="Normal"/>
    <w:rsid w:val="00BE0CF2"/>
    <w:rPr>
      <w:b/>
    </w:rPr>
  </w:style>
  <w:style w:type="paragraph" w:customStyle="1" w:styleId="NormalHanging12a">
    <w:name w:val="NormalHanging12a"/>
    <w:basedOn w:val="Normal"/>
    <w:link w:val="NormalHanging12aChar"/>
    <w:rsid w:val="00BE0CF2"/>
    <w:pPr>
      <w:spacing w:after="240"/>
      <w:ind w:left="567" w:hanging="567"/>
    </w:pPr>
  </w:style>
  <w:style w:type="paragraph" w:customStyle="1" w:styleId="NormalCenter12a">
    <w:name w:val="NormalCenter12a"/>
    <w:basedOn w:val="Normal"/>
    <w:rsid w:val="00BE0CF2"/>
    <w:pPr>
      <w:spacing w:after="240"/>
      <w:jc w:val="center"/>
    </w:pPr>
  </w:style>
  <w:style w:type="paragraph" w:styleId="Header">
    <w:name w:val="header"/>
    <w:basedOn w:val="Normal"/>
    <w:link w:val="HeaderChar"/>
    <w:rsid w:val="00BE0CF2"/>
    <w:pPr>
      <w:tabs>
        <w:tab w:val="center" w:pos="4513"/>
        <w:tab w:val="right" w:pos="9026"/>
      </w:tabs>
    </w:pPr>
  </w:style>
  <w:style w:type="character" w:customStyle="1" w:styleId="HeaderChar">
    <w:name w:val="Header Char"/>
    <w:basedOn w:val="DefaultParagraphFont"/>
    <w:link w:val="Header"/>
    <w:rsid w:val="00BE0CF2"/>
    <w:rPr>
      <w:sz w:val="24"/>
      <w:lang w:val="ro-RO"/>
    </w:rPr>
  </w:style>
  <w:style w:type="paragraph" w:customStyle="1" w:styleId="EPFooter">
    <w:name w:val="EPFooter"/>
    <w:basedOn w:val="Normal"/>
    <w:rsid w:val="00BE0CF2"/>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BE0CF2"/>
    <w:rPr>
      <w:sz w:val="24"/>
      <w:lang w:val="ro-RO"/>
    </w:rPr>
  </w:style>
  <w:style w:type="paragraph" w:customStyle="1" w:styleId="Normal12Hanging">
    <w:name w:val="Normal12Hanging"/>
    <w:basedOn w:val="Normal"/>
    <w:rsid w:val="00BE0CF2"/>
    <w:pPr>
      <w:spacing w:after="240"/>
      <w:ind w:left="567" w:hanging="567"/>
    </w:pPr>
  </w:style>
  <w:style w:type="paragraph" w:customStyle="1" w:styleId="Normal24a">
    <w:name w:val="Normal24a"/>
    <w:basedOn w:val="Normal"/>
    <w:rsid w:val="00BE0CF2"/>
    <w:pPr>
      <w:spacing w:after="480"/>
    </w:pPr>
  </w:style>
  <w:style w:type="paragraph" w:customStyle="1" w:styleId="NormalBoldCenter">
    <w:name w:val="NormalBoldCenter"/>
    <w:basedOn w:val="Normal"/>
    <w:rsid w:val="00BE0CF2"/>
    <w:pPr>
      <w:jc w:val="center"/>
    </w:pPr>
    <w:rPr>
      <w:b/>
    </w:rPr>
  </w:style>
  <w:style w:type="paragraph" w:customStyle="1" w:styleId="Normal12a">
    <w:name w:val="Normal12a"/>
    <w:basedOn w:val="Normal"/>
    <w:rsid w:val="00BE0CF2"/>
    <w:pPr>
      <w:spacing w:after="240"/>
    </w:pPr>
  </w:style>
  <w:style w:type="paragraph" w:customStyle="1" w:styleId="PageHeadingNotTOC">
    <w:name w:val="PageHeadingNotTOC"/>
    <w:basedOn w:val="Normal"/>
    <w:rsid w:val="00BE0CF2"/>
    <w:pPr>
      <w:keepNext/>
      <w:spacing w:after="480"/>
      <w:jc w:val="center"/>
    </w:pPr>
    <w:rPr>
      <w:rFonts w:ascii="Arial" w:hAnsi="Arial" w:cs="Arial"/>
      <w:b/>
    </w:rPr>
  </w:style>
  <w:style w:type="paragraph" w:customStyle="1" w:styleId="RollCallSymbols14pt">
    <w:name w:val="RollCallSymbols14pt"/>
    <w:basedOn w:val="Normal"/>
    <w:rsid w:val="00BE0CF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E0CF2"/>
    <w:pPr>
      <w:tabs>
        <w:tab w:val="center" w:pos="284"/>
        <w:tab w:val="left" w:pos="426"/>
      </w:tabs>
    </w:pPr>
    <w:rPr>
      <w:snapToGrid w:val="0"/>
      <w:lang w:eastAsia="en-US"/>
    </w:rPr>
  </w:style>
  <w:style w:type="paragraph" w:customStyle="1" w:styleId="RollCallVotes">
    <w:name w:val="RollCallVotes"/>
    <w:basedOn w:val="Normal"/>
    <w:rsid w:val="00BE0CF2"/>
    <w:pPr>
      <w:spacing w:before="120" w:after="120"/>
      <w:jc w:val="center"/>
    </w:pPr>
    <w:rPr>
      <w:b/>
      <w:bCs/>
      <w:snapToGrid w:val="0"/>
      <w:sz w:val="16"/>
      <w:lang w:eastAsia="en-US"/>
    </w:rPr>
  </w:style>
  <w:style w:type="paragraph" w:customStyle="1" w:styleId="RollCallTable">
    <w:name w:val="RollCallTable"/>
    <w:basedOn w:val="Normal"/>
    <w:rsid w:val="00BE0CF2"/>
    <w:pPr>
      <w:spacing w:before="120" w:after="120"/>
    </w:pPr>
    <w:rPr>
      <w:snapToGrid w:val="0"/>
      <w:sz w:val="16"/>
      <w:lang w:eastAsia="en-US"/>
    </w:rPr>
  </w:style>
  <w:style w:type="paragraph" w:styleId="Footer">
    <w:name w:val="footer"/>
    <w:basedOn w:val="Normal"/>
    <w:link w:val="FooterChar"/>
    <w:rsid w:val="00F40858"/>
    <w:pPr>
      <w:tabs>
        <w:tab w:val="center" w:pos="4513"/>
        <w:tab w:val="right" w:pos="9026"/>
      </w:tabs>
    </w:pPr>
  </w:style>
  <w:style w:type="character" w:customStyle="1" w:styleId="FooterChar">
    <w:name w:val="Footer Char"/>
    <w:basedOn w:val="DefaultParagraphFont"/>
    <w:link w:val="Footer"/>
    <w:rsid w:val="00F40858"/>
    <w:rPr>
      <w:sz w:val="24"/>
      <w:lang w:val="ro-RO"/>
    </w:rPr>
  </w:style>
  <w:style w:type="paragraph" w:styleId="BalloonText">
    <w:name w:val="Balloon Text"/>
    <w:basedOn w:val="Normal"/>
    <w:link w:val="BalloonTextChar"/>
    <w:rsid w:val="003E0892"/>
    <w:rPr>
      <w:rFonts w:ascii="Segoe UI" w:hAnsi="Segoe UI" w:cs="Segoe UI"/>
      <w:sz w:val="18"/>
      <w:szCs w:val="18"/>
    </w:rPr>
  </w:style>
  <w:style w:type="character" w:customStyle="1" w:styleId="BalloonTextChar">
    <w:name w:val="Balloon Text Char"/>
    <w:basedOn w:val="DefaultParagraphFont"/>
    <w:link w:val="BalloonText"/>
    <w:rsid w:val="003E0892"/>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6204E-6E11-4097-BE44-6C6FB10C2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5166</Words>
  <Characters>29763</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2024-04-11T14:05:00Z</dcterms:created>
  <dcterms:modified xsi:type="dcterms:W3CDTF">2024-04-11T14:05:00Z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A9-0119/2024</vt:lpwstr>
  </property>
  <property fmtid="{D5CDD505-2E9C-101B-9397-08002B2CF9AE}" pid="4" name="&lt;Type&gt;">
    <vt:lpwstr>RR</vt:lpwstr>
  </property>
</Properties>
</file>