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47D83" w:rsidRPr="00656D4D">
        <w:trPr>
          <w:trHeight w:hRule="exact" w:val="1418"/>
        </w:trPr>
        <w:tc>
          <w:tcPr>
            <w:tcW w:w="6804" w:type="dxa"/>
            <w:shd w:val="clear" w:color="auto" w:fill="auto"/>
            <w:vAlign w:val="center"/>
          </w:tcPr>
          <w:p w:rsidR="00F47D83" w:rsidRPr="00656D4D" w:rsidRDefault="00656D4D">
            <w:pPr>
              <w:pStyle w:val="EPName"/>
            </w:pPr>
            <w:r w:rsidRPr="00656D4D">
              <w:t>Európsky parlament</w:t>
            </w:r>
          </w:p>
          <w:p w:rsidR="00F47D83" w:rsidRPr="00656D4D" w:rsidRDefault="00656D4D">
            <w:pPr>
              <w:pStyle w:val="EPTerm"/>
              <w:rPr>
                <w:rStyle w:val="HideTWBExt"/>
                <w:noProof w:val="0"/>
                <w:vanish w:val="0"/>
                <w:color w:val="auto"/>
              </w:rPr>
            </w:pPr>
            <w:r w:rsidRPr="00656D4D">
              <w:t>2019-2024</w:t>
            </w:r>
          </w:p>
        </w:tc>
        <w:tc>
          <w:tcPr>
            <w:tcW w:w="2268" w:type="dxa"/>
            <w:shd w:val="clear" w:color="auto" w:fill="auto"/>
          </w:tcPr>
          <w:p w:rsidR="00F47D83" w:rsidRPr="00656D4D" w:rsidRDefault="00656D4D">
            <w:pPr>
              <w:pStyle w:val="EPLogo"/>
            </w:pPr>
            <w:r w:rsidRPr="00656D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47D83" w:rsidRPr="00656D4D" w:rsidRDefault="00F47D83">
      <w:pPr>
        <w:pStyle w:val="LineTop"/>
      </w:pPr>
    </w:p>
    <w:p w:rsidR="00F47D83" w:rsidRPr="00656D4D" w:rsidRDefault="00656D4D">
      <w:pPr>
        <w:pStyle w:val="EPBodyTA1"/>
      </w:pPr>
      <w:r w:rsidRPr="00656D4D">
        <w:t>PRIJATÉ TEXTY</w:t>
      </w:r>
    </w:p>
    <w:p w:rsidR="00F47D83" w:rsidRPr="00656D4D" w:rsidRDefault="00F47D83">
      <w:pPr>
        <w:pStyle w:val="LineBottom"/>
      </w:pPr>
    </w:p>
    <w:p w:rsidR="00F47D83" w:rsidRPr="00656D4D" w:rsidRDefault="00656D4D">
      <w:pPr>
        <w:pStyle w:val="ATHeading1"/>
      </w:pPr>
      <w:bookmarkStart w:id="0" w:name="TANumber"/>
      <w:r w:rsidRPr="00656D4D">
        <w:t>P9_TA(2024)0</w:t>
      </w:r>
      <w:r w:rsidR="003A591E" w:rsidRPr="00656D4D">
        <w:t>260</w:t>
      </w:r>
      <w:bookmarkEnd w:id="0"/>
    </w:p>
    <w:p w:rsidR="00F47D83" w:rsidRPr="00656D4D" w:rsidRDefault="00656D4D">
      <w:pPr>
        <w:pStyle w:val="ATHeading2"/>
      </w:pPr>
      <w:bookmarkStart w:id="1" w:name="title"/>
      <w:r w:rsidRPr="00656D4D">
        <w:t>Absolutórium za rok 2022: Agentúra Európskej únie pre spoluprácu v oblasti presadzovania práva (</w:t>
      </w:r>
      <w:proofErr w:type="spellStart"/>
      <w:r w:rsidRPr="00656D4D">
        <w:t>Europol</w:t>
      </w:r>
      <w:proofErr w:type="spellEnd"/>
      <w:r w:rsidRPr="00656D4D">
        <w:t>)</w:t>
      </w:r>
      <w:bookmarkEnd w:id="1"/>
    </w:p>
    <w:p w:rsidR="00F47D83" w:rsidRPr="00656D4D" w:rsidRDefault="00656D4D">
      <w:pPr>
        <w:rPr>
          <w:i/>
          <w:vanish/>
        </w:rPr>
      </w:pPr>
      <w:r w:rsidRPr="00656D4D">
        <w:rPr>
          <w:i/>
        </w:rPr>
        <w:fldChar w:fldCharType="begin"/>
      </w:r>
      <w:r w:rsidRPr="00656D4D">
        <w:rPr>
          <w:i/>
        </w:rPr>
        <w:instrText xml:space="preserve"> TC"(</w:instrText>
      </w:r>
      <w:bookmarkStart w:id="2" w:name="DocNumber"/>
      <w:r w:rsidRPr="00656D4D">
        <w:rPr>
          <w:i/>
        </w:rPr>
        <w:instrText>A9-0119/2024</w:instrText>
      </w:r>
      <w:bookmarkEnd w:id="2"/>
      <w:r w:rsidRPr="00656D4D">
        <w:rPr>
          <w:i/>
        </w:rPr>
        <w:instrText xml:space="preserve"> - Spravodajca: Petri Sarvamaa)"\l3 \n&gt; \* MERGEFORMAT </w:instrText>
      </w:r>
      <w:r w:rsidRPr="00656D4D">
        <w:rPr>
          <w:i/>
        </w:rPr>
        <w:fldChar w:fldCharType="end"/>
      </w:r>
    </w:p>
    <w:p w:rsidR="00F47D83" w:rsidRPr="00656D4D" w:rsidRDefault="00656D4D">
      <w:pPr>
        <w:rPr>
          <w:vanish/>
        </w:rPr>
      </w:pPr>
      <w:bookmarkStart w:id="3" w:name="Commission"/>
      <w:r w:rsidRPr="00656D4D">
        <w:rPr>
          <w:vanish/>
        </w:rPr>
        <w:t>Výbor pre kontrolu rozpočtu</w:t>
      </w:r>
      <w:bookmarkEnd w:id="3"/>
    </w:p>
    <w:p w:rsidR="00F47D83" w:rsidRPr="00656D4D" w:rsidRDefault="00656D4D">
      <w:pPr>
        <w:rPr>
          <w:vanish/>
        </w:rPr>
      </w:pPr>
      <w:bookmarkStart w:id="4" w:name="PE"/>
      <w:r w:rsidRPr="00656D4D">
        <w:rPr>
          <w:vanish/>
        </w:rPr>
        <w:t>PE753.540</w:t>
      </w:r>
      <w:bookmarkEnd w:id="4"/>
    </w:p>
    <w:p w:rsidR="00F47D83" w:rsidRPr="00656D4D" w:rsidRDefault="00656D4D">
      <w:pPr>
        <w:pStyle w:val="ATHeading3"/>
      </w:pPr>
      <w:bookmarkStart w:id="5" w:name="Sujet"/>
      <w:r w:rsidRPr="00656D4D">
        <w:t>1. Rozhodnutie Európskeho parlamentu z 11. apríla 2024 o absolutóriu za plnenie rozpočtu Agentúry Európskej únie pre spoluprácu v oblasti presadzovania práva (</w:t>
      </w:r>
      <w:proofErr w:type="spellStart"/>
      <w:r w:rsidRPr="00656D4D">
        <w:t>Europol</w:t>
      </w:r>
      <w:proofErr w:type="spellEnd"/>
      <w:r w:rsidRPr="00656D4D">
        <w:t>) za rozpočtový rok 2022</w:t>
      </w:r>
      <w:bookmarkEnd w:id="5"/>
      <w:r w:rsidRPr="00656D4D">
        <w:t xml:space="preserve"> </w:t>
      </w:r>
      <w:bookmarkStart w:id="6" w:name="References"/>
      <w:r w:rsidRPr="00656D4D">
        <w:t>(2023/2169(DEC))</w:t>
      </w:r>
      <w:bookmarkEnd w:id="6"/>
    </w:p>
    <w:p w:rsidR="00F47D83" w:rsidRPr="00656D4D" w:rsidRDefault="00656D4D">
      <w:pPr>
        <w:pStyle w:val="EPComma"/>
      </w:pPr>
      <w:bookmarkStart w:id="7" w:name="TextBodyBegin"/>
      <w:bookmarkEnd w:id="7"/>
      <w:r w:rsidRPr="00656D4D">
        <w:rPr>
          <w:i/>
          <w:iCs/>
        </w:rPr>
        <w:t>Európsky parlament</w:t>
      </w:r>
      <w:r w:rsidRPr="00656D4D">
        <w:t>,</w:t>
      </w:r>
    </w:p>
    <w:p w:rsidR="00F47D83" w:rsidRPr="00656D4D" w:rsidRDefault="00656D4D">
      <w:pPr>
        <w:pStyle w:val="NormalHanging12a"/>
      </w:pPr>
      <w:r w:rsidRPr="00656D4D">
        <w:t>–</w:t>
      </w:r>
      <w:r w:rsidRPr="00656D4D">
        <w:tab/>
        <w:t>so zreteľom na konečnú ročnú účtovnú závierku Agentúry Európskej únie pre spoluprácu v oblasti presadzovania práva (</w:t>
      </w:r>
      <w:proofErr w:type="spellStart"/>
      <w:r w:rsidRPr="00656D4D">
        <w:t>Europol</w:t>
      </w:r>
      <w:proofErr w:type="spellEnd"/>
      <w:r w:rsidRPr="00656D4D">
        <w:t>) za rozpočtový rok 2022,</w:t>
      </w:r>
    </w:p>
    <w:p w:rsidR="00F47D83" w:rsidRPr="00656D4D" w:rsidRDefault="00656D4D">
      <w:pPr>
        <w:pStyle w:val="NormalHanging12a"/>
      </w:pPr>
      <w:r w:rsidRPr="00656D4D">
        <w:t>–</w:t>
      </w:r>
      <w:r w:rsidRPr="00656D4D">
        <w:tab/>
        <w:t>so zreteľom na výročnú správu Dvora audítorov o agentúrach EÚ za rozpočtový rok 2022 spolu s odpoveďami agentúr</w:t>
      </w:r>
      <w:r w:rsidRPr="00656D4D">
        <w:rPr>
          <w:rStyle w:val="FootnoteReference"/>
        </w:rPr>
        <w:footnoteReference w:id="1"/>
      </w:r>
      <w:r w:rsidRPr="00656D4D">
        <w:t>,</w:t>
      </w:r>
    </w:p>
    <w:p w:rsidR="00F47D83" w:rsidRPr="00656D4D" w:rsidRDefault="00656D4D">
      <w:pPr>
        <w:pStyle w:val="NormalHanging12a"/>
      </w:pPr>
      <w:r w:rsidRPr="00656D4D">
        <w:t>–</w:t>
      </w:r>
      <w:r w:rsidRPr="00656D4D">
        <w:tab/>
        <w:t>so zreteľom na vyhlásenie o vierohodnosti</w:t>
      </w:r>
      <w:r w:rsidRPr="00656D4D">
        <w:rPr>
          <w:rStyle w:val="FootnoteReference"/>
        </w:rPr>
        <w:footnoteReference w:id="2"/>
      </w:r>
      <w:r w:rsidRPr="00656D4D">
        <w:t xml:space="preserve"> vedenia účtov a zákonnosti a správnosti príslušných operácií, ktoré poskytol Dvor audítorov za rozpočtový rok 2022 v súlade s článkom 287 Zmluvy o fungovaní Európskej únie,</w:t>
      </w:r>
    </w:p>
    <w:p w:rsidR="00F47D83" w:rsidRPr="00656D4D" w:rsidRDefault="00656D4D">
      <w:pPr>
        <w:pStyle w:val="NormalHanging12a"/>
      </w:pPr>
      <w:r w:rsidRPr="00656D4D">
        <w:t>–</w:t>
      </w:r>
      <w:r w:rsidRPr="00656D4D">
        <w:tab/>
        <w:t>so zreteľom na odporúčanie Rady z 22. februára 2024 o udelení absolutória agentúre za plnenie rozpočtu za rozpočtový rok 2022 (06180/2024 – C9</w:t>
      </w:r>
      <w:r w:rsidRPr="00656D4D">
        <w:noBreakHyphen/>
        <w:t>0107/2024),</w:t>
      </w:r>
    </w:p>
    <w:p w:rsidR="00F47D83" w:rsidRPr="00656D4D" w:rsidRDefault="00656D4D">
      <w:pPr>
        <w:pStyle w:val="NormalHanging12a"/>
      </w:pPr>
      <w:r w:rsidRPr="00656D4D">
        <w:t>–</w:t>
      </w:r>
      <w:r w:rsidRPr="00656D4D">
        <w:tab/>
        <w:t>so zreteľom na článok 319 Zmluvy o fungovaní Európskej únie,</w:t>
      </w:r>
    </w:p>
    <w:p w:rsidR="00F47D83" w:rsidRPr="00656D4D" w:rsidRDefault="00656D4D">
      <w:pPr>
        <w:pStyle w:val="NormalHanging12a"/>
      </w:pPr>
      <w:r w:rsidRPr="00656D4D">
        <w:t>–</w:t>
      </w:r>
      <w:r w:rsidRPr="00656D4D">
        <w:tab/>
        <w:t xml:space="preserve">so zreteľom na nariadenie Európskeho parlamentu a Rady (EÚ, </w:t>
      </w:r>
      <w:proofErr w:type="spellStart"/>
      <w:r w:rsidRPr="00656D4D">
        <w:t>Euratom</w:t>
      </w:r>
      <w:proofErr w:type="spellEnd"/>
      <w:r w:rsidRPr="00656D4D">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56D4D">
        <w:t>Euratom</w:t>
      </w:r>
      <w:proofErr w:type="spellEnd"/>
      <w:r w:rsidRPr="00656D4D">
        <w:t>) č. 966/2012</w:t>
      </w:r>
      <w:r w:rsidRPr="00656D4D">
        <w:rPr>
          <w:rStyle w:val="FootnoteReference"/>
        </w:rPr>
        <w:footnoteReference w:id="3"/>
      </w:r>
      <w:r w:rsidRPr="00656D4D">
        <w:t>, a najmä na jeho článok 70,</w:t>
      </w:r>
    </w:p>
    <w:p w:rsidR="00F47D83" w:rsidRPr="00656D4D" w:rsidRDefault="00656D4D">
      <w:pPr>
        <w:pStyle w:val="NormalHanging12a"/>
      </w:pPr>
      <w:r w:rsidRPr="00656D4D">
        <w:t>–</w:t>
      </w:r>
      <w:r w:rsidRPr="00656D4D">
        <w:tab/>
        <w:t xml:space="preserve">so zreteľom na nariadenie Európskeho parlamentu a Rady (EÚ) 2016/794 z 11. mája 2016 o Agentúre Európskej únie pre spoluprácu v oblasti presadzovania </w:t>
      </w:r>
      <w:r w:rsidRPr="00656D4D">
        <w:lastRenderedPageBreak/>
        <w:t>práva (</w:t>
      </w:r>
      <w:proofErr w:type="spellStart"/>
      <w:r w:rsidRPr="00656D4D">
        <w:t>Europol</w:t>
      </w:r>
      <w:proofErr w:type="spellEnd"/>
      <w:r w:rsidRPr="00656D4D">
        <w:t>), ktorým sa nahrádzajú a zrušujú rozhodnutia Rady 2009/371/SVV, 2009/934/SVV, 2009/935/SVV, 2009/936/SVV a 2009/968/SVV</w:t>
      </w:r>
      <w:r w:rsidRPr="00656D4D">
        <w:rPr>
          <w:rStyle w:val="FootnoteReference"/>
        </w:rPr>
        <w:footnoteReference w:id="4"/>
      </w:r>
      <w:r w:rsidRPr="00656D4D">
        <w:t>, a najmä na jeho článok 60,</w:t>
      </w:r>
    </w:p>
    <w:p w:rsidR="00F47D83" w:rsidRPr="00656D4D" w:rsidRDefault="00656D4D">
      <w:pPr>
        <w:pStyle w:val="NormalHanging12a"/>
      </w:pPr>
      <w:r w:rsidRPr="00656D4D">
        <w:t>–</w:t>
      </w:r>
      <w:r w:rsidRPr="00656D4D">
        <w:tab/>
        <w:t>so zreteľom na delegované nariadenie Komisie (EÚ) 2019/715 z 18. decembra 2018 o rámcovom nariadení o rozpočtových pravidlách pre subjekty zriadené podľa ZFEÚ a Zmluvy o </w:t>
      </w:r>
      <w:proofErr w:type="spellStart"/>
      <w:r w:rsidRPr="00656D4D">
        <w:t>Euratome</w:t>
      </w:r>
      <w:proofErr w:type="spellEnd"/>
      <w:r w:rsidRPr="00656D4D">
        <w:t xml:space="preserve"> a uvedené v článku 70 nariadenia Európskeho parlamentu a Rady (EÚ, </w:t>
      </w:r>
      <w:proofErr w:type="spellStart"/>
      <w:r w:rsidRPr="00656D4D">
        <w:t>Euratom</w:t>
      </w:r>
      <w:proofErr w:type="spellEnd"/>
      <w:r w:rsidRPr="00656D4D">
        <w:t>) 2018/1046</w:t>
      </w:r>
      <w:r w:rsidRPr="00656D4D">
        <w:rPr>
          <w:rStyle w:val="FootnoteReference"/>
        </w:rPr>
        <w:footnoteReference w:id="5"/>
      </w:r>
      <w:r w:rsidRPr="00656D4D">
        <w:t>, a najmä na jeho článok 105,</w:t>
      </w:r>
    </w:p>
    <w:p w:rsidR="00F47D83" w:rsidRPr="00656D4D" w:rsidRDefault="00656D4D">
      <w:pPr>
        <w:pStyle w:val="NormalHanging12a"/>
      </w:pPr>
      <w:r w:rsidRPr="00656D4D">
        <w:t>–</w:t>
      </w:r>
      <w:r w:rsidRPr="00656D4D">
        <w:tab/>
        <w:t>so zreteľom na článok 100 a prílohu V k rokovaciemu poriadku,</w:t>
      </w:r>
    </w:p>
    <w:p w:rsidR="00F47D83" w:rsidRPr="00656D4D" w:rsidRDefault="00656D4D">
      <w:pPr>
        <w:pStyle w:val="NormalHanging12a"/>
      </w:pPr>
      <w:r w:rsidRPr="00656D4D">
        <w:t>–</w:t>
      </w:r>
      <w:r w:rsidRPr="00656D4D">
        <w:tab/>
        <w:t>so zreteľom na stanovisko Výboru pre občianske slobody, spravodlivosť a vnútorné veci,</w:t>
      </w:r>
    </w:p>
    <w:p w:rsidR="00F47D83" w:rsidRPr="00656D4D" w:rsidRDefault="00656D4D">
      <w:pPr>
        <w:pStyle w:val="NormalHanging12a"/>
      </w:pPr>
      <w:r w:rsidRPr="00656D4D">
        <w:t>–</w:t>
      </w:r>
      <w:r w:rsidRPr="00656D4D">
        <w:tab/>
        <w:t>so zreteľom na správu Výboru pre kontrolu rozpočtu (A9-0119/2024),</w:t>
      </w:r>
    </w:p>
    <w:p w:rsidR="00F47D83" w:rsidRPr="00656D4D" w:rsidRDefault="00656D4D">
      <w:pPr>
        <w:pStyle w:val="NormalHanging12a"/>
      </w:pPr>
      <w:r w:rsidRPr="00656D4D">
        <w:t>1.</w:t>
      </w:r>
      <w:r w:rsidRPr="00656D4D">
        <w:tab/>
        <w:t>udeľuje absolutórium výkonnej riaditeľke Agentúry Európskej únie pre spoluprácu v oblasti presadzovania práva (</w:t>
      </w:r>
      <w:proofErr w:type="spellStart"/>
      <w:r w:rsidRPr="00656D4D">
        <w:t>Europol</w:t>
      </w:r>
      <w:proofErr w:type="spellEnd"/>
      <w:r w:rsidRPr="00656D4D">
        <w:t>) za plnenie rozpočtu agentúry za rozpočtový rok 2022;</w:t>
      </w:r>
    </w:p>
    <w:p w:rsidR="00F47D83" w:rsidRPr="00656D4D" w:rsidRDefault="00656D4D">
      <w:pPr>
        <w:pStyle w:val="NormalHanging12a"/>
      </w:pPr>
      <w:r w:rsidRPr="00656D4D">
        <w:t>2.</w:t>
      </w:r>
      <w:r w:rsidRPr="00656D4D">
        <w:tab/>
        <w:t>uvádza svoje poznámky v priloženom uznesení;</w:t>
      </w:r>
    </w:p>
    <w:p w:rsidR="00F47D83" w:rsidRPr="00656D4D" w:rsidRDefault="00656D4D">
      <w:pPr>
        <w:pStyle w:val="NormalHanging12a"/>
      </w:pPr>
      <w:r w:rsidRPr="00656D4D">
        <w:t>3.</w:t>
      </w:r>
      <w:r w:rsidRPr="00656D4D">
        <w:tab/>
        <w:t>poveruje svoju predsedníčku, aby postúpila toto rozhodnutie a uznesenie, ktoré je jeho neoddeliteľnou súčasťou, výkonnej riaditeľke Agentúry Európskej únie pre spoluprácu v oblasti presadzovania práva (</w:t>
      </w:r>
      <w:proofErr w:type="spellStart"/>
      <w:r w:rsidRPr="00656D4D">
        <w:t>Europol</w:t>
      </w:r>
      <w:proofErr w:type="spellEnd"/>
      <w:r w:rsidRPr="00656D4D">
        <w:t>), Rade, Komisii a Dvoru audítorov a aby zabezpečila ich uverejnenie v </w:t>
      </w:r>
      <w:r w:rsidRPr="00656D4D">
        <w:rPr>
          <w:i/>
          <w:iCs/>
        </w:rPr>
        <w:t>Úradnom vestníku Európskej únie</w:t>
      </w:r>
      <w:r w:rsidRPr="00656D4D">
        <w:t xml:space="preserve"> (v sérii L).</w:t>
      </w:r>
    </w:p>
    <w:p w:rsidR="00F47D83" w:rsidRPr="00656D4D" w:rsidRDefault="00F47D83"/>
    <w:p w:rsidR="00F47D83" w:rsidRPr="00656D4D" w:rsidRDefault="00F47D83">
      <w:pPr>
        <w:widowControl/>
        <w:rPr>
          <w:rFonts w:ascii="Arial" w:hAnsi="Arial" w:cs="Arial"/>
          <w:b/>
        </w:rPr>
        <w:sectPr w:rsidR="00F47D83" w:rsidRPr="00656D4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47D83" w:rsidRPr="00656D4D" w:rsidRDefault="00656D4D">
      <w:pPr>
        <w:pStyle w:val="NormalBold"/>
      </w:pPr>
      <w:r w:rsidRPr="00656D4D">
        <w:lastRenderedPageBreak/>
        <w:t>2. Rozhodnutie Európskeho parlamentu z 11. apríla 2024 o účtovnej závierke Agentúry Európskej únie pre spoluprácu v oblasti presadzovania práva (</w:t>
      </w:r>
      <w:proofErr w:type="spellStart"/>
      <w:r w:rsidRPr="00656D4D">
        <w:t>Europol</w:t>
      </w:r>
      <w:proofErr w:type="spellEnd"/>
      <w:r w:rsidRPr="00656D4D">
        <w:t>) za rozpočtový rok 2022 (2023/2169(DEC))</w:t>
      </w:r>
    </w:p>
    <w:p w:rsidR="00F47D83" w:rsidRPr="00656D4D" w:rsidRDefault="00656D4D">
      <w:pPr>
        <w:pStyle w:val="EPComma"/>
      </w:pPr>
      <w:r w:rsidRPr="00656D4D">
        <w:rPr>
          <w:i/>
          <w:iCs/>
        </w:rPr>
        <w:t>Európsky parlament</w:t>
      </w:r>
      <w:r w:rsidRPr="00656D4D">
        <w:t>,</w:t>
      </w:r>
    </w:p>
    <w:p w:rsidR="00F47D83" w:rsidRPr="00656D4D" w:rsidRDefault="00656D4D">
      <w:pPr>
        <w:pStyle w:val="NormalHanging12a"/>
      </w:pPr>
      <w:r w:rsidRPr="00656D4D">
        <w:t>–</w:t>
      </w:r>
      <w:r w:rsidRPr="00656D4D">
        <w:tab/>
        <w:t>so zreteľom na konečnú ročnú účtovnú závierku Agentúry Európskej únie pre spoluprácu v oblasti presadzovania práva (</w:t>
      </w:r>
      <w:proofErr w:type="spellStart"/>
      <w:r w:rsidRPr="00656D4D">
        <w:t>Europol</w:t>
      </w:r>
      <w:proofErr w:type="spellEnd"/>
      <w:r w:rsidRPr="00656D4D">
        <w:t>) za rozpočtový rok 2022,</w:t>
      </w:r>
    </w:p>
    <w:p w:rsidR="00F47D83" w:rsidRPr="00656D4D" w:rsidRDefault="00656D4D">
      <w:pPr>
        <w:pStyle w:val="NormalHanging12a"/>
      </w:pPr>
      <w:r w:rsidRPr="00656D4D">
        <w:t>–</w:t>
      </w:r>
      <w:r w:rsidRPr="00656D4D">
        <w:tab/>
        <w:t>so zreteľom na výročnú správu Dvora audítorov o agentúrach EÚ za rozpočtový rok 2022 spolu s odpoveďami agentúr</w:t>
      </w:r>
      <w:r w:rsidRPr="00656D4D">
        <w:rPr>
          <w:rStyle w:val="FootnoteReference"/>
        </w:rPr>
        <w:footnoteReference w:id="6"/>
      </w:r>
      <w:r w:rsidRPr="00656D4D">
        <w:t>,</w:t>
      </w:r>
    </w:p>
    <w:p w:rsidR="00F47D83" w:rsidRPr="00656D4D" w:rsidRDefault="00656D4D">
      <w:pPr>
        <w:pStyle w:val="NormalHanging12a"/>
      </w:pPr>
      <w:r w:rsidRPr="00656D4D">
        <w:t>–</w:t>
      </w:r>
      <w:r w:rsidRPr="00656D4D">
        <w:tab/>
        <w:t>so zreteľom na vyhlásenie o vierohodnosti</w:t>
      </w:r>
      <w:r w:rsidRPr="00656D4D">
        <w:rPr>
          <w:rStyle w:val="FootnoteReference"/>
        </w:rPr>
        <w:footnoteReference w:id="7"/>
      </w:r>
      <w:r w:rsidRPr="00656D4D">
        <w:t xml:space="preserve"> vedenia účtov a zákonnosti a správnosti príslušných operácií, ktoré poskytol Dvor audítorov za rozpočtový rok 2022 v súlade s článkom 287 Zmluvy o fungovaní Európskej únie,</w:t>
      </w:r>
    </w:p>
    <w:p w:rsidR="00F47D83" w:rsidRPr="00656D4D" w:rsidRDefault="00656D4D">
      <w:pPr>
        <w:pStyle w:val="NormalHanging12a"/>
      </w:pPr>
      <w:r w:rsidRPr="00656D4D">
        <w:t>–</w:t>
      </w:r>
      <w:r w:rsidRPr="00656D4D">
        <w:tab/>
        <w:t>so zreteľom na odporúčanie Rady z 22. februára 2024 o udelení absolutória agentúre za plnenie rozpočtu za rozpočtový rok 2022 (06180/2024 – C9</w:t>
      </w:r>
      <w:r w:rsidRPr="00656D4D">
        <w:noBreakHyphen/>
        <w:t>0107/2024),</w:t>
      </w:r>
    </w:p>
    <w:p w:rsidR="00F47D83" w:rsidRPr="00656D4D" w:rsidRDefault="00656D4D">
      <w:pPr>
        <w:pStyle w:val="NormalHanging12a"/>
      </w:pPr>
      <w:r w:rsidRPr="00656D4D">
        <w:t>–</w:t>
      </w:r>
      <w:r w:rsidRPr="00656D4D">
        <w:tab/>
        <w:t>so zreteľom na článok 319 Zmluvy o fungovaní Európskej únie,</w:t>
      </w:r>
    </w:p>
    <w:p w:rsidR="00F47D83" w:rsidRPr="00656D4D" w:rsidRDefault="00656D4D">
      <w:pPr>
        <w:pStyle w:val="NormalHanging12a"/>
      </w:pPr>
      <w:r w:rsidRPr="00656D4D">
        <w:t>–</w:t>
      </w:r>
      <w:r w:rsidRPr="00656D4D">
        <w:tab/>
        <w:t xml:space="preserve">so zreteľom na nariadenie Európskeho parlamentu a Rady (EÚ, </w:t>
      </w:r>
      <w:proofErr w:type="spellStart"/>
      <w:r w:rsidRPr="00656D4D">
        <w:t>Euratom</w:t>
      </w:r>
      <w:proofErr w:type="spellEnd"/>
      <w:r w:rsidRPr="00656D4D">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656D4D">
        <w:t>Euratom</w:t>
      </w:r>
      <w:proofErr w:type="spellEnd"/>
      <w:r w:rsidRPr="00656D4D">
        <w:t>) č. 966/2012</w:t>
      </w:r>
      <w:r w:rsidRPr="00656D4D">
        <w:rPr>
          <w:rStyle w:val="FootnoteReference"/>
        </w:rPr>
        <w:footnoteReference w:id="8"/>
      </w:r>
      <w:r w:rsidRPr="00656D4D">
        <w:t>, a najmä na jeho článok 70,</w:t>
      </w:r>
    </w:p>
    <w:p w:rsidR="00F47D83" w:rsidRPr="00656D4D" w:rsidRDefault="00656D4D">
      <w:pPr>
        <w:pStyle w:val="NormalHanging12a"/>
      </w:pPr>
      <w:r w:rsidRPr="00656D4D">
        <w:t>–</w:t>
      </w:r>
      <w:r w:rsidRPr="00656D4D">
        <w:tab/>
        <w:t>so zreteľom na nariadenie Európskeho parlamentu a Rady (EÚ) 2016/794 z 11. mája 2016 o Agentúre Európskej únie pre spoluprácu v oblasti presadzovania práva (</w:t>
      </w:r>
      <w:proofErr w:type="spellStart"/>
      <w:r w:rsidRPr="00656D4D">
        <w:t>Europol</w:t>
      </w:r>
      <w:proofErr w:type="spellEnd"/>
      <w:r w:rsidRPr="00656D4D">
        <w:t>), ktorým sa nahrádzajú a zrušujú rozhodnutia Rady 2009/371/SVV, 2009/934/SVV, 2009/935/SVV, 2009/936/SVV a 2009/968/SVV</w:t>
      </w:r>
      <w:r w:rsidRPr="00656D4D">
        <w:rPr>
          <w:rStyle w:val="FootnoteReference"/>
        </w:rPr>
        <w:footnoteReference w:id="9"/>
      </w:r>
      <w:r w:rsidRPr="00656D4D">
        <w:t>, a najmä na jeho článok 60,</w:t>
      </w:r>
    </w:p>
    <w:p w:rsidR="00F47D83" w:rsidRPr="00656D4D" w:rsidRDefault="00656D4D">
      <w:pPr>
        <w:pStyle w:val="NormalHanging12a"/>
      </w:pPr>
      <w:r w:rsidRPr="00656D4D">
        <w:t>–</w:t>
      </w:r>
      <w:r w:rsidRPr="00656D4D">
        <w:tab/>
        <w:t>so zreteľom na delegované nariadenie Komisie (EÚ) 2019/715 z 18. decembra 2018 o rámcovom nariadení o rozpočtových pravidlách pre subjekty zriadené podľa ZFEÚ a Zmluvy o </w:t>
      </w:r>
      <w:proofErr w:type="spellStart"/>
      <w:r w:rsidRPr="00656D4D">
        <w:t>Euratome</w:t>
      </w:r>
      <w:proofErr w:type="spellEnd"/>
      <w:r w:rsidRPr="00656D4D">
        <w:t xml:space="preserve"> a uvedené v článku 70 nariadenia Európskeho parlamentu a Rady (EÚ, </w:t>
      </w:r>
      <w:proofErr w:type="spellStart"/>
      <w:r w:rsidRPr="00656D4D">
        <w:t>Euratom</w:t>
      </w:r>
      <w:proofErr w:type="spellEnd"/>
      <w:r w:rsidRPr="00656D4D">
        <w:t xml:space="preserve">) </w:t>
      </w:r>
      <w:bookmarkStart w:id="8" w:name="_GoBack"/>
      <w:bookmarkEnd w:id="8"/>
      <w:r w:rsidRPr="00656D4D">
        <w:t>2018/1046</w:t>
      </w:r>
      <w:r w:rsidRPr="00656D4D">
        <w:rPr>
          <w:rStyle w:val="FootnoteReference"/>
        </w:rPr>
        <w:footnoteReference w:id="10"/>
      </w:r>
      <w:r w:rsidRPr="00656D4D">
        <w:t>, a najmä na jeho článok 105,</w:t>
      </w:r>
    </w:p>
    <w:p w:rsidR="00F47D83" w:rsidRPr="00656D4D" w:rsidRDefault="00656D4D">
      <w:pPr>
        <w:pStyle w:val="NormalHanging12a"/>
      </w:pPr>
      <w:r w:rsidRPr="00656D4D">
        <w:t>–</w:t>
      </w:r>
      <w:r w:rsidRPr="00656D4D">
        <w:tab/>
        <w:t>so zreteľom na článok 100 a prílohu V k rokovaciemu poriadku,</w:t>
      </w:r>
    </w:p>
    <w:p w:rsidR="00F47D83" w:rsidRPr="00656D4D" w:rsidRDefault="00656D4D">
      <w:pPr>
        <w:pStyle w:val="NormalHanging12a"/>
      </w:pPr>
      <w:r w:rsidRPr="00656D4D">
        <w:t>–</w:t>
      </w:r>
      <w:r w:rsidRPr="00656D4D">
        <w:tab/>
        <w:t>so zreteľom na stanovisko Výboru pre občianske slobody, spravodlivosť a vnútorné veci,</w:t>
      </w:r>
    </w:p>
    <w:p w:rsidR="00F47D83" w:rsidRPr="00656D4D" w:rsidRDefault="00656D4D">
      <w:pPr>
        <w:pStyle w:val="NormalHanging12a"/>
      </w:pPr>
      <w:r w:rsidRPr="00656D4D">
        <w:t>–</w:t>
      </w:r>
      <w:r w:rsidRPr="00656D4D">
        <w:tab/>
        <w:t>so zreteľom na správu Výboru pre kontrolu rozpočtu (A9-0119/2024),</w:t>
      </w:r>
    </w:p>
    <w:p w:rsidR="00F47D83" w:rsidRPr="00656D4D" w:rsidRDefault="00656D4D">
      <w:pPr>
        <w:pStyle w:val="NormalHanging12a"/>
      </w:pPr>
      <w:r w:rsidRPr="00656D4D">
        <w:lastRenderedPageBreak/>
        <w:t>1.</w:t>
      </w:r>
      <w:r w:rsidRPr="00656D4D">
        <w:tab/>
        <w:t>schvaľuje účtovnú závierku Agentúry Európskej únie pre spoluprácu v oblasti presadzovania práva (</w:t>
      </w:r>
      <w:proofErr w:type="spellStart"/>
      <w:r w:rsidRPr="00656D4D">
        <w:t>Europol</w:t>
      </w:r>
      <w:proofErr w:type="spellEnd"/>
      <w:r w:rsidRPr="00656D4D">
        <w:t>) za rozpočtový rok 2022;</w:t>
      </w:r>
    </w:p>
    <w:p w:rsidR="00F47D83" w:rsidRPr="00656D4D" w:rsidRDefault="00656D4D">
      <w:pPr>
        <w:pStyle w:val="NormalHanging12a"/>
      </w:pPr>
      <w:r w:rsidRPr="00656D4D">
        <w:t>2.</w:t>
      </w:r>
      <w:r w:rsidRPr="00656D4D">
        <w:tab/>
        <w:t>poveruje svoju predsedníčku, aby postúpila toto rozhodnutie výkonnej riaditeľke Agentúry Európskej únie pre spoluprácu v oblasti presadzovania práva (</w:t>
      </w:r>
      <w:proofErr w:type="spellStart"/>
      <w:r w:rsidRPr="00656D4D">
        <w:t>Europol</w:t>
      </w:r>
      <w:proofErr w:type="spellEnd"/>
      <w:r w:rsidRPr="00656D4D">
        <w:t>), Rade, Komisii a Dvoru audítorov a aby zabezpečila jeho uverejnenie v </w:t>
      </w:r>
      <w:r w:rsidRPr="00656D4D">
        <w:rPr>
          <w:i/>
          <w:iCs/>
        </w:rPr>
        <w:t>Úradnom vestníku Európskej únie</w:t>
      </w:r>
      <w:r w:rsidRPr="00656D4D">
        <w:t xml:space="preserve"> (v sérii L).</w:t>
      </w:r>
    </w:p>
    <w:p w:rsidR="00F47D83" w:rsidRPr="00656D4D" w:rsidRDefault="00F47D83"/>
    <w:p w:rsidR="00F47D83" w:rsidRPr="00656D4D" w:rsidRDefault="00F47D83">
      <w:pPr>
        <w:widowControl/>
        <w:rPr>
          <w:rFonts w:ascii="Arial" w:hAnsi="Arial" w:cs="Arial"/>
          <w:b/>
        </w:rPr>
        <w:sectPr w:rsidR="00F47D83" w:rsidRPr="00656D4D">
          <w:footnotePr>
            <w:numRestart w:val="eachPage"/>
          </w:footnotePr>
          <w:endnotePr>
            <w:numFmt w:val="decimal"/>
          </w:endnotePr>
          <w:pgSz w:w="11906" w:h="16838"/>
          <w:pgMar w:top="1134" w:right="1418" w:bottom="1418" w:left="1418" w:header="567" w:footer="567" w:gutter="0"/>
          <w:cols w:space="720"/>
          <w:docGrid w:linePitch="326"/>
        </w:sectPr>
      </w:pPr>
    </w:p>
    <w:p w:rsidR="00F47D83" w:rsidRPr="00656D4D" w:rsidRDefault="00656D4D">
      <w:pPr>
        <w:pStyle w:val="NormalBold"/>
      </w:pPr>
      <w:r w:rsidRPr="00656D4D">
        <w:lastRenderedPageBreak/>
        <w:t>3. Uznesenie Európskeho parlamentu z 11. apríla 2024 s poznámkami, ktoré je neoddeliteľnou súčasťou rozhodnutia o absolutóriu za plnenie rozpočtu Agentúry Európskej únie pre spoluprácu v oblasti presadzovania práva (</w:t>
      </w:r>
      <w:proofErr w:type="spellStart"/>
      <w:r w:rsidRPr="00656D4D">
        <w:t>Europol</w:t>
      </w:r>
      <w:proofErr w:type="spellEnd"/>
      <w:r w:rsidRPr="00656D4D">
        <w:t>) za rozpočtový rok 2022 (2023/2169(DEC))</w:t>
      </w:r>
    </w:p>
    <w:p w:rsidR="00F47D83" w:rsidRPr="00656D4D" w:rsidRDefault="00656D4D">
      <w:pPr>
        <w:pStyle w:val="EPComma"/>
      </w:pPr>
      <w:r w:rsidRPr="00656D4D">
        <w:rPr>
          <w:i/>
          <w:iCs/>
        </w:rPr>
        <w:t>Európsky parlament</w:t>
      </w:r>
      <w:r w:rsidRPr="00656D4D">
        <w:t>,</w:t>
      </w:r>
    </w:p>
    <w:p w:rsidR="00F47D83" w:rsidRPr="00656D4D" w:rsidRDefault="00656D4D">
      <w:pPr>
        <w:pStyle w:val="NormalHanging12a"/>
      </w:pPr>
      <w:r w:rsidRPr="00656D4D">
        <w:t>–</w:t>
      </w:r>
      <w:r w:rsidRPr="00656D4D">
        <w:tab/>
        <w:t>so zreteľom na svoje rozhodnutie o absolutóriu za plnenie rozpočtu Agentúry Európskej únie pre spoluprácu v oblasti presadzovania práva (</w:t>
      </w:r>
      <w:proofErr w:type="spellStart"/>
      <w:r w:rsidRPr="00656D4D">
        <w:t>Europol</w:t>
      </w:r>
      <w:proofErr w:type="spellEnd"/>
      <w:r w:rsidRPr="00656D4D">
        <w:t>) za rozpočtový rok 2022,</w:t>
      </w:r>
    </w:p>
    <w:p w:rsidR="00F47D83" w:rsidRPr="00656D4D" w:rsidRDefault="00656D4D">
      <w:pPr>
        <w:pStyle w:val="NormalHanging12a"/>
      </w:pPr>
      <w:r w:rsidRPr="00656D4D">
        <w:t>–</w:t>
      </w:r>
      <w:r w:rsidRPr="00656D4D">
        <w:tab/>
        <w:t>so zreteľom na článok 100 a prílohu V</w:t>
      </w:r>
      <w:r w:rsidR="001E65AD">
        <w:t xml:space="preserve"> k </w:t>
      </w:r>
      <w:r w:rsidRPr="00656D4D">
        <w:t>rokovacie</w:t>
      </w:r>
      <w:r w:rsidR="001E65AD">
        <w:t>mu</w:t>
      </w:r>
      <w:r w:rsidRPr="00656D4D">
        <w:t xml:space="preserve"> poriadku,</w:t>
      </w:r>
    </w:p>
    <w:p w:rsidR="00F47D83" w:rsidRPr="00656D4D" w:rsidRDefault="00656D4D">
      <w:pPr>
        <w:pStyle w:val="NormalHanging12a"/>
      </w:pPr>
      <w:r w:rsidRPr="00656D4D">
        <w:t>–</w:t>
      </w:r>
      <w:r w:rsidRPr="00656D4D">
        <w:tab/>
        <w:t>so zreteľom na stanovisko Výboru pre občianske slobody, spravodlivosť a vnútorné veci,</w:t>
      </w:r>
    </w:p>
    <w:p w:rsidR="00F47D83" w:rsidRPr="00656D4D" w:rsidRDefault="00656D4D">
      <w:pPr>
        <w:pStyle w:val="NormalHanging12a"/>
      </w:pPr>
      <w:r w:rsidRPr="00656D4D">
        <w:t>–</w:t>
      </w:r>
      <w:r w:rsidRPr="00656D4D">
        <w:tab/>
        <w:t>so zreteľom na správu Výboru pre kontrolu rozpočtu (A9-0119/2024),</w:t>
      </w:r>
    </w:p>
    <w:p w:rsidR="00F47D83" w:rsidRPr="00656D4D" w:rsidRDefault="00656D4D">
      <w:pPr>
        <w:pStyle w:val="Normal12Hanging"/>
        <w:widowControl/>
        <w:rPr>
          <w:szCs w:val="24"/>
        </w:rPr>
      </w:pPr>
      <w:r w:rsidRPr="00656D4D">
        <w:t>A.</w:t>
      </w:r>
      <w:r w:rsidRPr="00656D4D">
        <w:tab/>
        <w:t>keďže podľa výkazu príjmov a výdavkov</w:t>
      </w:r>
      <w:r w:rsidRPr="00656D4D">
        <w:rPr>
          <w:szCs w:val="24"/>
          <w:vertAlign w:val="superscript"/>
        </w:rPr>
        <w:footnoteReference w:id="11"/>
      </w:r>
      <w:r w:rsidRPr="00656D4D">
        <w:t xml:space="preserve"> bol konečný rozpočet Agentúry Európskej únie pre spoluprácu v oblasti presadzovania práva (</w:t>
      </w:r>
      <w:proofErr w:type="spellStart"/>
      <w:r w:rsidRPr="00656D4D">
        <w:t>Europol</w:t>
      </w:r>
      <w:proofErr w:type="spellEnd"/>
      <w:r w:rsidRPr="00656D4D">
        <w:t>) (ďalej len „agentúra“) za rozpočtový rok 2022 vo výške 197 759 722 EUR, čo predstavuje nárast o 10,91 % v porovnaní s rokom 2021; keďže rozpočet agentúry pochádza najmä z rozpočtu Únie;</w:t>
      </w:r>
    </w:p>
    <w:p w:rsidR="00F47D83" w:rsidRPr="00656D4D" w:rsidRDefault="00656D4D">
      <w:pPr>
        <w:pStyle w:val="Normal12Hanging"/>
        <w:widowControl/>
        <w:rPr>
          <w:szCs w:val="24"/>
        </w:rPr>
      </w:pPr>
      <w:r w:rsidRPr="00656D4D">
        <w:t>B.</w:t>
      </w:r>
      <w:r w:rsidRPr="00656D4D">
        <w:tab/>
        <w:t>keďže Dvor audítorov vo svojej správe o overení ročnej účtovnej závierky Agentúry Európskej únie pre spoluprácu v oblasti presadzovania práva (</w:t>
      </w:r>
      <w:proofErr w:type="spellStart"/>
      <w:r w:rsidRPr="00656D4D">
        <w:t>Europol</w:t>
      </w:r>
      <w:proofErr w:type="spellEnd"/>
      <w:r w:rsidRPr="00656D4D">
        <w:t>) za rozpočtový rok 2022 (ďalej len „správa Dvora audítorov“) uvádza, že získal primeranú istotu o tom, že účtovná závierka agentúry je spoľahlivá a že príslušné operácie sú zákonné a správne;</w:t>
      </w:r>
    </w:p>
    <w:p w:rsidR="00F47D83" w:rsidRPr="00656D4D" w:rsidRDefault="00656D4D">
      <w:pPr>
        <w:pStyle w:val="Normal12Hanging"/>
        <w:widowControl/>
        <w:rPr>
          <w:b/>
          <w:i/>
          <w:szCs w:val="24"/>
        </w:rPr>
      </w:pPr>
      <w:r w:rsidRPr="00656D4D">
        <w:rPr>
          <w:b/>
          <w:i/>
        </w:rPr>
        <w:t>Rozpočtové a finančné riadenie</w:t>
      </w:r>
    </w:p>
    <w:p w:rsidR="00F47D83" w:rsidRPr="00656D4D" w:rsidRDefault="00656D4D">
      <w:pPr>
        <w:pStyle w:val="NormalHanging12a"/>
      </w:pPr>
      <w:r w:rsidRPr="00656D4D">
        <w:t>1.</w:t>
      </w:r>
      <w:r w:rsidRPr="00656D4D">
        <w:tab/>
        <w:t>konštatuje, že výsledkom úsilia o monitorovanie rozpočtu bolo plnenie rozpočtu v roku 2022 na 96,62 % vo viazaných rozpočtových prostriedkoch, čo predstavuje pokles o 2,10 % v porovnaní s rokom 2021; poznamenáva, že miera plnenia platobných rozpočtových prostriedkov v bežnom roku bola 79,73 %, čo v porovnaní s rokom 2021 predstavuje zníženie o 3,78 %; oceňuje úsilie agentúry o ďalšie zníženie oneskorenia platieb z 32,8 % v roku 2020 a 7,8 % v roku 2021 na 7,2 % v roku 2022;</w:t>
      </w:r>
      <w:r w:rsidRPr="00656D4D">
        <w:rPr>
          <w:b/>
          <w:i/>
        </w:rPr>
        <w:t xml:space="preserve"> </w:t>
      </w:r>
      <w:r w:rsidRPr="00656D4D">
        <w:t>so znepokojením však konštatuje, že pripomienka Dvora audítorov, v ktorej sa zdôrazňuje, že agentúra čelí výzvam týkajúcim sa oneskorených platieb, stále platí; rovnako zastáva názor Dvora audítorov, že tento opakujúci sa nedostatok vystavuje agentúru riziku poškodenia dobrej povesti;</w:t>
      </w:r>
    </w:p>
    <w:p w:rsidR="00F47D83" w:rsidRPr="00656D4D" w:rsidRDefault="00656D4D">
      <w:pPr>
        <w:pStyle w:val="Normal12Hanging"/>
        <w:widowControl/>
        <w:rPr>
          <w:szCs w:val="24"/>
        </w:rPr>
      </w:pPr>
      <w:r w:rsidRPr="00656D4D">
        <w:t>2.</w:t>
      </w:r>
      <w:r w:rsidRPr="00656D4D">
        <w:tab/>
        <w:t xml:space="preserve">konštatuje nízku mieru čerpania (85 %) finančných prostriedkov (C8) prenesených z roku 2021 do roku 2022, čo vedie k nevyužitiu rozpočtových prostriedkov vo výške 3,8 milióna EUR; so znepokojením konštatuje, že rozpočtové prostriedky súvisiace so súčasným rozpočtom prenesené z roku 2022 do roku 2023 sú relatívne vysoké na úrovni 17 % alebo 32,5 milióna EUR; v posledných rokoch (2020 až 2022) zaznamenáva rastúci trend, pokiaľ ide o prebytok agentúry (rozpočtový výsledok) na konci rozpočtového roka, pričom v roku 2022 tento prebytok predstavoval 10,3 milióna EUR, čo je viac ako dvojnásobok rovnakej hodnoty v roku 2021 (5,1 milióna EUR); berie na </w:t>
      </w:r>
      <w:r w:rsidRPr="00656D4D">
        <w:lastRenderedPageBreak/>
        <w:t>vedomie, že z konsolidovanej výročnej správy o činnosti agentúry za rok 2022 a zo správy agentúry v nadväznosti na rozhodnutie Európskeho parlamentu o absolutóriu za plnenie rozpočtu agentúry za rok 2021 vyplýva, že agentúra posúdila hlavné príčiny vysokého prebytku na konci rozpočtového roka a prenesených výsledkov plnenia rozpočtu; v tomto zmysle poznamenáva, že agentúra pripravila aj akčný plán; vyzýva agentúru, aby informovala orgán udeľujúci absolutórium o pokroku dosiahnutom v tejto veci;</w:t>
      </w:r>
    </w:p>
    <w:p w:rsidR="00F47D83" w:rsidRPr="00656D4D" w:rsidRDefault="00656D4D">
      <w:pPr>
        <w:pStyle w:val="Normal12Hanging"/>
        <w:widowControl/>
        <w:rPr>
          <w:szCs w:val="24"/>
        </w:rPr>
      </w:pPr>
      <w:r w:rsidRPr="00656D4D">
        <w:t>3.</w:t>
      </w:r>
      <w:r w:rsidRPr="00656D4D">
        <w:tab/>
        <w:t>konštatuje, že konečný rozpočet agentúry na rok 2022 je výsledkom prvého pozmeňujúceho návrhu vo výške 4,3 milióna EUR na príspevok Dánska na rok 2022 a druhého pozmeňujúceho návrhu vo výške 1,1 milióna EUR na dohody o príspevku a dohody o úrovni poskytovaných služieb;</w:t>
      </w:r>
    </w:p>
    <w:p w:rsidR="00F47D83" w:rsidRPr="00656D4D" w:rsidRDefault="00656D4D">
      <w:pPr>
        <w:pStyle w:val="Normal12Hanging"/>
        <w:widowControl/>
        <w:rPr>
          <w:b/>
          <w:i/>
          <w:szCs w:val="24"/>
        </w:rPr>
      </w:pPr>
      <w:r w:rsidRPr="00656D4D">
        <w:rPr>
          <w:b/>
          <w:i/>
        </w:rPr>
        <w:t>Výkonnosť</w:t>
      </w:r>
    </w:p>
    <w:p w:rsidR="00F47D83" w:rsidRPr="00656D4D" w:rsidRDefault="00656D4D">
      <w:pPr>
        <w:pStyle w:val="Normal12Hanging"/>
        <w:widowControl/>
        <w:rPr>
          <w:szCs w:val="24"/>
        </w:rPr>
      </w:pPr>
      <w:r w:rsidRPr="00656D4D">
        <w:t>4.</w:t>
      </w:r>
      <w:r w:rsidRPr="00656D4D">
        <w:tab/>
        <w:t>s uspokojením konštatuje, že agentúra na základe konsolidovanej výročnej správy o činnosti agentúry použila kľúčové ukazovatele výkonnosti a pracovného programu na posúdenie pridanej hodnoty, ktorú jej činnosti prinášajú, a ďalšie opatrenia na zlepšenie svojho rozpočtového hospodárenia v roku 2022; konštatuje, že agentúra monitorovala 15 kľúčových ukazovateľov výkonnosti a 56 ukazovateľov pracovného programu; konštatuje, že 10 kľúčových ukazovateľov výkonnosti a 40 ukazovateľov pracovného programu dosiahlo alebo prekročilo stanovené ciele; v tejto súvislosti oceňuje nárast niektorých kľúčových ukazovateľov výkonnosti v porovnaní s predchádzajúcimi rokmi v súvislosti s počtom operácií (2 758) a počtom akčných dní (394), ktoré agentúra podporila, ako aj počtom vyhľadávaní vykonaných v systémoch EIS a QUEST (13 miliónov) a počtom kontrol cezhraničnej trestnej činnosti v systéme EIS týkajúcich sa osôb (2 339);</w:t>
      </w:r>
    </w:p>
    <w:p w:rsidR="00F47D83" w:rsidRPr="00656D4D" w:rsidRDefault="00656D4D">
      <w:pPr>
        <w:pStyle w:val="Normal12Hanging"/>
        <w:widowControl/>
        <w:rPr>
          <w:szCs w:val="24"/>
        </w:rPr>
      </w:pPr>
      <w:r w:rsidRPr="00656D4D">
        <w:t>5.</w:t>
      </w:r>
      <w:r w:rsidRPr="00656D4D">
        <w:tab/>
        <w:t xml:space="preserve">vyjadruje agentúre uznanie za rozsiahle úspechy, ktoré dosiahla pri plnení svojich piatich viacročných strategických priorít stanovených v stratégii </w:t>
      </w:r>
      <w:proofErr w:type="spellStart"/>
      <w:r w:rsidRPr="00656D4D">
        <w:t>Europolu</w:t>
      </w:r>
      <w:proofErr w:type="spellEnd"/>
      <w:r w:rsidRPr="00656D4D">
        <w:t xml:space="preserve"> 2020+; berie na vedomie najmä zriadenie oddelenia pre riadenie informácií, vypracovanie stratégie IKT, ktorá by mala pomôcť pri vykonávaní stratégie agentúry v oblasti riadenia informácií, a zavedenie nového modelu obchodnej hodnoty na monitorovanie pokroku v oblasti IKT; konštatuje, že inovačné laboratórium </w:t>
      </w:r>
      <w:proofErr w:type="spellStart"/>
      <w:r w:rsidRPr="00656D4D">
        <w:t>Europolu</w:t>
      </w:r>
      <w:proofErr w:type="spellEnd"/>
      <w:r w:rsidRPr="00656D4D">
        <w:t xml:space="preserve"> sa stalo súčasťou oddelenia pre riadenie informácií v štruktúre, od ktorej sa očakáva, že povedie k užšej spolupráci, ktorá je potrebná pri vykonávaní revidovaného nariadenia o </w:t>
      </w:r>
      <w:proofErr w:type="spellStart"/>
      <w:r w:rsidRPr="00656D4D">
        <w:t>Europole</w:t>
      </w:r>
      <w:proofErr w:type="spellEnd"/>
      <w:r w:rsidRPr="00656D4D">
        <w:t xml:space="preserve">, a spustilo archív nástrojov </w:t>
      </w:r>
      <w:proofErr w:type="spellStart"/>
      <w:r w:rsidRPr="00656D4D">
        <w:t>Europolu</w:t>
      </w:r>
      <w:proofErr w:type="spellEnd"/>
      <w:r w:rsidRPr="00656D4D">
        <w:t xml:space="preserve"> na podporu výskumu a inovácií v členských štátoch, podporu výmeny skúseností a presadzovanie synergií; ďalej berie na vedomie zriadenie oddelenia digitálnej podpory, ktorého cieľom je účinne a efektívne reagovať na potreby členských štátov a agentúry v oblasti vyšetrovania, najmä pokiaľ ide o zložité prípady, ktoré si vyžadujú digitálnu </w:t>
      </w:r>
      <w:proofErr w:type="spellStart"/>
      <w:r w:rsidRPr="00656D4D">
        <w:t>forenznú</w:t>
      </w:r>
      <w:proofErr w:type="spellEnd"/>
      <w:r w:rsidRPr="00656D4D">
        <w:t xml:space="preserve"> podporu;</w:t>
      </w:r>
    </w:p>
    <w:p w:rsidR="00F47D83" w:rsidRPr="00656D4D" w:rsidRDefault="00656D4D">
      <w:pPr>
        <w:pStyle w:val="Normal12Hanging"/>
        <w:widowControl/>
      </w:pPr>
      <w:r w:rsidRPr="00656D4D">
        <w:t>6.</w:t>
      </w:r>
      <w:r w:rsidRPr="00656D4D">
        <w:tab/>
        <w:t xml:space="preserve">oceňuje pohotovú reakciu agentúry a jej podporu členským štátom v boji proti trestnej činnosti po nezákonnej a nevyprovokovanej ruskej invázii na Ukrajinu, napríklad nasadením expertov a prizvaných príslušníkov na podporu miestnych orgánov presadzovania práva v krajinách susediacich s Ukrajinou alebo podporou finančných vyšetrovaní zameraných na majetok pochádzajúci z trestnej činnosti, ktorý vlastnia fyzické a právnické osoby sankcionované v súvislosti s touto vojnou; okrem toho konštatuje, že v roku 2022 agentúra vydala niekoľko hodnotení hrozieb týkajúcich sa možných dôsledkov vojny, ako aj včasné varovanie a spravodajské oznámenia týkajúce sa napr. obchodovania so zbraňami a obchodovania s ľuďmi; ďalej nabáda agentúru, </w:t>
      </w:r>
      <w:r w:rsidRPr="00656D4D">
        <w:lastRenderedPageBreak/>
        <w:t>aby urobila všetko pre podporu činností Únie a členských štátov v tejto oblasti; konštatuje, že nezákonná vojenská invázia spôsobila humanitárnu krízu a podnietila útek veľkého počtu utečencov z Ukrajiny do Únie, čo znamená, že oportunistické zločinecké siete môžu túto situáciu využiť na pokračovanie svojej trestnej činnosti; ďalej konštatuje, že rozšírenie právomocí agentúry, pokiaľ ide o podporu členských štátov a spoluprácu so súkromnými subjektmi, tretími krajinami a medzinárodnými organizáciami, by si vyžadovalo vytvorenie dodatočných vnútorných a vonkajších mechanizmov dohľadu s cieľom zaručiť dodržiavanie práva Únie a zabezpečiť ochranu základných práv;</w:t>
      </w:r>
    </w:p>
    <w:p w:rsidR="00F47D83" w:rsidRPr="00656D4D" w:rsidRDefault="00656D4D">
      <w:pPr>
        <w:pStyle w:val="Normal12Hanging"/>
        <w:widowControl/>
      </w:pPr>
      <w:r w:rsidRPr="00656D4D">
        <w:t>7.</w:t>
      </w:r>
      <w:r w:rsidRPr="00656D4D">
        <w:tab/>
        <w:t xml:space="preserve">berie na vedomie, že agentúra pokračuje v úzkej spolupráci s agentúrou </w:t>
      </w:r>
      <w:proofErr w:type="spellStart"/>
      <w:r w:rsidRPr="00656D4D">
        <w:t>eu</w:t>
      </w:r>
      <w:proofErr w:type="spellEnd"/>
      <w:r w:rsidRPr="00656D4D">
        <w:t xml:space="preserve">-LISA na zavedení automatizovaných kontrol údajov týkajúcich sa žiadostí o cesty z Európskeho systému pre cestovné informácie a povolenia (ETIAS) na základe údajov </w:t>
      </w:r>
      <w:proofErr w:type="spellStart"/>
      <w:r w:rsidRPr="00656D4D">
        <w:t>Europolu</w:t>
      </w:r>
      <w:proofErr w:type="spellEnd"/>
      <w:r w:rsidRPr="00656D4D">
        <w:t>; konštatuje, že uvedenie systému ETIAS do prevádzky bolo rozhodnutím Rady odložené na november 2023; oceňuje, že agentúra rozšírila svoju spoluprácu s Európskou prokuratúrou (EPPO) v roku 2022, pričom do konca roka podporila 21 hlavných operácií Európskej prokuratúry v oblasti daňových podvodov;</w:t>
      </w:r>
    </w:p>
    <w:p w:rsidR="00F47D83" w:rsidRPr="00656D4D" w:rsidRDefault="00656D4D">
      <w:pPr>
        <w:pStyle w:val="NormalHanging12a"/>
        <w:widowControl/>
        <w:rPr>
          <w:b/>
          <w:i/>
          <w:szCs w:val="24"/>
        </w:rPr>
      </w:pPr>
      <w:r w:rsidRPr="00656D4D">
        <w:rPr>
          <w:b/>
          <w:i/>
        </w:rPr>
        <w:t>Efektívnosť a prínosy</w:t>
      </w:r>
    </w:p>
    <w:p w:rsidR="00F47D83" w:rsidRPr="00656D4D" w:rsidRDefault="00656D4D">
      <w:pPr>
        <w:pStyle w:val="Normal12Hanging"/>
        <w:widowControl/>
      </w:pPr>
      <w:r w:rsidRPr="00656D4D">
        <w:t>8.</w:t>
      </w:r>
      <w:r w:rsidRPr="00656D4D">
        <w:tab/>
        <w:t xml:space="preserve">s uznaním berie na vedomie, že agentúra zrevidovala svoju stratégiu </w:t>
      </w:r>
      <w:proofErr w:type="spellStart"/>
      <w:r w:rsidRPr="00656D4D">
        <w:t>Europol</w:t>
      </w:r>
      <w:proofErr w:type="spellEnd"/>
      <w:r w:rsidRPr="00656D4D">
        <w:t xml:space="preserve"> 2020+ a prispôsobila svoje strategické priority súčasným operačným potrebám členských štátov a bezpečnostným hrozbám, ktorým čelia, čím sa snaží zlepšiť výkonnosť agentúry; v tomto zmysle berie na vedomie novú strategickú prioritu, ktorou je spojenie príslušných partnerov pre cezhraničnú spoluprácu a spoločnú akciu vrátane krajín pridružených k </w:t>
      </w:r>
      <w:proofErr w:type="spellStart"/>
      <w:r w:rsidRPr="00656D4D">
        <w:t>Schengenu</w:t>
      </w:r>
      <w:proofErr w:type="spellEnd"/>
      <w:r w:rsidRPr="00656D4D">
        <w:t xml:space="preserve">, </w:t>
      </w:r>
      <w:proofErr w:type="spellStart"/>
      <w:r w:rsidRPr="00656D4D">
        <w:t>Interpolu</w:t>
      </w:r>
      <w:proofErr w:type="spellEnd"/>
      <w:r w:rsidRPr="00656D4D">
        <w:t xml:space="preserve"> a agentúr Únie v oblasti spravodlivosti a vnútorných vecí;</w:t>
      </w:r>
    </w:p>
    <w:p w:rsidR="00F47D83" w:rsidRPr="00656D4D" w:rsidRDefault="00656D4D">
      <w:pPr>
        <w:pStyle w:val="NormalHanging12a"/>
        <w:widowControl/>
        <w:rPr>
          <w:szCs w:val="24"/>
        </w:rPr>
      </w:pPr>
      <w:r w:rsidRPr="00656D4D">
        <w:t>9.</w:t>
      </w:r>
      <w:r w:rsidRPr="00656D4D">
        <w:tab/>
        <w:t>na základe odpovedí agentúry na písomné otázky Európskeho parlamentu s uznaním berie na vedomie rozšírené opatrenia a postupy agentúry na zvýšenie efektívnosti v oblasti hlavných obchodných riešení IKT (in-</w:t>
      </w:r>
      <w:proofErr w:type="spellStart"/>
      <w:r w:rsidRPr="00656D4D">
        <w:t>sourcing</w:t>
      </w:r>
      <w:proofErr w:type="spellEnd"/>
      <w:r w:rsidRPr="00656D4D">
        <w:t xml:space="preserve"> namiesto outsourcingu), digitalizácie služieb v oblasti ľudských zdrojov (elektronický nábor, elektronické školenia) a nástrojov na monitorovanie plnenia rozpočtu, miery voľných pracovných miest, zmluvných stropov v postupoch verejného obstarávania a environmentálnych ukazovateľov a ďalších; vyjadruje agentúre uznanie za zavedenie nástroja na riadenie verejného obstarávania, ako aj za spoločné využívanie postupov verejného obstarávania s ostatnými agentúrami;</w:t>
      </w:r>
    </w:p>
    <w:p w:rsidR="00F47D83" w:rsidRPr="00656D4D" w:rsidRDefault="00656D4D">
      <w:pPr>
        <w:pStyle w:val="NormalHanging12a"/>
        <w:widowControl/>
        <w:rPr>
          <w:szCs w:val="24"/>
        </w:rPr>
      </w:pPr>
      <w:r w:rsidRPr="00656D4D">
        <w:t>10.</w:t>
      </w:r>
      <w:r w:rsidRPr="00656D4D">
        <w:tab/>
        <w:t xml:space="preserve">konštatuje, že v dôsledku zmeny plánovania programu </w:t>
      </w:r>
      <w:proofErr w:type="spellStart"/>
      <w:r w:rsidRPr="00656D4D">
        <w:t>interoperability</w:t>
      </w:r>
      <w:proofErr w:type="spellEnd"/>
      <w:r w:rsidRPr="00656D4D">
        <w:t xml:space="preserve"> Únie bolo potrebné opätovne naplánovať vnútorné činnosti a zdroje agentúry, čo prinieslo potrebu ďalších zamestnancov; v tejto súvislosti berie na vedomie dosiahnutú dohodu, podľa ktorej bude 25 zamestnancov Európskej agentúry pre pohraničnú a pobrežnú stráž od roku 2024 podporovať agentúru pri plnení jej povinností v oblasti programu </w:t>
      </w:r>
      <w:proofErr w:type="spellStart"/>
      <w:r w:rsidRPr="00656D4D">
        <w:t>interoperability</w:t>
      </w:r>
      <w:proofErr w:type="spellEnd"/>
      <w:r w:rsidRPr="00656D4D">
        <w:t xml:space="preserve">; ďalej upozorňuje na zaťaženie zdrojov agentúry v súvislosti s konzultačnými postupmi s európskym dozorným úradníkom pre ochranu údajov (EDPS), pričom 25 zamestnancov agentúry bolo pridelených na činnosti súvisiace s EDPS; vyjadruje agentúre uznanie za úzku spoluprácu s európskym dozorným úradníkom pre ochranu údajov a za to, že sa zaoberá jeho odporúčaniami týkajúcimi sa používania rôznych systémov, ako je napríklad EPRIS, ADEP, SIS, PERCI a QUEST+; berie na vedomie pripomienku agentúry týkajúcu sa oneskoreného zavedenia PERCI (platforma Únie pre nezákonný obsah online) v dôsledku vplyvu stanovísk a následných </w:t>
      </w:r>
      <w:r w:rsidRPr="00656D4D">
        <w:lastRenderedPageBreak/>
        <w:t>odporúčaní EDPS na vývoj kľúčového operačného významu; oceňuje, že agentúra vymenovala svojho úradníka pre základné práva, ktorý bude podporovať agentúru pri zabezpečovaní dodržiavania základných práv vo všetkých jej činnostiach a úlohách;</w:t>
      </w:r>
    </w:p>
    <w:p w:rsidR="00F47D83" w:rsidRPr="00656D4D" w:rsidRDefault="00656D4D">
      <w:pPr>
        <w:pStyle w:val="NormalHanging12a"/>
      </w:pPr>
      <w:r w:rsidRPr="00656D4D">
        <w:t>11.</w:t>
      </w:r>
      <w:r w:rsidRPr="00656D4D">
        <w:tab/>
        <w:t>vyjadruje agentúre uznanie za to, že v roku 2022 získala registráciu v rámci schémy pre environmentálne manažérstvo a audit (EMAS); ďalej chváli agentúru za používanie ekologických kritérií verejného obstarávania, ako aj za začlenenie environmentálnej politiky a cieľov agentúry do jej postupov verejného obstarávania; konštatuje, že agentúra iniciovala projekt štúdie uskutočniteľnosti na vypracovanie environmentálnej vízie agentúry do roku 2030 s cieľom definovať ciele zníženia emisií skleníkových plynov agentúry a opatrenia na zlepšenie potrebné na dosiahnutie týchto cieľov; vyzýva agentúru, aby orgán udeľujúci absolutórium informovala o výsledkoch tejto štúdie;</w:t>
      </w:r>
      <w:r w:rsidRPr="00656D4D">
        <w:rPr>
          <w:b/>
          <w:i/>
        </w:rPr>
        <w:t xml:space="preserve"> </w:t>
      </w:r>
      <w:r w:rsidRPr="00656D4D">
        <w:t>vyzýva agentúru, aby tiež zvážila zavedenie prechodných udržateľných a energeticky účinných riešení pre svoju infraštruktúru aj vnútorné procesy, ako je zvýšené využívanie digitálnych nástrojov a správa dokumentov;</w:t>
      </w:r>
    </w:p>
    <w:p w:rsidR="00F47D83" w:rsidRPr="00656D4D" w:rsidRDefault="00656D4D">
      <w:pPr>
        <w:pStyle w:val="Normal12Hanging"/>
        <w:widowControl/>
        <w:rPr>
          <w:b/>
          <w:i/>
          <w:szCs w:val="24"/>
        </w:rPr>
      </w:pPr>
      <w:r w:rsidRPr="00656D4D">
        <w:rPr>
          <w:b/>
          <w:i/>
        </w:rPr>
        <w:t>Personálna politika</w:t>
      </w:r>
    </w:p>
    <w:p w:rsidR="00F47D83" w:rsidRPr="00656D4D" w:rsidRDefault="00656D4D">
      <w:pPr>
        <w:pStyle w:val="Normal12Hanging"/>
        <w:widowControl/>
        <w:rPr>
          <w:szCs w:val="24"/>
        </w:rPr>
      </w:pPr>
      <w:r w:rsidRPr="00656D4D">
        <w:t>12.</w:t>
      </w:r>
      <w:r w:rsidRPr="00656D4D">
        <w:tab/>
        <w:t>konštatuje, že k 31. decembru 2022 bol plán pracovných miest splnený na 99,41 %, pričom zo 686 dočasných zamestnancov povolených v rámci rozpočtu Únie bolo vymenovaných 682 dočasných zamestnancov (615 v roku 2021); konštatuje, že okrem toho v roku 2022 pracovalo pre agentúru 236 zmluvných zamestnancov (z toho 19 financovaných z grantov/dohôd) a 55 vyslaných národných expertov, pričom 235 a 71 bolo schválených z rozpočtu Únie; tiež konštatuje, že 11 dodatočných pracovných miest dočasných zamestnancov, mimo plánu pracovných miest na rok 2022, bolo pridelených na obmedzené obdobie, aby sa počet neobsadených pracovných miest znížil na minimum; poukazuje na to, že agentúra rozlišuje medzi piatimi kategóriami vyslaných národných expertov, pričom štyri kategórie nepredstavujú žiadne alebo len obmedzené náklady pre rozpočet agentúry a v rámci nich bolo zamestnaných ďalších 152 osôb, takže v roku 2022 mala agentúra celkovo 207 vyslaných národných expertov; oceňuje nízku mieru voľných pracovných miest, ktorú agentúra dosiahla v roku 2022 na úrovni 0,6 %, čo je výrazne pod ročným cieľom maximálnej miery voľných pracovných miest 2 %; ďalej konštatuje zvýšenie miery fluktuácie agentúry zo 6,9 % v roku 2021 na 9,12 % v roku 2022;</w:t>
      </w:r>
    </w:p>
    <w:p w:rsidR="00F47D83" w:rsidRPr="00656D4D" w:rsidRDefault="00656D4D">
      <w:pPr>
        <w:pStyle w:val="NormalHanging12a"/>
      </w:pPr>
      <w:r w:rsidRPr="00656D4D">
        <w:t>13.</w:t>
      </w:r>
      <w:r w:rsidRPr="00656D4D">
        <w:tab/>
        <w:t>zdôrazňuje, že vzhľadom na ruskú inváziu na Ukrajinu v roku 2022 agentúra nasadila operačné tímy zložené z vyslaných národných expertov (VNE) bez nákladov vo viacerých členských štátoch, ako je Litva, Slovensko, Maďarsko, Rumunsko alebo Bulharsko, ako aj v partnerských krajinách, ako je Moldavsko, čím zvýšila využívanie VNE bez nákladov; poukazuje na to, že príjem VNE bez nákladov závisí od vnútroštátnych rozhodnutí a že viaceré členské štáty sa rozhodli nepokračovať v takýchto situáciách vo vyplácaní miezd, v dôsledku čoho sú títo experti závislí od súm, ktoré dostávajú vo forme diét; pripomína, že zatiaľ čo diéty by sa mali upraviť o korekčný koeficient a mali by kompenzovať vyššie životné náklady pomocou údajov o inflácii každé tri roky, tieto sadzby sa v posledných šiestich rokoch nezmenili; vyzýva agentúru, aby nadviazala vecný dialóg s Komisiou a príslušnými vnútroštátnymi orgánmi s cieľom zabezpečiť spravodlivú kompenzáciu pre všetkých expertov zamestnaných agentúrou;</w:t>
      </w:r>
    </w:p>
    <w:p w:rsidR="00F47D83" w:rsidRPr="00656D4D" w:rsidRDefault="00656D4D">
      <w:pPr>
        <w:pStyle w:val="NormalHanging12a"/>
      </w:pPr>
      <w:r w:rsidRPr="00656D4D">
        <w:t>14.</w:t>
      </w:r>
      <w:r w:rsidRPr="00656D4D">
        <w:tab/>
        <w:t xml:space="preserve">so znepokojením berie na vedomie rodové rozdelenie agentúry za rok 2022, pričom vo vyššom a strednom manažmente zastávajú 82 % funkcií muži (28 mužov a 6 žien), </w:t>
      </w:r>
      <w:r w:rsidRPr="00656D4D">
        <w:lastRenderedPageBreak/>
        <w:t xml:space="preserve">správnu radu tvoria na 75 % muži (38 mužov a 13 žien) a celkovo 65 % zamestnancov sú muži (556 mužov a 295 žien); uznáva, že podiel žien (35 %) zamestnaných v agentúre v roku 2022 je vyšší ako priemerný (na základe štatistík </w:t>
      </w:r>
      <w:proofErr w:type="spellStart"/>
      <w:r w:rsidRPr="00656D4D">
        <w:t>Eurostatu</w:t>
      </w:r>
      <w:proofErr w:type="spellEnd"/>
      <w:r w:rsidRPr="00656D4D">
        <w:t xml:space="preserve"> za rok 2021) podiel žien (21,6 %) zamestnaných v oblasti presadzovania práva v Únii (policajtky, sudkyne z povolania a väzenský personál); pripomína, že je dôležité zabezpečiť rodovú rovnováhu, a vyzýva agentúru, aby tento aspekt zohľadnila pri budúcom prijímaní zamestnancov a menovaní do vyššieho a stredného manažmentu; žiada Komisiu a členské štáty, aby zohľadnili význam zabezpečenia rodovej rovnováhy pri predkladaní svojich nominácií na členov správnej rady agentúry;</w:t>
      </w:r>
    </w:p>
    <w:p w:rsidR="00F47D83" w:rsidRPr="00656D4D" w:rsidRDefault="00656D4D">
      <w:pPr>
        <w:pStyle w:val="NormalHanging12a"/>
      </w:pPr>
      <w:r w:rsidRPr="00656D4D">
        <w:t>15.</w:t>
      </w:r>
      <w:r w:rsidRPr="00656D4D">
        <w:tab/>
        <w:t>poznamenáva, že v roku 2022 boli lekárskou službou agentúry nahlásené tri nové prípady vyhorenia; ďalej poznamenáva, že agentúra zaviedla opatrenia na zlepšenie životnej pohody svojich zamestnancov, ako napríklad poradenstvo v oblasti zdravia pri práci a životného štýlu, zdravotný rozvrh práce na čiastočný úväzok, odporúčanie na lekárskych špecialistov a poradenstvo pre manažment, ktorý podporuje zamestnancov; berie na vedomie, že správna rada analogicky k agentúre súhlasila s uplatňovaním rozhodnutia Komisie C (2022) o pracovnom čase a hybridnej práci, ktorým sa nahrádzajú predchádzajúce vykonávacie ustanovenia o pracovnom čase a práci na diaľku s cieľom vytvoriť rámec, v ktorom sa práca v kancelárii a práca na diaľku považujú za rovnocenné spôsoby práce; vyzýva agentúru, aby naďalej hľadala riešenia na zníženie počtu prípadov vyhorenia a podala orgánu udeľujúcemu absolutórium správu o dosiahnutom pokroku;</w:t>
      </w:r>
    </w:p>
    <w:p w:rsidR="00F47D83" w:rsidRPr="00656D4D" w:rsidRDefault="00656D4D">
      <w:pPr>
        <w:pStyle w:val="NormalHanging12a"/>
      </w:pPr>
      <w:r w:rsidRPr="00656D4D">
        <w:t>16.</w:t>
      </w:r>
      <w:r w:rsidRPr="00656D4D">
        <w:tab/>
        <w:t>z odpovedí agentúry na písomné otázky Európskeho parlamentu vyplýva, že hoci agentúra neimplementovala Chartu rozmanitosti a začlenenia, zaviedla vlastnú stratégiu rozmanitosti a začlenenia; ďalej konštatuje, že v roku 2022 agentúra revidovala a prijala príručku postupov na vykonávanie rozhodnutia správnej rady o politike ochrany dôstojnosti osoby a predchádzania psychickému a sexuálnemu obťažovaniu; konštatuje, že v období rokov 2017 – 2022 agentúra požiadala o externé právne poradenstvo v dvoch prípadoch údajného obťažovania; konštatuje, že v roku 2022 neboli podané na súd žiadne prípady obťažovania týkajúce sa zamestnancov agentúry;</w:t>
      </w:r>
      <w:r w:rsidRPr="00656D4D">
        <w:rPr>
          <w:b/>
          <w:i/>
        </w:rPr>
        <w:t xml:space="preserve"> </w:t>
      </w:r>
      <w:r w:rsidRPr="00656D4D">
        <w:t>zdôrazňuje, že je dôležité zaviesť spoľahlivé rámce proti obťažovaniu, najmä vo veľmi stresovom a náročnom pracovnom prostredí; vyzýva agentúru, aby zaviedla systém odbornej prípravy v tejto oblasti pre nových aj súčasných zamestnancov;</w:t>
      </w:r>
    </w:p>
    <w:p w:rsidR="00F47D83" w:rsidRPr="00656D4D" w:rsidRDefault="00656D4D">
      <w:pPr>
        <w:pStyle w:val="NormalHanging12a"/>
        <w:widowControl/>
        <w:rPr>
          <w:b/>
          <w:i/>
          <w:szCs w:val="24"/>
        </w:rPr>
      </w:pPr>
      <w:r w:rsidRPr="00656D4D">
        <w:rPr>
          <w:b/>
          <w:i/>
        </w:rPr>
        <w:t>Verejné obstarávanie</w:t>
      </w:r>
    </w:p>
    <w:p w:rsidR="00F47D83" w:rsidRPr="00656D4D" w:rsidRDefault="00656D4D">
      <w:pPr>
        <w:pStyle w:val="NormalHanging12a"/>
        <w:widowControl/>
        <w:rPr>
          <w:szCs w:val="24"/>
        </w:rPr>
      </w:pPr>
      <w:r w:rsidRPr="00656D4D">
        <w:t>17.</w:t>
      </w:r>
      <w:r w:rsidRPr="00656D4D">
        <w:tab/>
        <w:t xml:space="preserve">berie na vedomie pripomienku zo správy Dvora audítorov, že v roku 2022 agentúra vyplatila grant vo výške 3,3 milióna EUR na financovanie činností národného policajného zboru v členskom štáte, vrátane 1,4 milióna EUR ako úhrady za nákup piatich lodí a 7 % rezervy na súvisiace režijné náklady vrátane DPH; berie na vedomie posúdenie Dvora audítorov, že v prípade obstarania lodí na policajné školenia nemala byť DPH vzhľadom na článok 186 ods. 4 písm. c) nariadenia o rozpočtových pravidlách vrátená, pretože príjemcom je orgán verejnej moci, ktorý sa riadi verejným právom a vykonáva činnosti ako orgán verejnej moci, a preto sa táto časť grantu vo výške 0,2 milióna EUR považuje za neoprávnenú; z odpovede agentúry potvrdzuje, že so zreteľom na článok 5 rozhodnutia Rady 2008/617/SVV o zlepšení spolupráce medzi osobitnými zásahovými jednotkami členských štátov Únie, v ktorom sa stanovuje, že osobitné zásahové jednotky zabezpečujú spoločné cvičenia, pričom operačný grant sa týkal činností osobitných zásahových jednotiek koordinovaných jedným členským štátom, agentúra usúdila, že podľa článku 186 ods. 4 písm. c) nariadenia o rozpočtových </w:t>
      </w:r>
      <w:r w:rsidRPr="00656D4D">
        <w:lastRenderedPageBreak/>
        <w:t>pravidlách a príslušných osobitných vykonávacích pokynov Komisie o správe grantov bola DPH oprávneným nákladom, ak nie je možné ju získať späť podľa platných vnútroštátnych právnych predpisov a ak sa týka odbornej prípravy, zvyšovania informovanosti alebo podobných činností v oblasti bezpečnosti, s výnimkou DPH, ktorú platia členské štáty, keď konajú ako orgány verejnej moci v rámci svojej zvrchovanej právomoci, najmä ak súkromné spoločnosti nemôžu poskytovať súvisiace služby; napokon berie na vedomie záväzok agentúry posúdiť oprávnenosť DPH pri operačných grantoch vzhľadom na pripomienky Dvora audítorov;</w:t>
      </w:r>
    </w:p>
    <w:p w:rsidR="00F47D83" w:rsidRPr="00656D4D" w:rsidRDefault="00656D4D">
      <w:pPr>
        <w:pStyle w:val="NormalHanging12a"/>
        <w:widowControl/>
        <w:rPr>
          <w:b/>
          <w:i/>
          <w:szCs w:val="24"/>
        </w:rPr>
      </w:pPr>
      <w:r w:rsidRPr="00656D4D">
        <w:rPr>
          <w:b/>
          <w:i/>
        </w:rPr>
        <w:t>Prevencia, riešenie konfliktov záujmov a transparentnosť</w:t>
      </w:r>
    </w:p>
    <w:p w:rsidR="00F47D83" w:rsidRPr="00656D4D" w:rsidRDefault="00656D4D">
      <w:pPr>
        <w:pStyle w:val="NormalHanging12a"/>
      </w:pPr>
      <w:r w:rsidRPr="00656D4D">
        <w:t>18.</w:t>
      </w:r>
      <w:r w:rsidRPr="00656D4D">
        <w:tab/>
        <w:t>berie na vedomie existujúce opatrenia a pokračujúce úsilie agentúry o zabezpečenie transparentnosti, prevencie a riešenia konfliktov záujmov a ochrany oznamovateľov protispoločenskej činnosti; s uspokojením konštatuje, že vyhlásenia o záujmoch a životopisy všetkých členov správnej rady a vyššieho manažmentu sú uverejnené na webovom sídle agentúry;</w:t>
      </w:r>
      <w:r w:rsidRPr="00656D4D">
        <w:rPr>
          <w:b/>
          <w:i/>
        </w:rPr>
        <w:t xml:space="preserve"> </w:t>
      </w:r>
      <w:r w:rsidRPr="00656D4D">
        <w:t>vyzýva agentúru, aby zvážila opatrenia aj na predchádzanie javu otáčavých dverí;</w:t>
      </w:r>
    </w:p>
    <w:p w:rsidR="00F47D83" w:rsidRPr="00656D4D" w:rsidRDefault="00656D4D">
      <w:pPr>
        <w:pStyle w:val="NormalHanging12a"/>
        <w:widowControl/>
        <w:rPr>
          <w:szCs w:val="24"/>
        </w:rPr>
      </w:pPr>
      <w:r w:rsidRPr="00656D4D">
        <w:t>19.</w:t>
      </w:r>
      <w:r w:rsidRPr="00656D4D">
        <w:tab/>
        <w:t>konštatuje, že v priebehu roka 2022 agentúra riešila šesť prípadov týkajúcich sa situácií konfliktu záujmov, z toho dva v súvislosti s úlohou poradcu vo výberovom konaní, jeden sa objavil počas náboru úspešného uchádzača pred nástupom do funkcie v agentúre a dva sa týkali zamestnancov po odchode zo služby; ďalej konštatuje, že v súvislosti s týmito situáciami boli prijaté primerané opatrenia vrátane podmienečných povolení na zamestnanie po skončení služby; berie na vedomie, že agentúra sa v roku 2022 zaoberala jedným prípadom oznamovania protispoločenskej činnosti, ktorý bol uzavretý bez ďalších opatrení v zmysle možného porušenia služobných povinností;</w:t>
      </w:r>
    </w:p>
    <w:p w:rsidR="00F47D83" w:rsidRPr="00656D4D" w:rsidRDefault="00656D4D">
      <w:pPr>
        <w:pStyle w:val="NormalHanging12a"/>
      </w:pPr>
      <w:r w:rsidRPr="00656D4D">
        <w:t>20.</w:t>
      </w:r>
      <w:r w:rsidRPr="00656D4D">
        <w:tab/>
        <w:t>vyjadruje znepokojenie nad správami médií o konfliktoch záujmov, ku ktorým dochádza medzi zamestnancami agentúry; konštatuje, že v decembri 2023 sa európsky ombudsman rozhodol začať vyšetrovanie s cieľom preskúmať, ako agentúra riešila presun dvoch bývalých zamestnancov na pozície súvisiace s bojom proti sexuálnemu zneužívaniu detí na internete; konštatuje, že prvý zamestnanec sa začiatkom roka 2022 pripojil k významnému technologickému zainteresovanému subjektu a druhý zamestnanec sa neskôr v tom istom roku pripojil k tomu istému zainteresovanému subjektu ako člen predstavenstva; berie na vedomie odpoveď agentúry a požaduje, aby sa obvinenia dôkladne vyšetrili a výsledky boli oznámené orgánu udeľujúcemu absolutórium;</w:t>
      </w:r>
    </w:p>
    <w:p w:rsidR="00F47D83" w:rsidRPr="00656D4D" w:rsidRDefault="00656D4D">
      <w:pPr>
        <w:pStyle w:val="NormalHanging12a"/>
        <w:widowControl/>
        <w:rPr>
          <w:szCs w:val="24"/>
        </w:rPr>
      </w:pPr>
      <w:r w:rsidRPr="00656D4D">
        <w:rPr>
          <w:b/>
          <w:i/>
        </w:rPr>
        <w:t>Vnútorná kontrola</w:t>
      </w:r>
    </w:p>
    <w:p w:rsidR="00F47D83" w:rsidRPr="00656D4D" w:rsidRDefault="00656D4D">
      <w:pPr>
        <w:pStyle w:val="Normal12Hanging"/>
        <w:widowControl/>
        <w:rPr>
          <w:szCs w:val="24"/>
        </w:rPr>
      </w:pPr>
      <w:r w:rsidRPr="00656D4D">
        <w:t>21.</w:t>
      </w:r>
      <w:r w:rsidRPr="00656D4D">
        <w:tab/>
        <w:t xml:space="preserve">berie na vedomie zistenie zo správy Dvora audítorov, že v období rokov 2020 až 2022 agentúra vyplácala denné diéty trom holandským štátnym príslušníkom zamestnaným ako vyslaní národní experti; konštatuje, že keďže agentúra sídli v Holandsku, traja vyslaní národní experti nemali podľa vnútorných pravidiel agentúry nárok na tieto príspevky; ďalej poznamenáva, že hoci v decembri 2022 agentúra zastavila vyplácanie denných diét trom vyslaným národným expertom, rozhodla sa nepožadovať vrátenie platieb, ktoré boli v tomto období vyplatené navyše; konštatuje, že celková suma spojená s týmito platbami bola 155 553 EUR, z čoho 90 605 EUR bolo zaplatených v roku 2022; je znepokojený nedostatkami v súvislosti s kontrolami ex </w:t>
      </w:r>
      <w:proofErr w:type="spellStart"/>
      <w:r w:rsidRPr="00656D4D">
        <w:t>ante</w:t>
      </w:r>
      <w:proofErr w:type="spellEnd"/>
      <w:r w:rsidRPr="00656D4D">
        <w:t xml:space="preserve">, ktoré agentúra vykonávala počas obdobia viac ako troch rokov; berie na vedomie odpoveď </w:t>
      </w:r>
      <w:r w:rsidRPr="00656D4D">
        <w:lastRenderedPageBreak/>
        <w:t xml:space="preserve">agentúry na pripomienku Dvora audítorov, že agentúra posilnila overovanie ex </w:t>
      </w:r>
      <w:proofErr w:type="spellStart"/>
      <w:r w:rsidRPr="00656D4D">
        <w:t>ante</w:t>
      </w:r>
      <w:proofErr w:type="spellEnd"/>
      <w:r w:rsidRPr="00656D4D">
        <w:t>, aby sa uistila o zákonnosti finančných nárokov zamestnancov pred ich vyplatením;</w:t>
      </w:r>
    </w:p>
    <w:p w:rsidR="00F47D83" w:rsidRPr="00656D4D" w:rsidRDefault="00656D4D">
      <w:pPr>
        <w:pStyle w:val="Normal12Hanging"/>
        <w:widowControl/>
        <w:rPr>
          <w:szCs w:val="24"/>
        </w:rPr>
      </w:pPr>
      <w:r w:rsidRPr="00656D4D">
        <w:t>22.</w:t>
      </w:r>
      <w:r w:rsidRPr="00656D4D">
        <w:tab/>
        <w:t>chváli agentúru za pokrok, ktorý dosiahla pri vykonávaní nerealizovaných audítorských odporúčaní, pričom v roku 2022 bolo vykonaných 89 % kritických alebo veľmi dôležitých odporúčaní; konštatuje, že na konci roka 2022 nebolo ešte realizovaných sedem veľmi dôležitých odporúčaní (určených na realizáciu a uplatniteľných), ktoré sa týkali správ z auditov vykonaných v rokoch 2018, 2019 a 2021; berie na vedomie, že útvar vnútorného auditu Komisie vydal strategický plán vnútorného auditu pre agentúru na obdobie rokov 2022 – 2024, ktorý zahŕňa tri témy vrátane auditu koordinácie a pracovných dohôd s GR HOME vykonaného v roku 2022, ktorého výsledky sa očakávajú v roku 2023;</w:t>
      </w:r>
    </w:p>
    <w:p w:rsidR="00F47D83" w:rsidRPr="00656D4D" w:rsidRDefault="00656D4D">
      <w:pPr>
        <w:pStyle w:val="Normal12Hanging"/>
        <w:widowControl/>
        <w:rPr>
          <w:szCs w:val="24"/>
        </w:rPr>
      </w:pPr>
      <w:r w:rsidRPr="00656D4D">
        <w:t>23.</w:t>
      </w:r>
      <w:r w:rsidRPr="00656D4D">
        <w:tab/>
        <w:t>berie na vedomie záver vlastného hodnotenia účinnosti systému vnútornej kontroly agentúry prostredníctvom kvantitatívnych meraní aj kvalitatívnych aspektov vrátane súboru 76 ukazovateľov vnútornej kontroly, že celkovo boli všetky zložky systému vnútornej kontroly prítomné a fungovali integrovaným spôsobom a v roku 2022 neboli zistené žiadne výrazné nedostatky vnútornej kontroly; konštatuje, že útvar vnútorného auditu agentúry dokončil preskúmanie rámca vnútornej kontroly agentúry na rok 2022, pričom dospel k záveru, že agentúra má zavedený spoľahlivý systém vnútornej kontroly;</w:t>
      </w:r>
    </w:p>
    <w:p w:rsidR="00F47D83" w:rsidRPr="00656D4D" w:rsidRDefault="00656D4D">
      <w:pPr>
        <w:pStyle w:val="Normal12Hanging"/>
        <w:widowControl/>
        <w:rPr>
          <w:szCs w:val="24"/>
        </w:rPr>
      </w:pPr>
      <w:r w:rsidRPr="00656D4D">
        <w:t>24.</w:t>
      </w:r>
      <w:r w:rsidRPr="00656D4D">
        <w:tab/>
        <w:t>berie na vedomie, že agentúra v roku 2022 vypracovala a vydala politiku riadenia rizík; ďalej konštatuje, že profil podnikových rizík agentúry v roku 2022 bol charakterizovaný okrem iného rastúcim mandátom a úlohami, zvyšujúcimi sa požiadavkami na úspešné dodanie kľúčových riešení IKT na spracúvanie osobných údajov, neustálou reakciou na zmiernenie vplyvu vojny na Ukrajine na bezpečnosť a presadzovanie práva a zvyšujúcimi sa činnosťami dohľadu a súvisiacimi kontrolami (vrátane ochrany údajov); vyjadruje agentúre uznanie za to, že v roku 2022 prijala revidovanú stratégiu boja proti podvodom na obdobie rokov 2022 – 2024, ktorá odráža zásady, hodnotenie rizika podvodov, ciele a opatrenia v oblasti boja proti podvodom a preskúmanie vykonávania opatrení stratégie boja proti podvodom na roky 2017 – 2020; konštatuje, že Európsky úrad pre boj proti podvodom ukončil vyšetrovanie (týkajúce sa nesprávnych výkazov nákladov na služobné cesty jedného zo zamestnancov agentúry), pričom príslušná správa bola vydaná v roku 2022; poznamenáva, že rozhodovanie agentúry v tejto veci je ešte v záverečnej fáze; vyzýva agentúru, aby informovala orgán udeľujúci absolutórium o následných opatreniach a konečnom rozhodnutí v tejto veci;</w:t>
      </w:r>
    </w:p>
    <w:p w:rsidR="00F47D83" w:rsidRPr="00656D4D" w:rsidRDefault="00656D4D">
      <w:pPr>
        <w:widowControl/>
        <w:spacing w:after="240"/>
        <w:ind w:left="567" w:hanging="567"/>
        <w:rPr>
          <w:b/>
          <w:i/>
          <w:szCs w:val="24"/>
        </w:rPr>
      </w:pPr>
      <w:r w:rsidRPr="00656D4D">
        <w:rPr>
          <w:b/>
          <w:i/>
        </w:rPr>
        <w:t>Ďalšie pripomienky</w:t>
      </w:r>
    </w:p>
    <w:p w:rsidR="00F47D83" w:rsidRPr="00656D4D" w:rsidRDefault="00656D4D">
      <w:pPr>
        <w:pStyle w:val="Normal12Hanging"/>
        <w:widowControl/>
        <w:rPr>
          <w:szCs w:val="24"/>
        </w:rPr>
      </w:pPr>
      <w:r w:rsidRPr="00656D4D">
        <w:t>25.</w:t>
      </w:r>
      <w:r w:rsidRPr="00656D4D">
        <w:tab/>
        <w:t>konštatuje, že agentúra pokračovala vo vykonávaní rôznych opatrení na zvýšenie svojej prítomnosti na verejnosti a online prostredníctvom spustenia série podcastov, konsolidácie svojho webového sídla, organizovania konferencií, vydávania správ (napríklad série „</w:t>
      </w:r>
      <w:proofErr w:type="spellStart"/>
      <w:r w:rsidRPr="00656D4D">
        <w:t>Spotlight</w:t>
      </w:r>
      <w:proofErr w:type="spellEnd"/>
      <w:r w:rsidRPr="00656D4D">
        <w:t xml:space="preserve"> Report“ a prepracovanej správy „In </w:t>
      </w:r>
      <w:proofErr w:type="spellStart"/>
      <w:r w:rsidRPr="00656D4D">
        <w:t>Brief</w:t>
      </w:r>
      <w:proofErr w:type="spellEnd"/>
      <w:r w:rsidRPr="00656D4D">
        <w:t>“) a svojej prítomnosti v sociálnych médiách (v roku 2022 uverejnila viac ako 1 100 príspevkov); v tejto súvislosti konštatuje nárast zmienok v médiách s veľkým vplyvom a výrazný nárast metrík agentúry v sociálnych médiách v roku 2022 v porovnaní s rokom 2021;</w:t>
      </w:r>
    </w:p>
    <w:p w:rsidR="00F47D83" w:rsidRPr="00656D4D" w:rsidRDefault="00656D4D">
      <w:pPr>
        <w:pStyle w:val="NormalHanging12a"/>
      </w:pPr>
      <w:r w:rsidRPr="00656D4D">
        <w:t>26.</w:t>
      </w:r>
      <w:r w:rsidRPr="00656D4D">
        <w:tab/>
        <w:t xml:space="preserve">vyzýva agentúru, aby prijala opatrenia na zabezpečenie úplného súladu s pravidlami Únie v oblasti transparentnosti, ako aj so základnými právami, normami ochrany údajov a zodpovednosťou, a to aj pri spolupráci s inými agentúrami; domnieva sa, že na </w:t>
      </w:r>
      <w:r w:rsidRPr="00656D4D">
        <w:lastRenderedPageBreak/>
        <w:t>zabezpečenie väčšej transparentnosti je potrebné zverejňovať stretnutia a interakcie medzi agentúrou a tretími stranami; v tejto súvislosti víta vymenovanie úradníka agentúry pre základné práva;</w:t>
      </w:r>
    </w:p>
    <w:p w:rsidR="00F47D83" w:rsidRPr="00656D4D" w:rsidRDefault="00656D4D" w:rsidP="003A591E">
      <w:pPr>
        <w:pStyle w:val="NormalHanging12a"/>
      </w:pPr>
      <w:r w:rsidRPr="00656D4D">
        <w:t>27.</w:t>
      </w:r>
      <w:r w:rsidRPr="00656D4D">
        <w:tab/>
        <w:t xml:space="preserve">konštatuje, že 16. septembra 2022 požiadal európsky dozorný úradník pre ochranu údajov (EDPS) Súdny dvor Európskej únie o zrušenie dvoch ustanovení zmeneného nariadenia o </w:t>
      </w:r>
      <w:proofErr w:type="spellStart"/>
      <w:r w:rsidRPr="00656D4D">
        <w:t>Europole</w:t>
      </w:r>
      <w:proofErr w:type="spellEnd"/>
      <w:r w:rsidRPr="00656D4D">
        <w:t xml:space="preserve">, konkrétne článkov 74a a 74b, čo odôvodnil tým, že vážne narúšajú právnu istotu osobných údajov jednotlivcov a ohrozujú nezávislosť EDPS; berie na vedomie aj uznesenie Všeobecného súdu vo veci T-578/22 zo 6. septembra 2023, podľa ktorého sa žaloba európskeho dozorného úradníka pre ochranu údajov proti zmenenému nariadeniu o </w:t>
      </w:r>
      <w:proofErr w:type="spellStart"/>
      <w:r w:rsidRPr="00656D4D">
        <w:t>Europole</w:t>
      </w:r>
      <w:proofErr w:type="spellEnd"/>
      <w:r w:rsidRPr="00656D4D">
        <w:t xml:space="preserve"> považovala za neprípustnú, a pokiaľ ide o akékoľvek účinky napadnutých ustanovení na rozhodnutie európskeho dozorného úradníka pre ochranu údajov z 3. januára 2022, európsky dozorný úradník pre ochranu údajov sa na </w:t>
      </w:r>
      <w:proofErr w:type="spellStart"/>
      <w:r w:rsidRPr="00656D4D">
        <w:t>ne</w:t>
      </w:r>
      <w:proofErr w:type="spellEnd"/>
      <w:r w:rsidRPr="00656D4D">
        <w:t xml:space="preserve"> nemôže odvolávať na podporu svojej žaloby; pripomína, že EDPS sa odvolal vo veci T-578/22 a že je poverený dohľadom nad zákonnosťou spracúvania osobných údajov agentúrou podľa nariadenia (EÚ) 2016/794; víta úsilie agentúry o plnenie odporúčaní EDPS, najmä to, že všetkým príspevkom z obdobia pred nadobudnutím účinnosti zmeneného nariadenia o </w:t>
      </w:r>
      <w:proofErr w:type="spellStart"/>
      <w:r w:rsidRPr="00656D4D">
        <w:t>Europole</w:t>
      </w:r>
      <w:proofErr w:type="spellEnd"/>
      <w:r w:rsidRPr="00656D4D">
        <w:t xml:space="preserve"> bola medzičasom pridelená kategória dotknutých osôb;</w:t>
      </w:r>
    </w:p>
    <w:p w:rsidR="00F47D83" w:rsidRPr="00656D4D" w:rsidRDefault="00656D4D">
      <w:pPr>
        <w:widowControl/>
        <w:tabs>
          <w:tab w:val="left" w:pos="-720"/>
        </w:tabs>
        <w:spacing w:after="240"/>
        <w:ind w:left="567" w:hanging="567"/>
      </w:pPr>
      <w:r w:rsidRPr="00656D4D">
        <w:t>28.</w:t>
      </w:r>
      <w:r w:rsidRPr="00656D4D">
        <w:tab/>
        <w:t xml:space="preserve">pripomína zistenia z audítorskej správy EDPS o agentúre zo 16. decembra 2022, v ktorej sa kontrolovali osobitné kontroly súborov údajov o štátnych príslušníkoch tretích krajín, ktoré má agentúra k dispozícii; pripomína, že EDPS zistil, že všeobecný proces posudzovania informácií poskytovaných partnermi o maloletých osobách (vrátane maloletých mladších ako 15 rokov) je jasný a dobre rozvinutý; pripomína, že EDPS zistil viacero prípadov, keď priradenie rovnakej úrovne podozrenia (z hľadiska klasifikácie) údajom o maloletých osobách, ktoré sú zjavne zapojené do relatívne menej závažných priestupkov v širšom rámci organizovanej zločineckej skupiny, nemusí spĺňať prahovú hodnotu „prísnej proporcionality“; zdôrazňuje, že agentúra má povinnosť dodržiavať zásadu „prísnej proporcionality“ stanovenú v článku 30 ods. 1 nariadenia o </w:t>
      </w:r>
      <w:proofErr w:type="spellStart"/>
      <w:r w:rsidRPr="00656D4D">
        <w:t>Europole</w:t>
      </w:r>
      <w:proofErr w:type="spellEnd"/>
      <w:r w:rsidRPr="00656D4D">
        <w:t>;</w:t>
      </w:r>
    </w:p>
    <w:p w:rsidR="00F47D83" w:rsidRPr="00656D4D" w:rsidRDefault="00656D4D">
      <w:pPr>
        <w:pStyle w:val="NormalCenter12a"/>
      </w:pPr>
      <w:r w:rsidRPr="00656D4D">
        <w:t>°</w:t>
      </w:r>
    </w:p>
    <w:p w:rsidR="00F47D83" w:rsidRPr="00656D4D" w:rsidRDefault="00656D4D">
      <w:pPr>
        <w:pStyle w:val="NormalCenter12a"/>
      </w:pPr>
      <w:r w:rsidRPr="00656D4D">
        <w:t>°</w:t>
      </w:r>
      <w:r w:rsidRPr="00656D4D">
        <w:tab/>
        <w:t>°</w:t>
      </w:r>
    </w:p>
    <w:p w:rsidR="00F47D83" w:rsidRPr="00656D4D" w:rsidRDefault="00656D4D">
      <w:pPr>
        <w:pStyle w:val="NormalHanging12a"/>
      </w:pPr>
      <w:r w:rsidRPr="00656D4D">
        <w:t>29.</w:t>
      </w:r>
      <w:r w:rsidRPr="00656D4D">
        <w:tab/>
        <w:t>pokiaľ ide o ďalšie poznámky prierezovej povahy, ktoré sú súčasťou rozhodnutia o absolutóriu, odvoláva sa na svoje uznesenie z 11. apríla 2024</w:t>
      </w:r>
      <w:r w:rsidRPr="00656D4D">
        <w:rPr>
          <w:rStyle w:val="FootnoteReference"/>
        </w:rPr>
        <w:footnoteReference w:id="12"/>
      </w:r>
      <w:r w:rsidRPr="00656D4D">
        <w:t xml:space="preserve"> o výkonnosti, finančnom hospodárení a kontrole agentúr.</w:t>
      </w:r>
    </w:p>
    <w:p w:rsidR="00F47D83" w:rsidRPr="00656D4D" w:rsidRDefault="00F47D83"/>
    <w:p w:rsidR="00F47D83" w:rsidRPr="00656D4D" w:rsidRDefault="00F47D83">
      <w:bookmarkStart w:id="9" w:name="TextBodyEnd"/>
      <w:bookmarkEnd w:id="9"/>
    </w:p>
    <w:sectPr w:rsidR="00F47D83" w:rsidRPr="00656D4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D83" w:rsidRDefault="00656D4D">
      <w:r>
        <w:separator/>
      </w:r>
    </w:p>
  </w:endnote>
  <w:endnote w:type="continuationSeparator" w:id="0">
    <w:p w:rsidR="00F47D83" w:rsidRDefault="00656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656D4D">
    <w:pPr>
      <w:pStyle w:val="EPFooter"/>
    </w:pPr>
    <w:r>
      <w:t>PE</w:t>
    </w:r>
    <w:r>
      <w:rPr>
        <w:rStyle w:val="HideTWBExt"/>
      </w:rPr>
      <w:t>&lt;NoPE&gt;</w:t>
    </w:r>
    <w:r>
      <w:t>753.540</w:t>
    </w:r>
    <w:r>
      <w:rPr>
        <w:rStyle w:val="HideTWBExt"/>
      </w:rPr>
      <w:t>&lt;/NoPE&gt;&lt;Version&gt;</w:t>
    </w:r>
    <w:r>
      <w:t>v02-00</w:t>
    </w:r>
    <w:r>
      <w:rPr>
        <w:rStyle w:val="HideTWBExt"/>
      </w:rPr>
      <w:t>&lt;/Version&gt;</w:t>
    </w:r>
    <w:r>
      <w:tab/>
    </w:r>
    <w:r>
      <w:fldChar w:fldCharType="begin"/>
    </w:r>
    <w:r>
      <w:instrText xml:space="preserve"> PAGE  \* MERGEFORMAT </w:instrText>
    </w:r>
    <w:r>
      <w:fldChar w:fldCharType="separate"/>
    </w:r>
    <w:r>
      <w:rPr>
        <w:noProof/>
      </w:rPr>
      <w:t>4</w:t>
    </w:r>
    <w:r>
      <w:fldChar w:fldCharType="end"/>
    </w:r>
    <w:r>
      <w:t>/</w:t>
    </w:r>
    <w:r w:rsidR="00EF01B7">
      <w:fldChar w:fldCharType="begin"/>
    </w:r>
    <w:r w:rsidR="00EF01B7">
      <w:instrText xml:space="preserve"> NUMPAGES  \* MERGEFORMAT </w:instrText>
    </w:r>
    <w:r w:rsidR="00EF01B7">
      <w:fldChar w:fldCharType="separate"/>
    </w:r>
    <w:r>
      <w:rPr>
        <w:noProof/>
      </w:rPr>
      <w:t>4</w:t>
    </w:r>
    <w:r w:rsidR="00EF01B7">
      <w:rPr>
        <w:noProof/>
      </w:rPr>
      <w:fldChar w:fldCharType="end"/>
    </w:r>
    <w:r>
      <w:tab/>
    </w:r>
    <w:r>
      <w:rPr>
        <w:rStyle w:val="HideTWBExt"/>
      </w:rPr>
      <w:t>&lt;PathFdR&gt;</w:t>
    </w:r>
    <w:r>
      <w:t>RR\1299015SK.docx</w:t>
    </w:r>
    <w:r>
      <w:rPr>
        <w:rStyle w:val="HideTWBExt"/>
      </w:rPr>
      <w:t>&lt;/PathFdR&gt;</w:t>
    </w:r>
  </w:p>
  <w:p w:rsidR="00F47D83" w:rsidRDefault="00656D4D">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656D4D">
    <w:pPr>
      <w:pStyle w:val="EPFooter"/>
    </w:pPr>
    <w:r>
      <w:rPr>
        <w:rStyle w:val="HideTWBExt"/>
      </w:rPr>
      <w:t>&lt;PathFdR&gt;</w:t>
    </w:r>
    <w:r>
      <w:t>RR\1299015SK.docx</w:t>
    </w:r>
    <w:r>
      <w:rPr>
        <w:rStyle w:val="HideTWBExt"/>
      </w:rPr>
      <w:t>&lt;/PathFdR&gt;</w:t>
    </w:r>
    <w:r>
      <w:tab/>
    </w:r>
    <w:r>
      <w:tab/>
      <w:t>PE</w:t>
    </w:r>
    <w:r>
      <w:rPr>
        <w:rStyle w:val="HideTWBExt"/>
      </w:rPr>
      <w:t>&lt;NoPE&gt;</w:t>
    </w:r>
    <w:r>
      <w:t>753.540</w:t>
    </w:r>
    <w:r>
      <w:rPr>
        <w:rStyle w:val="HideTWBExt"/>
      </w:rPr>
      <w:t>&lt;/NoPE&gt;&lt;Version&gt;</w:t>
    </w:r>
    <w:r>
      <w:t>v02-00</w:t>
    </w:r>
    <w:r>
      <w:rPr>
        <w:rStyle w:val="HideTWBExt"/>
      </w:rPr>
      <w:t>&lt;/Version&gt;</w:t>
    </w:r>
  </w:p>
  <w:p w:rsidR="00F47D83" w:rsidRDefault="00656D4D">
    <w:pPr>
      <w:pStyle w:val="EPFooter2"/>
    </w:pPr>
    <w:r>
      <w:t>SK</w:t>
    </w:r>
    <w:r>
      <w:tab/>
    </w:r>
    <w:r>
      <w:rPr>
        <w:b w:val="0"/>
        <w:i/>
        <w:color w:val="C0C0C0"/>
        <w:sz w:val="22"/>
      </w:rPr>
      <w:t>Zjednotení v rozmanitosti</w:t>
    </w:r>
    <w:r>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F47D8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F47D8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F47D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D83" w:rsidRDefault="00656D4D">
      <w:r>
        <w:separator/>
      </w:r>
    </w:p>
  </w:footnote>
  <w:footnote w:type="continuationSeparator" w:id="0">
    <w:p w:rsidR="00F47D83" w:rsidRDefault="00656D4D">
      <w:r>
        <w:continuationSeparator/>
      </w:r>
    </w:p>
  </w:footnote>
  <w:footnote w:id="1">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w:t>
      </w:r>
      <w:r w:rsidR="001E65AD">
        <w:rPr>
          <w:sz w:val="24"/>
          <w:lang w:val="sk-SK"/>
        </w:rPr>
        <w:t xml:space="preserve">C, </w:t>
      </w:r>
      <w:r>
        <w:rPr>
          <w:sz w:val="24"/>
          <w:lang w:val="sk-SK"/>
        </w:rPr>
        <w:t>C/2023/594, 27.10.2023.</w:t>
      </w:r>
    </w:p>
  </w:footnote>
  <w:footnote w:id="2">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 xml:space="preserve">Ú. v. EÚ </w:t>
      </w:r>
      <w:r w:rsidR="001E65AD">
        <w:rPr>
          <w:sz w:val="24"/>
          <w:lang w:val="sk-SK"/>
        </w:rPr>
        <w:t xml:space="preserve">C, </w:t>
      </w:r>
      <w:r>
        <w:rPr>
          <w:sz w:val="24"/>
          <w:lang w:val="sk-SK"/>
        </w:rPr>
        <w:t>C/2023/112, 12.10.2023.</w:t>
      </w:r>
    </w:p>
  </w:footnote>
  <w:footnote w:id="3">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193, 30.7.2018, s. 1.</w:t>
      </w:r>
    </w:p>
  </w:footnote>
  <w:footnote w:id="4">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135, 24.5.2016, s. 53.</w:t>
      </w:r>
    </w:p>
  </w:footnote>
  <w:footnote w:id="5">
    <w:p w:rsidR="00F47D83" w:rsidRDefault="00656D4D">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122, 10.5.2019, s. 1.</w:t>
      </w:r>
    </w:p>
  </w:footnote>
  <w:footnote w:id="6">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 xml:space="preserve">Ú. v. EÚ </w:t>
      </w:r>
      <w:r w:rsidR="001E65AD">
        <w:rPr>
          <w:sz w:val="24"/>
          <w:lang w:val="sk-SK"/>
        </w:rPr>
        <w:t xml:space="preserve">C, </w:t>
      </w:r>
      <w:r>
        <w:rPr>
          <w:sz w:val="24"/>
          <w:lang w:val="sk-SK"/>
        </w:rPr>
        <w:t>C/2023/594, 27.10.2023.</w:t>
      </w:r>
    </w:p>
  </w:footnote>
  <w:footnote w:id="7">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 xml:space="preserve">Ú. v. EÚ </w:t>
      </w:r>
      <w:r w:rsidR="001E65AD">
        <w:rPr>
          <w:sz w:val="24"/>
          <w:lang w:val="sk-SK"/>
        </w:rPr>
        <w:t xml:space="preserve">C, </w:t>
      </w:r>
      <w:r>
        <w:rPr>
          <w:sz w:val="24"/>
          <w:lang w:val="sk-SK"/>
        </w:rPr>
        <w:t>C/2023/112, 12.10.2023.</w:t>
      </w:r>
    </w:p>
  </w:footnote>
  <w:footnote w:id="8">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193, 30.7.2018, s. 1.</w:t>
      </w:r>
    </w:p>
  </w:footnote>
  <w:footnote w:id="9">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135, 24.5.2016, s. 53.</w:t>
      </w:r>
    </w:p>
  </w:footnote>
  <w:footnote w:id="10">
    <w:p w:rsidR="00F47D83" w:rsidRDefault="00656D4D">
      <w:pPr>
        <w:pStyle w:val="FootnoteText"/>
        <w:ind w:left="567" w:hanging="567"/>
        <w:rPr>
          <w:sz w:val="24"/>
          <w:szCs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L 122, 10.5.2019, s. 1.</w:t>
      </w:r>
    </w:p>
  </w:footnote>
  <w:footnote w:id="11">
    <w:p w:rsidR="00F47D83" w:rsidRDefault="00656D4D">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r>
      <w:r>
        <w:rPr>
          <w:sz w:val="24"/>
          <w:lang w:val="sk-SK"/>
        </w:rPr>
        <w:t>Ú. v. EÚ C 38, 31.1.2023, s. 160.</w:t>
      </w:r>
    </w:p>
  </w:footnote>
  <w:footnote w:id="12">
    <w:p w:rsidR="00F47D83" w:rsidRDefault="00656D4D">
      <w:pPr>
        <w:pStyle w:val="FootnoteText"/>
        <w:ind w:left="567" w:hanging="567"/>
        <w:rPr>
          <w:sz w:val="24"/>
          <w:szCs w:val="24"/>
          <w:lang w:val="sk-SK"/>
        </w:rPr>
      </w:pPr>
      <w:r>
        <w:rPr>
          <w:rStyle w:val="FootnoteReference"/>
          <w:sz w:val="24"/>
          <w:szCs w:val="24"/>
          <w:lang w:val="sk-SK"/>
        </w:rPr>
        <w:footnoteRef/>
      </w:r>
      <w:r>
        <w:rPr>
          <w:sz w:val="24"/>
          <w:lang w:val="sk-SK"/>
        </w:rPr>
        <w:t xml:space="preserve"> </w:t>
      </w:r>
      <w:r>
        <w:rPr>
          <w:sz w:val="24"/>
          <w:lang w:val="sk-SK"/>
        </w:rPr>
        <w:tab/>
      </w:r>
      <w:r>
        <w:rPr>
          <w:sz w:val="24"/>
          <w:lang w:val="sk-SK"/>
        </w:rPr>
        <w:t>Prijaté texty, P9_TA(2024)0</w:t>
      </w:r>
      <w:r w:rsidR="003A591E">
        <w:rPr>
          <w:sz w:val="24"/>
          <w:lang w:val="sk-SK"/>
        </w:rPr>
        <w:t>280</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F47D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F47D8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D83" w:rsidRDefault="00F47D8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SK"/>
    <w:docVar w:name="dvnumam" w:val="0"/>
    <w:docVar w:name="dvpe" w:val="753.540"/>
    <w:docVar w:name="dvrapporteur" w:val="Spravodajca: "/>
    <w:docVar w:name="dvtitre" w:val="1. Rozhodnutie Európskeho parlamentu z 11. apríla 2024 o absolutóriu za plnenie rozpočtu Agentúry Európskej únie pre spoluprácu v oblasti presadzovania práva (Europol) za rozpočtový rok 2022(2023/2169(DEC))"/>
  </w:docVars>
  <w:rsids>
    <w:rsidRoot w:val="00F47D83"/>
    <w:rsid w:val="001E65AD"/>
    <w:rsid w:val="003A591E"/>
    <w:rsid w:val="00656D4D"/>
    <w:rsid w:val="008D0419"/>
    <w:rsid w:val="00EF01B7"/>
    <w:rsid w:val="00F47D8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8B9C033-C5A0-40CC-923D-E01021E05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Text Char1"/>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pPr>
      <w:spacing w:after="240"/>
      <w:jc w:val="center"/>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Pr>
      <w:sz w:val="24"/>
      <w:lang w:val="sk-SK"/>
    </w:rPr>
  </w:style>
  <w:style w:type="paragraph" w:customStyle="1" w:styleId="Normal12Hanging">
    <w:name w:val="Normal12Hanging"/>
    <w:basedOn w:val="Normal"/>
    <w:pPr>
      <w:spacing w:after="240"/>
      <w:ind w:left="567" w:hanging="567"/>
    </w:p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17D24-A819-450B-BDCC-B790BF9B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4521</Words>
  <Characters>27403</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2024-05-15T11:55:00Z</dcterms:created>
  <dcterms:modified xsi:type="dcterms:W3CDTF">2024-05-15T11:55:00Z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P9_TA(2024)0260_</vt:lpwstr>
  </property>
  <property fmtid="{D5CDD505-2E9C-101B-9397-08002B2CF9AE}" pid="4" name="&lt;Type&gt;">
    <vt:lpwstr>RR</vt:lpwstr>
  </property>
</Properties>
</file>