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56AF" w:rsidTr="0010095E">
        <w:trPr>
          <w:trHeight w:hRule="exact" w:val="1418"/>
        </w:trPr>
        <w:tc>
          <w:tcPr>
            <w:tcW w:w="6804" w:type="dxa"/>
            <w:shd w:val="clear" w:color="auto" w:fill="auto"/>
            <w:vAlign w:val="center"/>
          </w:tcPr>
          <w:p w:rsidR="00751A4A" w:rsidRPr="008956AF" w:rsidRDefault="00F22D80" w:rsidP="0010095E">
            <w:pPr>
              <w:pStyle w:val="EPName"/>
            </w:pPr>
            <w:r w:rsidRPr="008956AF">
              <w:t>Europaparlamentet</w:t>
            </w:r>
          </w:p>
          <w:p w:rsidR="00751A4A" w:rsidRPr="008956AF" w:rsidRDefault="00817416" w:rsidP="00756632">
            <w:pPr>
              <w:pStyle w:val="EPTerm"/>
              <w:rPr>
                <w:rStyle w:val="HideTWBExt"/>
                <w:noProof w:val="0"/>
                <w:vanish w:val="0"/>
                <w:color w:val="auto"/>
              </w:rPr>
            </w:pPr>
            <w:r w:rsidRPr="008956AF">
              <w:t>2019-2024</w:t>
            </w:r>
          </w:p>
        </w:tc>
        <w:tc>
          <w:tcPr>
            <w:tcW w:w="2268" w:type="dxa"/>
            <w:shd w:val="clear" w:color="auto" w:fill="auto"/>
          </w:tcPr>
          <w:p w:rsidR="00751A4A" w:rsidRPr="008956AF" w:rsidRDefault="00187494" w:rsidP="0010095E">
            <w:pPr>
              <w:pStyle w:val="EPLogo"/>
            </w:pPr>
            <w:r w:rsidRPr="008956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56AF" w:rsidRDefault="00D058B8" w:rsidP="004C5D52">
      <w:pPr>
        <w:pStyle w:val="LineTop"/>
      </w:pPr>
    </w:p>
    <w:p w:rsidR="00680577" w:rsidRPr="008956AF" w:rsidRDefault="00F22D80" w:rsidP="00680577">
      <w:pPr>
        <w:pStyle w:val="EPBodyTA1"/>
      </w:pPr>
      <w:r w:rsidRPr="008956AF">
        <w:t>ANTAGNA TEXTER</w:t>
      </w:r>
    </w:p>
    <w:p w:rsidR="00D058B8" w:rsidRPr="008956AF" w:rsidRDefault="00D058B8" w:rsidP="00D058B8">
      <w:pPr>
        <w:pStyle w:val="LineBottom"/>
      </w:pPr>
    </w:p>
    <w:p w:rsidR="00F22D80" w:rsidRPr="008956AF" w:rsidRDefault="00F22D80" w:rsidP="00F22D80">
      <w:pPr>
        <w:pStyle w:val="ATHeading1"/>
      </w:pPr>
      <w:bookmarkStart w:id="0" w:name="TANumber"/>
      <w:r w:rsidRPr="008956AF">
        <w:t>P9_TA(2024)0</w:t>
      </w:r>
      <w:r w:rsidR="003010B8" w:rsidRPr="008956AF">
        <w:t>260</w:t>
      </w:r>
      <w:bookmarkEnd w:id="0"/>
    </w:p>
    <w:p w:rsidR="00F22D80" w:rsidRPr="008956AF" w:rsidRDefault="00F22D80" w:rsidP="00F22D80">
      <w:pPr>
        <w:pStyle w:val="ATHeading2"/>
      </w:pPr>
      <w:bookmarkStart w:id="1" w:name="title"/>
      <w:r w:rsidRPr="008956AF">
        <w:t>Ansvarsfrihet 2022: Europeiska unionens byrå för samarbete inom</w:t>
      </w:r>
      <w:r w:rsidR="00D13F74" w:rsidRPr="008956AF">
        <w:t xml:space="preserve"> </w:t>
      </w:r>
      <w:r w:rsidRPr="008956AF">
        <w:t>brottsbekämpning (Europol)</w:t>
      </w:r>
      <w:bookmarkEnd w:id="1"/>
    </w:p>
    <w:p w:rsidR="00F22D80" w:rsidRPr="008956AF" w:rsidRDefault="00F22D80" w:rsidP="00F22D80">
      <w:pPr>
        <w:rPr>
          <w:i/>
          <w:vanish/>
        </w:rPr>
      </w:pPr>
      <w:r w:rsidRPr="008956AF">
        <w:rPr>
          <w:i/>
        </w:rPr>
        <w:fldChar w:fldCharType="begin"/>
      </w:r>
      <w:r w:rsidRPr="008956AF">
        <w:rPr>
          <w:i/>
        </w:rPr>
        <w:instrText xml:space="preserve"> TC"(</w:instrText>
      </w:r>
      <w:bookmarkStart w:id="2" w:name="DocNumber"/>
      <w:r w:rsidRPr="008956AF">
        <w:rPr>
          <w:i/>
        </w:rPr>
        <w:instrText>A9-0119/2024</w:instrText>
      </w:r>
      <w:bookmarkEnd w:id="2"/>
      <w:r w:rsidRPr="008956AF">
        <w:rPr>
          <w:i/>
        </w:rPr>
        <w:instrText xml:space="preserve"> - Föredragande: Petri Sarvamaa)"\l3 \n&gt; \* MERGEFORMAT </w:instrText>
      </w:r>
      <w:r w:rsidRPr="008956AF">
        <w:rPr>
          <w:i/>
        </w:rPr>
        <w:fldChar w:fldCharType="end"/>
      </w:r>
    </w:p>
    <w:p w:rsidR="00F22D80" w:rsidRPr="008956AF" w:rsidRDefault="00F22D80" w:rsidP="00F22D80">
      <w:pPr>
        <w:rPr>
          <w:vanish/>
        </w:rPr>
      </w:pPr>
      <w:bookmarkStart w:id="3" w:name="Commission"/>
      <w:r w:rsidRPr="008956AF">
        <w:rPr>
          <w:vanish/>
        </w:rPr>
        <w:t>Budgetkontrollutskottet</w:t>
      </w:r>
      <w:bookmarkEnd w:id="3"/>
    </w:p>
    <w:p w:rsidR="00F22D80" w:rsidRPr="008956AF" w:rsidRDefault="00F22D80" w:rsidP="00F22D80">
      <w:pPr>
        <w:rPr>
          <w:vanish/>
        </w:rPr>
      </w:pPr>
      <w:bookmarkStart w:id="4" w:name="PE"/>
      <w:r w:rsidRPr="008956AF">
        <w:rPr>
          <w:vanish/>
        </w:rPr>
        <w:t>PE753.540</w:t>
      </w:r>
      <w:bookmarkEnd w:id="4"/>
    </w:p>
    <w:p w:rsidR="00F22D80" w:rsidRPr="008956AF" w:rsidRDefault="006517A2" w:rsidP="00F22D80">
      <w:pPr>
        <w:pStyle w:val="ATHeading3"/>
      </w:pPr>
      <w:bookmarkStart w:id="5" w:name="Sujet"/>
      <w:r w:rsidRPr="008956AF">
        <w:t>1. E</w:t>
      </w:r>
      <w:r w:rsidR="00D13F74" w:rsidRPr="008956AF">
        <w:t>uropaparlamentets beslut av den 11 april</w:t>
      </w:r>
      <w:r w:rsidR="00F22D80" w:rsidRPr="008956AF">
        <w:t xml:space="preserve"> 2024 om ansvarsfrihet för genomförandet av budgeten för Europeiska unionens byrå för samarbete inom brottsbekämpning (Europol) för budgetåret 2022</w:t>
      </w:r>
      <w:bookmarkEnd w:id="5"/>
      <w:r w:rsidR="00F22D80" w:rsidRPr="008956AF">
        <w:t xml:space="preserve"> </w:t>
      </w:r>
      <w:bookmarkStart w:id="6" w:name="References"/>
      <w:r w:rsidR="00F22D80" w:rsidRPr="008956AF">
        <w:t>(2023/2169(DEC))</w:t>
      </w:r>
      <w:bookmarkEnd w:id="6"/>
    </w:p>
    <w:p w:rsidR="004C23FD" w:rsidRPr="008956AF" w:rsidRDefault="004C23FD" w:rsidP="004C23FD">
      <w:pPr>
        <w:pStyle w:val="EPComma"/>
      </w:pPr>
      <w:bookmarkStart w:id="7" w:name="TextBodyBegin"/>
      <w:bookmarkEnd w:id="7"/>
      <w:r w:rsidRPr="008956AF">
        <w:rPr>
          <w:i/>
        </w:rPr>
        <w:t>Europaparlamentet fattar detta beslut</w:t>
      </w:r>
    </w:p>
    <w:p w:rsidR="004C23FD" w:rsidRPr="008956AF" w:rsidRDefault="004C23FD" w:rsidP="004C23FD">
      <w:pPr>
        <w:pStyle w:val="NormalHanging12a"/>
      </w:pPr>
      <w:r w:rsidRPr="008956AF">
        <w:t>–</w:t>
      </w:r>
      <w:r w:rsidRPr="008956AF">
        <w:tab/>
        <w:t>med beaktande av den slutliga årsredovisningen för Europeiska unionens byrå för samarbete inom brottsbekämpning (Europol) för budgetåret 2022,</w:t>
      </w:r>
    </w:p>
    <w:p w:rsidR="004C23FD" w:rsidRPr="008956AF" w:rsidRDefault="004C23FD" w:rsidP="004C23FD">
      <w:pPr>
        <w:pStyle w:val="NormalHanging12a"/>
      </w:pPr>
      <w:r w:rsidRPr="008956AF">
        <w:t>–</w:t>
      </w:r>
      <w:r w:rsidRPr="008956AF">
        <w:tab/>
        <w:t>med beaktande av revisionsrättens årsrapport om EU:s byråer för budgetåret 2022, med byråernas svar</w:t>
      </w:r>
      <w:r w:rsidRPr="008956AF">
        <w:rPr>
          <w:rStyle w:val="FootnoteReference"/>
        </w:rPr>
        <w:footnoteReference w:id="1"/>
      </w:r>
      <w:r w:rsidRPr="008956AF">
        <w:t>,</w:t>
      </w:r>
    </w:p>
    <w:p w:rsidR="004C23FD" w:rsidRPr="008956AF" w:rsidRDefault="004C23FD" w:rsidP="004C23FD">
      <w:pPr>
        <w:pStyle w:val="NormalHanging12a"/>
      </w:pPr>
      <w:r w:rsidRPr="008956AF">
        <w:t>–</w:t>
      </w:r>
      <w:r w:rsidRPr="008956AF">
        <w:tab/>
        <w:t>med beaktande av förklaringen om räkenskapernas tillförlitlighet och de underliggande transaktionernas laglighet och korrekthet</w:t>
      </w:r>
      <w:r w:rsidRPr="008956AF">
        <w:rPr>
          <w:rStyle w:val="FootnoteReference"/>
        </w:rPr>
        <w:footnoteReference w:id="2"/>
      </w:r>
      <w:r w:rsidRPr="008956AF">
        <w:t>, som avgetts av revisionsrätten för budgetåret 2022 i enlighet med artikel 287 i fördraget om Europeiska unionens funktionssätt,</w:t>
      </w:r>
    </w:p>
    <w:p w:rsidR="004C23FD" w:rsidRPr="008956AF" w:rsidRDefault="004C23FD" w:rsidP="004C23FD">
      <w:pPr>
        <w:pStyle w:val="NormalHanging12a"/>
      </w:pPr>
      <w:r w:rsidRPr="008956AF">
        <w:t>–</w:t>
      </w:r>
      <w:r w:rsidRPr="008956AF">
        <w:tab/>
        <w:t>med beaktande av rådets rekommendation av den 22 februari 2024 om att bevilja byrån ansvarsfrihet för genomförandet av budgeten för budgetåret 2022 (</w:t>
      </w:r>
      <w:r w:rsidR="008956AF" w:rsidRPr="008956AF">
        <w:t>06180</w:t>
      </w:r>
      <w:r w:rsidRPr="008956AF">
        <w:t>/2024 – C9</w:t>
      </w:r>
      <w:r w:rsidRPr="008956AF">
        <w:noBreakHyphen/>
      </w:r>
      <w:r w:rsidR="008956AF" w:rsidRPr="008956AF">
        <w:t>0107</w:t>
      </w:r>
      <w:r w:rsidRPr="008956AF">
        <w:t>/2024),</w:t>
      </w:r>
    </w:p>
    <w:p w:rsidR="004C23FD" w:rsidRPr="008956AF" w:rsidRDefault="004C23FD" w:rsidP="004C23FD">
      <w:pPr>
        <w:pStyle w:val="NormalHanging12a"/>
      </w:pPr>
      <w:r w:rsidRPr="008956AF">
        <w:t>–</w:t>
      </w:r>
      <w:r w:rsidRPr="008956AF">
        <w:tab/>
        <w:t>med beaktande av artikel 319 i fördraget om Europeiska unionens funktionssätt,</w:t>
      </w:r>
    </w:p>
    <w:p w:rsidR="004C23FD" w:rsidRPr="008956AF" w:rsidRDefault="004C23FD" w:rsidP="004C23FD">
      <w:pPr>
        <w:pStyle w:val="NormalHanging12a"/>
      </w:pPr>
      <w:r w:rsidRPr="008956AF">
        <w:t>–</w:t>
      </w:r>
      <w:r w:rsidRPr="008956A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956AF">
        <w:rPr>
          <w:rStyle w:val="FootnoteReference"/>
        </w:rPr>
        <w:footnoteReference w:id="3"/>
      </w:r>
      <w:r w:rsidRPr="008956AF">
        <w:t>, särskilt artikel 70,</w:t>
      </w:r>
    </w:p>
    <w:p w:rsidR="004C23FD" w:rsidRPr="008956AF" w:rsidRDefault="004C23FD" w:rsidP="004C23FD">
      <w:pPr>
        <w:pStyle w:val="NormalHanging12a"/>
      </w:pPr>
      <w:r w:rsidRPr="008956AF">
        <w:t>–</w:t>
      </w:r>
      <w:r w:rsidRPr="008956AF">
        <w:tab/>
        <w:t xml:space="preserve">med beaktande av Europaparlamentets och rådets förordning (EU) 2016/794 av den 11 maj 2016 om Europeiska unionens byrå för samarbete inom brottsbekämpning (Europol) och om ersättande och upphävande av rådets beslut 2009/371/RIF, </w:t>
      </w:r>
      <w:r w:rsidRPr="008956AF">
        <w:lastRenderedPageBreak/>
        <w:t>2009/934/RIF, 2009/935/RIF, 2009/936/RIF och 2009/968/RIF</w:t>
      </w:r>
      <w:r w:rsidRPr="008956AF">
        <w:rPr>
          <w:rStyle w:val="FootnoteReference"/>
        </w:rPr>
        <w:footnoteReference w:id="4"/>
      </w:r>
      <w:r w:rsidRPr="008956AF">
        <w:t>, särskilt artikel 60,</w:t>
      </w:r>
    </w:p>
    <w:p w:rsidR="004C23FD" w:rsidRPr="008956AF" w:rsidRDefault="004C23FD" w:rsidP="004C23FD">
      <w:pPr>
        <w:pStyle w:val="NormalHanging12a"/>
      </w:pPr>
      <w:r w:rsidRPr="008956AF">
        <w:t>–</w:t>
      </w:r>
      <w:r w:rsidRPr="008956AF">
        <w:tab/>
        <w:t>med beaktande av kommissionens delegerade förordning (EU) 2019/715 av den 18 december 2018 med rambudgetförordning för de organ som inrättats enligt EUF</w:t>
      </w:r>
      <w:r w:rsidRPr="008956AF">
        <w:noBreakHyphen/>
        <w:t>fördraget och Euratomfördraget och som avses i artikel 70 i Europaparlamentets och rådets förordning (EU, Euratom) 2018/1046</w:t>
      </w:r>
      <w:r w:rsidRPr="008956AF">
        <w:rPr>
          <w:rStyle w:val="FootnoteReference"/>
        </w:rPr>
        <w:footnoteReference w:id="5"/>
      </w:r>
      <w:r w:rsidRPr="008956AF">
        <w:t>, särskilt artikel 105,</w:t>
      </w:r>
    </w:p>
    <w:p w:rsidR="004C23FD" w:rsidRPr="008956AF" w:rsidRDefault="004C23FD" w:rsidP="004C23FD">
      <w:pPr>
        <w:pStyle w:val="NormalHanging12a"/>
      </w:pPr>
      <w:r w:rsidRPr="008956AF">
        <w:t>–</w:t>
      </w:r>
      <w:r w:rsidRPr="008956AF">
        <w:tab/>
        <w:t>med beaktande av artikel 100 och bilaga V i arbetsordningen,</w:t>
      </w:r>
    </w:p>
    <w:p w:rsidR="004C23FD" w:rsidRPr="008956AF" w:rsidRDefault="004C23FD" w:rsidP="004C23FD">
      <w:pPr>
        <w:pStyle w:val="NormalHanging12a"/>
      </w:pPr>
      <w:r w:rsidRPr="008956AF">
        <w:t>–</w:t>
      </w:r>
      <w:r w:rsidRPr="008956AF">
        <w:tab/>
        <w:t>med beaktande av yttrandet från utskottet för medborgerliga fri- och rättigheter samt rättsliga och inrikes frågor,</w:t>
      </w:r>
    </w:p>
    <w:p w:rsidR="004C23FD" w:rsidRPr="008956AF" w:rsidRDefault="004C23FD" w:rsidP="004C23FD">
      <w:pPr>
        <w:pStyle w:val="NormalHanging12a"/>
      </w:pPr>
      <w:r w:rsidRPr="008956AF">
        <w:t>–</w:t>
      </w:r>
      <w:r w:rsidRPr="008956AF">
        <w:tab/>
        <w:t>med beaktande av betänkandet från budgetkontrollutskottet (A9-0119/2024).</w:t>
      </w:r>
    </w:p>
    <w:p w:rsidR="004C23FD" w:rsidRPr="008956AF" w:rsidRDefault="004C23FD" w:rsidP="004C23FD">
      <w:pPr>
        <w:pStyle w:val="NormalHanging12a"/>
      </w:pPr>
      <w:r w:rsidRPr="008956AF">
        <w:t>1.</w:t>
      </w:r>
      <w:r w:rsidRPr="008956AF">
        <w:tab/>
        <w:t>Europaparlamentet beviljar verkställande direktören för Europeiska unionens byrå för samarbete inom brottsbekämpning (Europol) ansvarsfrihet för genomförandet av byråns budget för budgetåret 2022.</w:t>
      </w:r>
    </w:p>
    <w:p w:rsidR="004C23FD" w:rsidRPr="008956AF" w:rsidRDefault="004C23FD" w:rsidP="004C23FD">
      <w:pPr>
        <w:pStyle w:val="NormalHanging12a"/>
      </w:pPr>
      <w:r w:rsidRPr="008956AF">
        <w:t>2.</w:t>
      </w:r>
      <w:r w:rsidRPr="008956AF">
        <w:tab/>
        <w:t>Europaparlamentet redovisar sina iakttagelser i resolutionen nedan.</w:t>
      </w:r>
    </w:p>
    <w:p w:rsidR="004C23FD" w:rsidRPr="008956AF" w:rsidRDefault="004C23FD" w:rsidP="004C23FD">
      <w:pPr>
        <w:pStyle w:val="NormalHanging12a"/>
      </w:pPr>
      <w:r w:rsidRPr="008956AF">
        <w:t>3.</w:t>
      </w:r>
      <w:r w:rsidRPr="008956AF">
        <w:tab/>
        <w:t xml:space="preserve">Europaparlamentet uppdrar åt talmannen att översända detta beslut och den resolution som utgör en del av beslutet till verkställande direktören för Europeiska unionens byrå för samarbete inom brottsbekämpning (Europol), rådet, kommissionen och revisionsrätten samt att se till att de offentliggörs i </w:t>
      </w:r>
      <w:r w:rsidRPr="008956AF">
        <w:rPr>
          <w:i/>
        </w:rPr>
        <w:t>Europeiska unionens officiella tidning</w:t>
      </w:r>
      <w:r w:rsidRPr="008956AF">
        <w:t xml:space="preserve"> (L-serien).</w:t>
      </w:r>
    </w:p>
    <w:p w:rsidR="004C23FD" w:rsidRPr="008956AF" w:rsidRDefault="004C23FD" w:rsidP="004C23FD"/>
    <w:p w:rsidR="004C23FD" w:rsidRPr="008956AF" w:rsidRDefault="004C23FD" w:rsidP="004C23FD">
      <w:pPr>
        <w:widowControl/>
        <w:rPr>
          <w:rFonts w:ascii="Arial" w:hAnsi="Arial" w:cs="Arial"/>
          <w:b/>
        </w:rPr>
        <w:sectPr w:rsidR="004C23FD" w:rsidRPr="008956AF" w:rsidSect="005A08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C23FD" w:rsidRPr="008956AF" w:rsidRDefault="00D13F74" w:rsidP="008956AF">
      <w:pPr>
        <w:pStyle w:val="ATHeading3"/>
      </w:pPr>
      <w:r w:rsidRPr="008956AF">
        <w:lastRenderedPageBreak/>
        <w:t xml:space="preserve">2. Europaparlamentets beslut av den 11 april 2024 </w:t>
      </w:r>
      <w:r w:rsidR="004C23FD" w:rsidRPr="008956AF">
        <w:t>om avslutande av räkenskaperna för Europeiska unionens byrå för samarbete inom brottsbekämpning (Europol) för budgetåret 2022</w:t>
      </w:r>
      <w:r w:rsidR="009E0D29" w:rsidRPr="008956AF">
        <w:t xml:space="preserve"> </w:t>
      </w:r>
      <w:r w:rsidR="004C23FD" w:rsidRPr="008956AF">
        <w:t>(2023/2169(DEC))</w:t>
      </w:r>
    </w:p>
    <w:p w:rsidR="004C23FD" w:rsidRPr="008956AF" w:rsidRDefault="004C23FD" w:rsidP="004C23FD">
      <w:pPr>
        <w:pStyle w:val="EPComma"/>
      </w:pPr>
      <w:r w:rsidRPr="008956AF">
        <w:rPr>
          <w:i/>
        </w:rPr>
        <w:t>Europaparlamentet fattar detta beslut</w:t>
      </w:r>
    </w:p>
    <w:p w:rsidR="004C23FD" w:rsidRPr="008956AF" w:rsidRDefault="004C23FD" w:rsidP="004C23FD">
      <w:pPr>
        <w:pStyle w:val="NormalHanging12a"/>
      </w:pPr>
      <w:r w:rsidRPr="008956AF">
        <w:t>–</w:t>
      </w:r>
      <w:r w:rsidRPr="008956AF">
        <w:tab/>
        <w:t>med beaktande av den slutliga årsredovisningen för Europeiska unionens byrå för samarbete inom brottsbekämpning (Europol) för budgetåret 2022,</w:t>
      </w:r>
    </w:p>
    <w:p w:rsidR="004C23FD" w:rsidRPr="008956AF" w:rsidRDefault="004C23FD" w:rsidP="004C23FD">
      <w:pPr>
        <w:pStyle w:val="NormalHanging12a"/>
      </w:pPr>
      <w:r w:rsidRPr="008956AF">
        <w:t>–</w:t>
      </w:r>
      <w:r w:rsidRPr="008956AF">
        <w:tab/>
        <w:t>med beaktande av revisionsrättens årsrapport om EU:s byråer för budgetåret 2022, med byråernas svar</w:t>
      </w:r>
      <w:r w:rsidRPr="008956AF">
        <w:rPr>
          <w:rStyle w:val="FootnoteReference"/>
        </w:rPr>
        <w:footnoteReference w:id="6"/>
      </w:r>
      <w:r w:rsidRPr="008956AF">
        <w:t>,</w:t>
      </w:r>
    </w:p>
    <w:p w:rsidR="004C23FD" w:rsidRPr="008956AF" w:rsidRDefault="004C23FD" w:rsidP="004C23FD">
      <w:pPr>
        <w:pStyle w:val="NormalHanging12a"/>
      </w:pPr>
      <w:r w:rsidRPr="008956AF">
        <w:t>–</w:t>
      </w:r>
      <w:r w:rsidRPr="008956AF">
        <w:tab/>
        <w:t>med beaktande av förklaringen om räkenskapernas tillförlitlighet och de underliggande transaktionernas laglighet och korrekthet</w:t>
      </w:r>
      <w:r w:rsidRPr="008956AF">
        <w:rPr>
          <w:rStyle w:val="FootnoteReference"/>
        </w:rPr>
        <w:footnoteReference w:id="7"/>
      </w:r>
      <w:r w:rsidRPr="008956AF">
        <w:t>, som avgetts av revisionsrätten för budgetåret 2022 i enlighet med artikel 287 i fördraget om Europeiska unionens funktionssätt,</w:t>
      </w:r>
    </w:p>
    <w:p w:rsidR="004C23FD" w:rsidRPr="008956AF" w:rsidRDefault="004C23FD" w:rsidP="004C23FD">
      <w:pPr>
        <w:pStyle w:val="NormalHanging12a"/>
      </w:pPr>
      <w:r w:rsidRPr="008956AF">
        <w:t>–</w:t>
      </w:r>
      <w:r w:rsidRPr="008956AF">
        <w:tab/>
        <w:t>med beaktande av rådets rekommendation av den 22 februari 2024 om att bevilja byrån ansvarsfrihet för genomförandet av budgeten för budgetåret 2022 (</w:t>
      </w:r>
      <w:r w:rsidR="008956AF" w:rsidRPr="008956AF">
        <w:t>06180</w:t>
      </w:r>
      <w:r w:rsidRPr="008956AF">
        <w:t>/2024 – C9</w:t>
      </w:r>
      <w:r w:rsidRPr="008956AF">
        <w:noBreakHyphen/>
      </w:r>
      <w:r w:rsidR="008956AF" w:rsidRPr="008956AF">
        <w:t>0107</w:t>
      </w:r>
      <w:r w:rsidRPr="008956AF">
        <w:t>/2024),</w:t>
      </w:r>
    </w:p>
    <w:p w:rsidR="004C23FD" w:rsidRPr="008956AF" w:rsidRDefault="004C23FD" w:rsidP="004C23FD">
      <w:pPr>
        <w:pStyle w:val="NormalHanging12a"/>
      </w:pPr>
      <w:r w:rsidRPr="008956AF">
        <w:t>–</w:t>
      </w:r>
      <w:r w:rsidRPr="008956AF">
        <w:tab/>
        <w:t>med beaktande av artikel 319 i fördraget om Europeiska unionens funktionssätt,</w:t>
      </w:r>
    </w:p>
    <w:p w:rsidR="004C23FD" w:rsidRPr="008956AF" w:rsidRDefault="004C23FD" w:rsidP="004C23FD">
      <w:pPr>
        <w:pStyle w:val="NormalHanging12a"/>
      </w:pPr>
      <w:r w:rsidRPr="008956AF">
        <w:t>–</w:t>
      </w:r>
      <w:r w:rsidRPr="008956A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956AF">
        <w:rPr>
          <w:rStyle w:val="FootnoteReference"/>
        </w:rPr>
        <w:footnoteReference w:id="8"/>
      </w:r>
      <w:r w:rsidRPr="008956AF">
        <w:t>, särskilt artikel 70,</w:t>
      </w:r>
    </w:p>
    <w:p w:rsidR="004C23FD" w:rsidRPr="008956AF" w:rsidRDefault="004C23FD" w:rsidP="004C23FD">
      <w:pPr>
        <w:pStyle w:val="NormalHanging12a"/>
      </w:pPr>
      <w:r w:rsidRPr="008956AF">
        <w:t>–</w:t>
      </w:r>
      <w:r w:rsidRPr="008956AF">
        <w:tab/>
        <w:t>med beaktande av Europaparlamentets och rådets förordning (EU) 2016/794 av den 11 maj 2016 om Europeiska unionens byrå för samarbete inom brottsbekämpning (Europol) och om ersättande och upphävande av rådets beslut 2009/371/RIF, 2009/934/RIF, 2009/935/RIF, 2009/936/RIF och 2009/968/RIF</w:t>
      </w:r>
      <w:r w:rsidRPr="008956AF">
        <w:rPr>
          <w:rStyle w:val="FootnoteReference"/>
        </w:rPr>
        <w:footnoteReference w:id="9"/>
      </w:r>
      <w:r w:rsidRPr="008956AF">
        <w:t>, särskilt artikel 60,</w:t>
      </w:r>
    </w:p>
    <w:p w:rsidR="004C23FD" w:rsidRPr="008956AF" w:rsidRDefault="004C23FD" w:rsidP="004C23FD">
      <w:pPr>
        <w:pStyle w:val="NormalHanging12a"/>
      </w:pPr>
      <w:r w:rsidRPr="008956AF">
        <w:t>–</w:t>
      </w:r>
      <w:r w:rsidRPr="008956AF">
        <w:tab/>
        <w:t>med beaktande av kommissionens delegerade förordning (EU) 2019/715 av den 18 december 2018 med rambudgetförordning för de organ som inrättats enligt EUF</w:t>
      </w:r>
      <w:r w:rsidRPr="008956AF">
        <w:noBreakHyphen/>
        <w:t>fördraget och Euratomfördraget och som avses i artikel 70 i Europaparlamentets och rådets förordning (EU, Euratom) 2018/1046</w:t>
      </w:r>
      <w:r w:rsidRPr="008956AF">
        <w:rPr>
          <w:rStyle w:val="FootnoteReference"/>
        </w:rPr>
        <w:footnoteReference w:id="10"/>
      </w:r>
      <w:r w:rsidRPr="008956AF">
        <w:t>, särskilt artikel 105,</w:t>
      </w:r>
    </w:p>
    <w:p w:rsidR="004C23FD" w:rsidRPr="008956AF" w:rsidRDefault="004C23FD" w:rsidP="004C23FD">
      <w:pPr>
        <w:pStyle w:val="NormalHanging12a"/>
      </w:pPr>
      <w:r w:rsidRPr="008956AF">
        <w:t>–</w:t>
      </w:r>
      <w:r w:rsidRPr="008956AF">
        <w:tab/>
        <w:t>med beaktande av artikel 100 och bilaga V i arbetsordningen,</w:t>
      </w:r>
    </w:p>
    <w:p w:rsidR="004C23FD" w:rsidRPr="008956AF" w:rsidRDefault="004C23FD" w:rsidP="004C23FD">
      <w:pPr>
        <w:pStyle w:val="NormalHanging12a"/>
        <w:widowControl/>
      </w:pPr>
      <w:r w:rsidRPr="008956AF">
        <w:t>–</w:t>
      </w:r>
      <w:r w:rsidRPr="008956AF">
        <w:tab/>
        <w:t>med beaktande av yttrandet från utskottet för medborgerliga fri- och rättigheter samt rättsliga och inrikes frågor,</w:t>
      </w:r>
    </w:p>
    <w:p w:rsidR="004C23FD" w:rsidRPr="008956AF" w:rsidRDefault="004C23FD" w:rsidP="004C23FD">
      <w:pPr>
        <w:pStyle w:val="NormalHanging12a"/>
      </w:pPr>
      <w:r w:rsidRPr="008956AF">
        <w:t>–</w:t>
      </w:r>
      <w:r w:rsidRPr="008956AF">
        <w:tab/>
        <w:t>med beaktande av betänkandet från budgetkontrollutskottet (A9-0119/2024).</w:t>
      </w:r>
    </w:p>
    <w:p w:rsidR="004C23FD" w:rsidRPr="008956AF" w:rsidRDefault="004C23FD" w:rsidP="004C23FD">
      <w:pPr>
        <w:pStyle w:val="NormalHanging12a"/>
      </w:pPr>
      <w:r w:rsidRPr="008956AF">
        <w:lastRenderedPageBreak/>
        <w:t>1.</w:t>
      </w:r>
      <w:r w:rsidRPr="008956AF">
        <w:tab/>
        <w:t>Europaparlamentet godkänner avslutandet av räkenskaperna för Europeiska unionens byrå för samarbete inom brottsbekämpning (Europol) för budgetåret 2022.</w:t>
      </w:r>
    </w:p>
    <w:p w:rsidR="004C23FD" w:rsidRPr="008956AF" w:rsidRDefault="004C23FD" w:rsidP="004C23FD">
      <w:pPr>
        <w:pStyle w:val="NormalHanging12a"/>
      </w:pPr>
      <w:r w:rsidRPr="008956AF">
        <w:t>2.</w:t>
      </w:r>
      <w:r w:rsidRPr="008956AF">
        <w:tab/>
        <w:t xml:space="preserve">Europaparlamentet uppdrar åt talmannen att översända detta beslut till verkställande direktören för Europeiska unionens byrå för samarbete inom brottsbekämpning, rådet, kommissionen och revisionsrätten samt att se till att det offentliggörs i </w:t>
      </w:r>
      <w:r w:rsidRPr="008956AF">
        <w:rPr>
          <w:i/>
        </w:rPr>
        <w:t>Europeiska unionens officiella tidning</w:t>
      </w:r>
      <w:r w:rsidRPr="008956AF">
        <w:t xml:space="preserve"> (L-serien).</w:t>
      </w:r>
    </w:p>
    <w:p w:rsidR="004C23FD" w:rsidRPr="008956AF" w:rsidRDefault="004C23FD" w:rsidP="004C23FD"/>
    <w:p w:rsidR="004C23FD" w:rsidRPr="008956AF" w:rsidRDefault="004C23FD" w:rsidP="004C23FD">
      <w:pPr>
        <w:widowControl/>
        <w:rPr>
          <w:rFonts w:ascii="Arial" w:hAnsi="Arial" w:cs="Arial"/>
          <w:b/>
        </w:rPr>
        <w:sectPr w:rsidR="004C23FD" w:rsidRPr="008956AF" w:rsidSect="005A08C9">
          <w:footnotePr>
            <w:numRestart w:val="eachPage"/>
          </w:footnotePr>
          <w:endnotePr>
            <w:numFmt w:val="decimal"/>
          </w:endnotePr>
          <w:pgSz w:w="11906" w:h="16838"/>
          <w:pgMar w:top="1134" w:right="1418" w:bottom="1418" w:left="1418" w:header="567" w:footer="567" w:gutter="0"/>
          <w:cols w:space="720"/>
          <w:docGrid w:linePitch="326"/>
        </w:sectPr>
      </w:pPr>
    </w:p>
    <w:p w:rsidR="004C23FD" w:rsidRPr="008956AF" w:rsidRDefault="00D13F74" w:rsidP="009E0D29">
      <w:pPr>
        <w:pStyle w:val="ATHeading3"/>
      </w:pPr>
      <w:r w:rsidRPr="008956AF">
        <w:lastRenderedPageBreak/>
        <w:t>3. Europaparlamentets resolution av den 11 april 2024</w:t>
      </w:r>
      <w:r w:rsidR="008956AF" w:rsidRPr="008956AF">
        <w:t xml:space="preserve"> </w:t>
      </w:r>
      <w:r w:rsidR="004C23FD" w:rsidRPr="008956AF">
        <w:t>med de iakttagelser som utgör en del av beslutet om ansvarsfrihet för genomförandet av budgeten för Europeiska unionens byrå för samarbete inom brottsbekämpning (Europol) för budgetåret 2022</w:t>
      </w:r>
      <w:r w:rsidR="009E0D29" w:rsidRPr="008956AF">
        <w:t xml:space="preserve"> </w:t>
      </w:r>
      <w:r w:rsidR="004C23FD" w:rsidRPr="008956AF">
        <w:t>(2023/2169(DEC))</w:t>
      </w:r>
    </w:p>
    <w:p w:rsidR="004C23FD" w:rsidRPr="008956AF" w:rsidRDefault="004C23FD" w:rsidP="004C23FD">
      <w:pPr>
        <w:pStyle w:val="EPComma"/>
      </w:pPr>
      <w:r w:rsidRPr="008956AF">
        <w:rPr>
          <w:i/>
        </w:rPr>
        <w:t>Europaparlamentet utfärdar denna resolution</w:t>
      </w:r>
    </w:p>
    <w:p w:rsidR="004C23FD" w:rsidRPr="008956AF" w:rsidRDefault="004C23FD" w:rsidP="004C23FD">
      <w:pPr>
        <w:pStyle w:val="NormalHanging12a"/>
      </w:pPr>
      <w:r w:rsidRPr="008956AF">
        <w:t>–</w:t>
      </w:r>
      <w:r w:rsidRPr="008956AF">
        <w:tab/>
        <w:t>med beaktande av sitt beslut om ansvarsfrihet för genomförandet av budgeten för Europeiska unionens byrå för samarbete inom brottsbekämpning (Europol) för budgetåret 2022,</w:t>
      </w:r>
    </w:p>
    <w:p w:rsidR="004C23FD" w:rsidRPr="008956AF" w:rsidRDefault="004C23FD" w:rsidP="004C23FD">
      <w:pPr>
        <w:pStyle w:val="NormalHanging12a"/>
      </w:pPr>
      <w:r w:rsidRPr="008956AF">
        <w:t>–</w:t>
      </w:r>
      <w:r w:rsidRPr="008956AF">
        <w:tab/>
        <w:t>med beaktande av artikel 100 och bilaga V i arbetsordningen,</w:t>
      </w:r>
    </w:p>
    <w:p w:rsidR="004C23FD" w:rsidRPr="008956AF" w:rsidRDefault="004C23FD" w:rsidP="004C23FD">
      <w:pPr>
        <w:pStyle w:val="NormalHanging12a"/>
      </w:pPr>
      <w:r w:rsidRPr="008956AF">
        <w:t>–</w:t>
      </w:r>
      <w:r w:rsidRPr="008956AF">
        <w:tab/>
        <w:t>med beaktande av yttrandet från utskottet för medborgerliga fri- och rättigheter samt rättsliga och inrikes frågor,</w:t>
      </w:r>
    </w:p>
    <w:p w:rsidR="004C23FD" w:rsidRPr="008956AF" w:rsidRDefault="004C23FD" w:rsidP="004C23FD">
      <w:pPr>
        <w:pStyle w:val="NormalHanging12a"/>
      </w:pPr>
      <w:r w:rsidRPr="008956AF">
        <w:t>–</w:t>
      </w:r>
      <w:r w:rsidRPr="008956AF">
        <w:tab/>
        <w:t>med beaktande av betänkandet från budgetkontrollutskottet (A9-0119/2024), och av följande skäl:</w:t>
      </w:r>
    </w:p>
    <w:p w:rsidR="004C23FD" w:rsidRPr="008956AF" w:rsidRDefault="004C23FD" w:rsidP="004C23FD">
      <w:pPr>
        <w:pStyle w:val="Normal12Hanging"/>
        <w:widowControl/>
        <w:rPr>
          <w:szCs w:val="24"/>
        </w:rPr>
      </w:pPr>
      <w:r w:rsidRPr="008956AF">
        <w:t>A.</w:t>
      </w:r>
      <w:r w:rsidRPr="008956AF">
        <w:tab/>
        <w:t>Enligt sammanställningen över inkomster och utgifter för Europeiska unionens byrå för samarbete inom brottsbekämpning</w:t>
      </w:r>
      <w:r w:rsidRPr="008956AF">
        <w:rPr>
          <w:szCs w:val="24"/>
          <w:vertAlign w:val="superscript"/>
        </w:rPr>
        <w:footnoteReference w:id="11"/>
      </w:r>
      <w:r w:rsidRPr="008956AF">
        <w:t xml:space="preserve"> (Europol) (</w:t>
      </w:r>
      <w:r w:rsidRPr="008956AF">
        <w:rPr>
          <w:i/>
        </w:rPr>
        <w:t>byrån</w:t>
      </w:r>
      <w:r w:rsidRPr="008956AF">
        <w:t>) uppgick byråns slutliga budget för budgetåret 2022 till 197 759 722 EUR, vilket innebär en ökning med 10,91 % jämfört med 2021. Byråns budget kommer i huvudsak från unionsbudgeten.</w:t>
      </w:r>
    </w:p>
    <w:p w:rsidR="004C23FD" w:rsidRPr="008956AF" w:rsidRDefault="004C23FD" w:rsidP="004C23FD">
      <w:pPr>
        <w:pStyle w:val="Normal12Hanging"/>
        <w:widowControl/>
        <w:rPr>
          <w:szCs w:val="24"/>
        </w:rPr>
      </w:pPr>
      <w:r w:rsidRPr="008956AF">
        <w:t>B.</w:t>
      </w:r>
      <w:r w:rsidRPr="008956AF">
        <w:tab/>
        <w:t>Revisionsrätten fastställer i sin rapport om årsredovisningen för Europeiska unionens byrå för samarbete inom brottsbekämpning (Europol) för budgetåret 2022 att man har uppnått en rimlig säkerhet om att byråns räkenskaper är tillförlitliga och att de underliggande transaktionerna är lagliga och korrekta.</w:t>
      </w:r>
    </w:p>
    <w:p w:rsidR="004C23FD" w:rsidRPr="008956AF" w:rsidRDefault="004C23FD" w:rsidP="004C23FD">
      <w:pPr>
        <w:pStyle w:val="Normal12Hanging"/>
        <w:widowControl/>
        <w:rPr>
          <w:b/>
          <w:i/>
          <w:szCs w:val="24"/>
        </w:rPr>
      </w:pPr>
      <w:r w:rsidRPr="008956AF">
        <w:rPr>
          <w:b/>
          <w:i/>
        </w:rPr>
        <w:t>Budgetförvaltning och ekonomisk förvaltning</w:t>
      </w:r>
    </w:p>
    <w:p w:rsidR="004C23FD" w:rsidRPr="008956AF" w:rsidRDefault="004C23FD" w:rsidP="004C23FD">
      <w:pPr>
        <w:pStyle w:val="NormalHanging12a"/>
      </w:pPr>
      <w:r w:rsidRPr="008956AF">
        <w:t>1.</w:t>
      </w:r>
      <w:r w:rsidRPr="008956AF">
        <w:tab/>
        <w:t>Europaparlamentet noterar att insatserna för budgetövervakning resulterade i ett budgetgenomförande på 96,62 % av åtagandebemyndigandena under 2022, vilket innebär en minskning med 2,10 % jämfört med 2021. Parlamentet noterar att genomförandegraden för betalningsbemyndigandena för det innevarande året var 79,73 %, vilket visar på en minskning med 3,78 % jämfört med 2021. med beaktande av den slutliga årsredovisningen för Europeiska unionens byrå för samarbete inom brottsbekämpning (Europol) för budgetåret 2022,</w:t>
      </w:r>
      <w:r w:rsidRPr="008956AF">
        <w:rPr>
          <w:b/>
          <w:i/>
        </w:rPr>
        <w:t xml:space="preserve"> </w:t>
      </w:r>
      <w:r w:rsidRPr="008956AF">
        <w:t>Parlamentet noterar dock bekymrat att revisionsrättens iakttagelse, där det betonas att byrån står inför utmaningar när det gäller sena betalningar, fortfarande markeras som pågående. Parlamentet delar revisionsrättens åsikt att denna återkommande svaghet utsätter byrån för anseenderisker.</w:t>
      </w:r>
    </w:p>
    <w:p w:rsidR="004C23FD" w:rsidRPr="008956AF" w:rsidRDefault="004C23FD" w:rsidP="004C23FD">
      <w:pPr>
        <w:pStyle w:val="Normal12Hanging"/>
        <w:widowControl/>
        <w:rPr>
          <w:szCs w:val="24"/>
        </w:rPr>
      </w:pPr>
      <w:r w:rsidRPr="008956AF">
        <w:t>2.</w:t>
      </w:r>
      <w:r w:rsidRPr="008956AF">
        <w:tab/>
        <w:t xml:space="preserve">Europaparlamentet noterar en låg genomförandegrad (85 %) av de medel (C8) som fördes över från 2021 till 2022, vilket ledde till ett outnyttjat belopp på 3,8 miljoner EUR i anslag. Parlamentet noterar med oro att anslagen i den nuvarande budgeten som fördes över från 2022 till 2023 ligger på den relativt hög nivån 17 % eller 32,5 miljoner EUR. Parlamentet noterar ytterligare en ökande trend under de senaste åren (2020–2022) när det gäller byråns överskott (budgetresultat) i slutet av budgetåret. </w:t>
      </w:r>
      <w:r w:rsidRPr="008956AF">
        <w:lastRenderedPageBreak/>
        <w:t>För 2022 uppgick detta överskott till 10,3 miljoner EUR, vilket är mer än dubbelt så mycket som 2021 (5,1 miljoner EUR). Parlamentet noterar att enligt byråns konsoliderade årliga verksamhetsrapport för 2022 och byråns rapport med uppföljning av parlamentets beslut om ansvarsfrihet för genomförandet av byråns budget för 2021 undersökte byrån de bakomliggande orsakerna till de höga överskotten i slutet av budgetåret och genomförandegraden när det gäller överförda anslag. Parlamentet konstaterar i detta avseende att byrån också utarbetade en handlingsplan. Parlamentet uppmanar byrån att hålla den ansvarsfrihetsbeviljande myndigheten uppdaterad om de framsteg som har gjorts i detta avseende.</w:t>
      </w:r>
    </w:p>
    <w:p w:rsidR="004C23FD" w:rsidRPr="008956AF" w:rsidRDefault="004C23FD" w:rsidP="004C23FD">
      <w:pPr>
        <w:pStyle w:val="Normal12Hanging"/>
        <w:widowControl/>
        <w:rPr>
          <w:szCs w:val="24"/>
        </w:rPr>
      </w:pPr>
      <w:r w:rsidRPr="008956AF">
        <w:t>3.</w:t>
      </w:r>
      <w:r w:rsidRPr="008956AF">
        <w:tab/>
        <w:t>Europaparlamentet noterar att byråns slutliga budget för 2022 är resultatet av en första ändring på 4,3 miljoner EUR för 2022 års bidrag från Danmark och en andra ändring på 1,1 miljoner EUR för bidragsöverenskommelser och servicenivåavtal.</w:t>
      </w:r>
    </w:p>
    <w:p w:rsidR="004C23FD" w:rsidRPr="008956AF" w:rsidRDefault="004C23FD" w:rsidP="004C23FD">
      <w:pPr>
        <w:pStyle w:val="Normal12Hanging"/>
        <w:widowControl/>
        <w:rPr>
          <w:b/>
          <w:i/>
          <w:szCs w:val="24"/>
        </w:rPr>
      </w:pPr>
      <w:r w:rsidRPr="008956AF">
        <w:rPr>
          <w:b/>
          <w:i/>
        </w:rPr>
        <w:t>Verksamhetsresultat</w:t>
      </w:r>
    </w:p>
    <w:p w:rsidR="004C23FD" w:rsidRPr="008956AF" w:rsidRDefault="004C23FD" w:rsidP="004C23FD">
      <w:pPr>
        <w:pStyle w:val="Normal12Hanging"/>
        <w:widowControl/>
        <w:rPr>
          <w:szCs w:val="24"/>
        </w:rPr>
      </w:pPr>
      <w:r w:rsidRPr="008956AF">
        <w:t>4.</w:t>
      </w:r>
      <w:r w:rsidRPr="008956AF">
        <w:tab/>
        <w:t>Europaparlamentet konstaterar med tillfredsställelse på basis av byråns årliga verksamhetsrapport att byrån använde nyckelprestationsindikatorer och indikatorer för arbetsprogrammet för att bedöma det mervärde som dess verksamhet och andra åtgärder ger för att förbättra sin budgetförvaltning under 2022. Parlamentet noterar att byrån övervakade 15 nyckelprestationsindikatorer och 56 indikatorer för arbetsprogrammet. Parlamentet noterar att 10 nyckelprestationsindikatorer och 40 indikatorer för arbetsprogrammet uppnådde eller överträffade de fastställda målen. Parlamentet uppskattar i detta sammanhang ökningen av vissa centrala resultatindikatorer jämfört med tidigare år i samband med antalet insatser (2 758) och antalet åtgärdsdagar (394) som stöds av byrån, samt antalet sökningar som gjorts i EIS och Quest (13 miljoner) och antalet kontroller av gränsöverskridande brottslighet i EIS avseende personer (2 339).</w:t>
      </w:r>
    </w:p>
    <w:p w:rsidR="004C23FD" w:rsidRPr="008956AF" w:rsidRDefault="004C23FD" w:rsidP="004C23FD">
      <w:pPr>
        <w:pStyle w:val="Normal12Hanging"/>
        <w:widowControl/>
        <w:rPr>
          <w:szCs w:val="24"/>
        </w:rPr>
      </w:pPr>
      <w:r w:rsidRPr="008956AF">
        <w:t>5.</w:t>
      </w:r>
      <w:r w:rsidRPr="008956AF">
        <w:tab/>
        <w:t>Europaparlamentet lovordar byrån för dess goda resultat när det gäller att uppnå de fem fleråriga strategiska prioriteringar som fastställs i Europols strategi 2020+. Parlamentet noterar särskilt inrättandet av informationshanteringsenheten, utvecklingen av en IKT</w:t>
      </w:r>
      <w:r w:rsidRPr="008956AF">
        <w:noBreakHyphen/>
        <w:t>strategi som förväntas bidra till genomförandet av byråns strategi på området informationshantering och genomförandet av en ny affärsvärdemodell för att övervaka framstegen i tillhandahållandet av IKT. Parlamentet konstaterar att Europols innovationslaboratorium blev en del av informationshanteringsenheten i en struktur som förväntas leda till ett närmare samarbete som behövs vid genomförandet av den reviderade Europolförordningen och lanserade Europols verktygslåda för att stödja forskning och innovation i medlemsstaterna, uppmuntra utbyte av erfarenheter och främja synergier. Parlamentet noterar vidare inrättandet av enheten för digitalt stöd som syftar till ett effektivt och ändamålsenligt svar på medlemsstaternas och byråns utredningsbehov, särskilt när det gäller komplexa fall som kräver digitalt kriminaltekniskt stöd.</w:t>
      </w:r>
    </w:p>
    <w:p w:rsidR="004C23FD" w:rsidRPr="008956AF" w:rsidRDefault="004C23FD" w:rsidP="004C23FD">
      <w:pPr>
        <w:pStyle w:val="Normal12Hanging"/>
        <w:widowControl/>
      </w:pPr>
      <w:r w:rsidRPr="008956AF">
        <w:t>6.</w:t>
      </w:r>
      <w:r w:rsidRPr="008956AF">
        <w:tab/>
        <w:t xml:space="preserve">Europaparlamentet lovordar byråns snabba reaktionsförmåga och dess stöd till medlemsstaterna när det gäller att bekämpa brottslighet efter Rysslands olagliga och oprovocerade invasion av Ukraina, till exempel genom att utplacera experter och gästande tjänstemän för att stödja lokala brottsbekämpande myndigheter i länder som gränsar till Ukraina eller stödja finansiella utredningar av kriminella tillgångar som ägs av enskilda personer och juridiska enheter som är föremål för sanktioner i samband med kriget. Parlamentet noterar dessutom att byrån under 2022 utfärdade flera </w:t>
      </w:r>
      <w:r w:rsidRPr="008956AF">
        <w:lastRenderedPageBreak/>
        <w:t>hotbedömningar om krigets potentiella konsekvenser samt tidiga varningar och underrättelser om t.ex. vapenhandel och människohandel. Parlamentet uppmuntrar vidare byrån att göra sitt yttersta för att stödja unionens och medlemsstaternas åtgärder på detta område. Parlamentet noterar att den olagliga militära invasionen har orsakat en humanitär kris och fått ett stort antal flyktingar att fly från Ukraina till unionen, vilket innebär att opportunistiska kriminella nätverk kan utnyttja denna situation för att främja sin brottsliga verksamhet. Parlamentet betonar vidare att utvidgningen av byråns befogenheter när det gäller stöd till medlemsstaterna och samarbete med privata parter, tredjeländer och internationella organisationer skulle kräva att det inrättas ytterligare interna och externa tillsynsmekanismer för att garantera respekten för unionsrätten och säkerställa skyddet av de grundläggande rättigheterna.</w:t>
      </w:r>
    </w:p>
    <w:p w:rsidR="004C23FD" w:rsidRPr="008956AF" w:rsidRDefault="004C23FD" w:rsidP="004C23FD">
      <w:pPr>
        <w:pStyle w:val="Normal12Hanging"/>
        <w:widowControl/>
      </w:pPr>
    </w:p>
    <w:p w:rsidR="004C23FD" w:rsidRPr="008956AF" w:rsidRDefault="004C23FD" w:rsidP="004C23FD">
      <w:pPr>
        <w:pStyle w:val="Normal12Hanging"/>
        <w:widowControl/>
      </w:pPr>
      <w:r w:rsidRPr="008956AF">
        <w:t>7.</w:t>
      </w:r>
      <w:r w:rsidRPr="008956AF">
        <w:tab/>
        <w:t>Europaparlamentet konstaterar att byrån har fortsatt med sitt nära samarbete med eu</w:t>
      </w:r>
      <w:r w:rsidRPr="008956AF">
        <w:noBreakHyphen/>
        <w:t>Lisa för att inrätta automatiska kontroller av uppgifter om reseansökningar från EU</w:t>
      </w:r>
      <w:r w:rsidRPr="008956AF">
        <w:noBreakHyphen/>
        <w:t>systemet för reseuppgifter och resetillstånd (Etias) mot Europoluppgifter. Parlamentet noterar att ibruktagandet av Etias senarelades till november 2023 genom rådets beslut. Parlamentet uppskattar att byrån utvidgade sitt samarbete med Europeiska åklagarmyndigheten (Eppo) under 2022 och i slutet av året stödde 21 större Eppo-insatser på området skattebedrägeri.</w:t>
      </w:r>
    </w:p>
    <w:p w:rsidR="004C23FD" w:rsidRPr="008956AF" w:rsidRDefault="004C23FD" w:rsidP="004C23FD">
      <w:pPr>
        <w:pStyle w:val="NormalHanging12a"/>
        <w:widowControl/>
        <w:rPr>
          <w:b/>
          <w:i/>
          <w:szCs w:val="24"/>
        </w:rPr>
      </w:pPr>
      <w:r w:rsidRPr="008956AF">
        <w:rPr>
          <w:b/>
          <w:i/>
        </w:rPr>
        <w:t>Effektivitet och vinster</w:t>
      </w:r>
    </w:p>
    <w:p w:rsidR="004C23FD" w:rsidRPr="008956AF" w:rsidRDefault="004C23FD" w:rsidP="004C23FD">
      <w:pPr>
        <w:pStyle w:val="Normal12Hanging"/>
        <w:widowControl/>
      </w:pPr>
      <w:r w:rsidRPr="008956AF">
        <w:t>8.</w:t>
      </w:r>
      <w:r w:rsidRPr="008956AF">
        <w:tab/>
        <w:t>Europaparlamentet noterar med tillfredsställelse att byrån reviderade sin Europolstrategi 2020+ för att anpassa sina strategiska prioriteringar till medlemsstaternas nuvarande operativa behov och de säkerhetshot som de står inför, och därmed siktade på att förbättra byråns resultat. Parlamentet noterar i detta avseende en ny strategisk prioritering för att sammanföra relevanta partner för gränsöverskridande samarbete och gemensamma åtgärder, inbegripet de Schengenassocierade länderna, Interpol och unionens byråer på området rättsliga och inrikes frågor.</w:t>
      </w:r>
    </w:p>
    <w:p w:rsidR="004C23FD" w:rsidRPr="008956AF" w:rsidRDefault="004C23FD" w:rsidP="004C23FD">
      <w:pPr>
        <w:pStyle w:val="NormalHanging12a"/>
        <w:widowControl/>
        <w:rPr>
          <w:szCs w:val="24"/>
        </w:rPr>
      </w:pPr>
      <w:r w:rsidRPr="008956AF">
        <w:t>9.</w:t>
      </w:r>
      <w:r w:rsidRPr="008956AF">
        <w:tab/>
        <w:t>Europaparlamentet noterar med tillfredsställelse utifrån byråns svar på parlamentets skriftliga frågor byråns utökade åtgärder och praxis för att öka effektivitetsvinsterna på områdena IKT-lösningar för kärnverksamheten (insourcing i stället för outsourcing), digitalisering av personaltjänster (e-rekrytering, e-utbildning) och verktyg för övervakning av budgetgenomförandet, andelen lediga tjänster, kontraktstak i upphandlingsförfaranden och miljöindikatorer m.m. Parlamentet lovordar byrån för genomförandet av verktyget för offentlig upphandling samt för att ha genomfört gemensamma upphandlingsförfaranden med andra byråer.</w:t>
      </w:r>
    </w:p>
    <w:p w:rsidR="004C23FD" w:rsidRPr="008956AF" w:rsidRDefault="004C23FD" w:rsidP="004C23FD">
      <w:pPr>
        <w:pStyle w:val="NormalHanging12a"/>
        <w:widowControl/>
        <w:rPr>
          <w:szCs w:val="24"/>
        </w:rPr>
      </w:pPr>
      <w:r w:rsidRPr="008956AF">
        <w:t>10.</w:t>
      </w:r>
      <w:r w:rsidRPr="008956AF">
        <w:tab/>
        <w:t xml:space="preserve">Europaparlamentet noterar att i kölvattnet av ändringen i planeringen av EU:s interoperabilitetsagenda var det nödvändigt att omplanera byråns interna verksamhet och resurser, vilket medförde ett behov av ytterligare personal. Parlamentet noterar i detta sammanhang en överenskommelse som nåtts och som innebär att 25 anställda vid Europeiska gräns- och kustbevakningsbyrån från och med 2024 kommer att hjälpa byrån att fullgöra sina skyldigheter enligt interoperabilitetsagendan. Parlamentet noterar vidare en belastning på byråns resurser kopplad till samrådsförfaranden med Europeiska datatillsynsmannen (EDPS), där 25 av byråns anställda har avdelats för EDPS-relaterade åtgärder. Parlamentet lovordar byrån för dess nära samarbete med EDPS och för att den följt EDPS rekommendationer när det gäller </w:t>
      </w:r>
      <w:r w:rsidRPr="008956AF">
        <w:lastRenderedPageBreak/>
        <w:t>användningen av olika system såsom Epris, Adep, SIS, Perci och Quest+. Parlamentet noterar byråns iakttagelse när det gäller förseningen av införandet av Perci (EU:s plattform för olagligt innehåll online) på grund av den stora operativa inverkan som EDPS yttranden och efterföljande rekommendationer hade på utvecklingen. Parlamentet lovordar byrån för att ha utsett sitt ombud för grundläggande rättigheter, som kommer att stödja byrån när det gäller att skydda respekten för de grundläggande rättigheterna i all dess verksamhet och alla uppgifter.</w:t>
      </w:r>
    </w:p>
    <w:p w:rsidR="004C23FD" w:rsidRPr="008956AF" w:rsidRDefault="004C23FD" w:rsidP="004C23FD">
      <w:pPr>
        <w:pStyle w:val="NormalHanging12a"/>
      </w:pPr>
      <w:r w:rsidRPr="008956AF">
        <w:t>11.</w:t>
      </w:r>
      <w:r w:rsidRPr="008956AF">
        <w:tab/>
        <w:t>Europaparlamentet lovordar byrån för att den 2022 certifierades enligt miljölednings- och miljörevisionsordningen (Emas). Parlamentet lovordar vidare byrån för användningen av kriterier för miljöanpassad offentlig upphandling samt för integreringen av byråns miljöpolitik och miljömål i dess upphandlingsförfaranden. Parlamentet noterar att byrån inledde ett projekt i form av en genomförbarhetsstudie för utveckling av byråns miljövision för 2030 i syfte att fastställa minskningsmål för byråns växthusgasutsläpp och de förbättringsåtgärder som krävs för att uppnå dessa mål. Parlamentet uppmanar byrån att informera den ansvarsfrihetsbeviljande myndigheten om resultaten av denna studie.</w:t>
      </w:r>
      <w:r w:rsidRPr="008956AF">
        <w:rPr>
          <w:b/>
          <w:i/>
        </w:rPr>
        <w:t xml:space="preserve"> </w:t>
      </w:r>
      <w:r w:rsidRPr="008956AF">
        <w:t>Parlamentet uppmanar byrån att överväga att även genomföra provisoriska hållbara och energieffektiva lösningar för både sin infrastruktur och sina interna processer, såsom ökad användning av digitala verktyg och dokumenthantering.</w:t>
      </w:r>
    </w:p>
    <w:p w:rsidR="004C23FD" w:rsidRPr="008956AF" w:rsidRDefault="004C23FD" w:rsidP="004C23FD">
      <w:pPr>
        <w:pStyle w:val="Normal12Hanging"/>
        <w:widowControl/>
        <w:rPr>
          <w:b/>
          <w:i/>
          <w:szCs w:val="24"/>
        </w:rPr>
      </w:pPr>
      <w:r w:rsidRPr="008956AF">
        <w:rPr>
          <w:b/>
          <w:i/>
        </w:rPr>
        <w:t>Personalpolitik</w:t>
      </w:r>
    </w:p>
    <w:p w:rsidR="004C23FD" w:rsidRPr="008956AF" w:rsidRDefault="004C23FD" w:rsidP="004C23FD">
      <w:pPr>
        <w:pStyle w:val="Normal12Hanging"/>
        <w:widowControl/>
        <w:rPr>
          <w:szCs w:val="24"/>
        </w:rPr>
      </w:pPr>
      <w:r w:rsidRPr="008956AF">
        <w:t>12.</w:t>
      </w:r>
      <w:r w:rsidRPr="008956AF">
        <w:tab/>
        <w:t>Europaparlamentet noterar att 99,41 % av tjänsterna i tjänsteförteckningen var tillsatta den 31 december 2022. Av de 686 tjänster för tillfälligt anställda som får tillsättas enligt EU-budgeten hade 682 tillsatts (615 år 2021). Parlamentet konstaterar dessutom att 236 kontraktsanställda (varav 19 finansierades genom bidrag/överenskommelser) och 55 utstationerade nationella experter arbetade för byrån 2022 (antalet tillåtna tjänster enigt EU-budgeten var 235 respektive 71). Parlamentet noterar också att ytterligare 11 tjänster för tillfälligt anställda, utanför tjänsteförteckningen för 2022, tilldelades för en begränsad period för att begränsa antalet lediga tjänster till ett minimum. Parlamentet noterar att byrån gör åtskillnad mellan fem kategorier av utstationerade nationella experter, med fyra kategorier som medför begränsade eller inga kostnader för byråns budget och som omfattar 152 personer, vilket innebär att det totala antalet utstationerade nationella experter 2022 uppgår till 207. Parlamentet lovordar byråns låga andel vakanta tjänster på 0,6 % under 2021, vilket ligger ordentligt under det årliga målet om en högsta vakansgrad på 2 %, Parlamentet noterar vidare ökningen av byråns personalomsättning från 6,9 % 2021 till 9,12 % 2022.</w:t>
      </w:r>
    </w:p>
    <w:p w:rsidR="004C23FD" w:rsidRPr="008956AF" w:rsidRDefault="004C23FD" w:rsidP="004C23FD">
      <w:pPr>
        <w:pStyle w:val="NormalHanging12a"/>
      </w:pPr>
      <w:r w:rsidRPr="008956AF">
        <w:t>13.</w:t>
      </w:r>
      <w:r w:rsidRPr="008956AF">
        <w:tab/>
        <w:t xml:space="preserve">Europaparlamentet betonar att byrån mot bakgrund av den ryska invasionen av Ukraina 2022 har utplacerat operativa grupper bestående av utstationerade nationella experter utan kostnad i flera medlemsstater, såsom Litauen, Slovakien, Ungern, Rumänien och Bulgarien samt i partnerländer såsom Moldavien, och därmed ökat sin användning av utstationerade nationella experter utan kostnad. Parlamentet påpekar att inkomsterna för de nationella experter som utstationerats utan kostnad fortfarande är beroende av vilka beslut som fattats nationellt, och att ett antal medlemsstater har beslutat att inte fortsätta att betala ut löner när sådana situationer uppstår, vilket gör dem beroende av de belopp som betalas ut som dagtraktamente. Parlamentet påminner om att dagtraktamentena visserligen bör justeras med korrigeringskoefficienten och kompensera för högre levnadskostnader, på basis av inflationssiffrorna, men att dessa siffror vart tredje år har förblivit oförändrade under de senaste sex åren. Parlamentet uppmanar byrån att inleda </w:t>
      </w:r>
      <w:r w:rsidRPr="008956AF">
        <w:lastRenderedPageBreak/>
        <w:t>en omfattande dialog med kommissionen och behöriga nationella myndigheter för att säkerställa en rättvis ersättning för alla experter som är anställda av byrån.</w:t>
      </w:r>
    </w:p>
    <w:p w:rsidR="004C23FD" w:rsidRPr="008956AF" w:rsidRDefault="004C23FD" w:rsidP="004C23FD">
      <w:pPr>
        <w:pStyle w:val="NormalHanging12a"/>
      </w:pPr>
      <w:r w:rsidRPr="008956AF">
        <w:t>14.</w:t>
      </w:r>
      <w:r w:rsidRPr="008956AF">
        <w:tab/>
        <w:t>Europaparlamentet noterar med oro byråns rapporterade könsfördelning 2022 för högre chefer och mellanchefer, med 82 % män (28 män och 6 kvinnor), för styrelsen, med 75 % män (38 män och 13 kvinnor) och för personalen totalt, med 65 % män (556 män och 295 kvinnor). Parlamentet konstaterar att andelen kvinnor (35 %) som var anställda av byrån under 2022 ligger över genomsnittet (baserat på Eurostats statistik för 2021) av kvinnor (21,6 %) inom brottsbekämpning i unionen (poliser, yrkesdomare och fängelsepersonal). Parlamentet påminner om vikten av att säkerställa en jämn könsfördelning, och uppmanar byrån att ta hänsyn till denna aspekt när det gäller framtida rekryteringar av personal och utnämningar på högre chefsnivå och mellanchefsnivå. Parlamentet uppmanar kommissionen och medlemsstaterna att beakta vikten av att säkerställa en jämn könsfördelning när de nominerar sina ledamöter till byråns styrelse.</w:t>
      </w:r>
    </w:p>
    <w:p w:rsidR="004C23FD" w:rsidRPr="008956AF" w:rsidRDefault="004C23FD" w:rsidP="004C23FD">
      <w:pPr>
        <w:pStyle w:val="NormalHanging12a"/>
      </w:pPr>
      <w:r w:rsidRPr="008956AF">
        <w:t>15.</w:t>
      </w:r>
      <w:r w:rsidRPr="008956AF">
        <w:tab/>
        <w:t>Europaparlamentet noterar att tre nya fall av utbrändhet rapporterades av byråns läkarmottagning 2022. Parlamentet noterar vidare att byrån har genomfört åtgärder för att förbättra personalens välbefinnande, såsom bl.a. arbetsmiljörådgivning och livsstilsrådgivning, medicinska deltidsscheman, remisser till specialister och rådgivning till personer i ledningen som bistår personalen. Parlamentet noterar att styrelsen samtyckte till en analog tillämpning på byrån av kommissionens beslut C (2022) om arbetstid och hybridarbete, som ersätter de tidigare genomförandebestämmelserna om arbetstid och distansarbete, i syfte att tillhandahålla en ram där arbete på kontoret och distansarbete betraktas som likvärdiga arbetssätt. Parlamentet uppmanar byrån att fortsätta att undersöka lösningar för att minska fall av utbrändhet och att återrapportera till den ansvarsfrihetsbeviljande myndigheten om de framsteg som gjorts.</w:t>
      </w:r>
    </w:p>
    <w:p w:rsidR="004C23FD" w:rsidRPr="008956AF" w:rsidRDefault="004C23FD" w:rsidP="004C23FD">
      <w:pPr>
        <w:pStyle w:val="NormalHanging12a"/>
      </w:pPr>
      <w:r w:rsidRPr="008956AF">
        <w:t>16.</w:t>
      </w:r>
      <w:r w:rsidRPr="008956AF">
        <w:tab/>
        <w:t>Europaparlamentet noterar att enligt byråns svar på parlamentets skriftliga frågor har byrån, trots att den inte har genomfört stadgan om mångfald och inkludering, infört sin egen strategi för mångfald och inkludering. Parlamentet noterar vidare att byrån under 2022 reviderade och antog handboken för genomförandet av styrelsens beslut om policyn för skydd av enskildas värdighet och förebyggande av psykiska och sexuella trakasserier. Parlamentet noterar att byrån under perioden 2017–2022 sökte extern juridisk rådgivning i två fall av påstådda trakasserier. Parlamentet noterar att inga fall av trakasserier avseende byråns personal togs upp i domstol under 2022.</w:t>
      </w:r>
      <w:r w:rsidRPr="008956AF">
        <w:rPr>
          <w:b/>
          <w:i/>
        </w:rPr>
        <w:t xml:space="preserve"> </w:t>
      </w:r>
      <w:r w:rsidRPr="008956AF">
        <w:t>Parlamentet betonar vikten av att ha robusta ramar för bekämpning av trakasserier, särskilt i mycket stressande och krävande arbetsmiljöer. Parlamentet uppmanar byrån att införa ett utbildningsprogram i denna fråga för både nyanställda och befintlig personal.</w:t>
      </w:r>
    </w:p>
    <w:p w:rsidR="004C23FD" w:rsidRPr="008956AF" w:rsidRDefault="004C23FD" w:rsidP="004C23FD">
      <w:pPr>
        <w:pStyle w:val="NormalHanging12a"/>
        <w:widowControl/>
        <w:rPr>
          <w:b/>
          <w:i/>
          <w:szCs w:val="24"/>
        </w:rPr>
      </w:pPr>
      <w:r w:rsidRPr="008956AF">
        <w:rPr>
          <w:b/>
          <w:i/>
        </w:rPr>
        <w:t>Offentlig upphandling</w:t>
      </w:r>
    </w:p>
    <w:p w:rsidR="004C23FD" w:rsidRPr="008956AF" w:rsidRDefault="004C23FD" w:rsidP="004C23FD">
      <w:pPr>
        <w:pStyle w:val="NormalHanging12a"/>
        <w:widowControl/>
        <w:rPr>
          <w:szCs w:val="24"/>
        </w:rPr>
      </w:pPr>
      <w:r w:rsidRPr="008956AF">
        <w:t>17.</w:t>
      </w:r>
      <w:r w:rsidRPr="008956AF">
        <w:tab/>
        <w:t xml:space="preserve">Europaparlamentet noterar iakttagelsen i revisionsrättens rapport att byrån under 2022 betalade ett bidrag på 3,3 miljoner EUR för att finansiera verksamheten för en nationell polisstyrka i en medlemsstat, varav 1,4 miljoner EUR betalades som ersättning för inköpet av fem båtar och en avsättning på 7 % för tillhörande omkostnader, däribland mervärdesskatt. Parlamentet noterar att enligt revisionsrättens bedömning borde mervärdesskatt för förvärv av båtar för polisutbildning, mot bakgrund av artikel 186.4 c i budgetförordningen, inte ha återbetalats eftersom stödmottagaren är en offentligrättslig myndighet som bedriver verksamhet som offentlig myndighet, och denna del av bidraget, som uppgår till 0,2 miljoner EUR, konstaterades vara felaktig. Parlamentet </w:t>
      </w:r>
      <w:r w:rsidRPr="008956AF">
        <w:lastRenderedPageBreak/>
        <w:t>konstaterar utifrån byråns svar att byrån, med beaktande av artikel 5 i rådets beslut 2008/617/RIF om förbättrat samarbete i krissituationer mellan Europeiska unionens medlemsstaters särskilda insatsgrupper – där det föreskrivs att de särskilda stödenheterna ska säkerställa gemensam utbildning och gemensamma övningar – ansåg att driftsbidraget gällde verksamhet som bedrivs av särskilda stödenheter som samordnas av en medlemsstat. Av denna orsak ansåg byrån att mervärdesskatt därför är en stödberättigande kostnad enligt artikel 186.4 c i budgetförordningen och motsvarande särskilda vägledning från kommissionen om bidragsförvaltning, såvida den inte kan återkrävas enligt tillämplig nationell lagstiftning och när den avser utbildning, medvetandehöjande åtgärder eller liknande åtgärder på säkerhetsområdet, med undantag för mervärdesskatt som betalas av medlemsstaterna när de agerar som offentliga myndigheter i egenskap av suveräna myndigheter, särskilt när privata företag inte skulle kunna tillhandahålla de tillhörande tjänsterna. Parlamentet noterar slutligen, när det gäller det fortsatta arbetet, byråns åtagande att bedöma om mervärdesskatt är stödberättigande för driftsbidrag mot bakgrund av revisionsrättens iakttagelser.</w:t>
      </w:r>
    </w:p>
    <w:p w:rsidR="004C23FD" w:rsidRPr="008956AF" w:rsidRDefault="004C23FD" w:rsidP="004C23FD">
      <w:pPr>
        <w:pStyle w:val="NormalHanging12a"/>
        <w:widowControl/>
        <w:rPr>
          <w:b/>
          <w:i/>
          <w:szCs w:val="24"/>
        </w:rPr>
      </w:pPr>
      <w:r w:rsidRPr="008956AF">
        <w:rPr>
          <w:b/>
          <w:i/>
        </w:rPr>
        <w:t>Förebyggande och hantering av intressekonflikter samt transparens</w:t>
      </w:r>
    </w:p>
    <w:p w:rsidR="004C23FD" w:rsidRPr="008956AF" w:rsidRDefault="004C23FD" w:rsidP="004C23FD">
      <w:pPr>
        <w:pStyle w:val="NormalHanging12a"/>
      </w:pPr>
      <w:r w:rsidRPr="008956AF">
        <w:t>18.</w:t>
      </w:r>
      <w:r w:rsidRPr="008956AF">
        <w:tab/>
        <w:t>Europaparlamentet noterar byråns befintliga åtgärder och pågående insatser för att säkerställa transparens, förebyggande och hantering av intressekonflikter samt skydd av visselblåsare. Parlamentet välkomnar att intresseförklaringarna och meritförteckningarna för alla styrelseledamöter och för den verkställande ledningen offentliggörs på byråns webbplats.</w:t>
      </w:r>
      <w:r w:rsidRPr="008956AF">
        <w:rPr>
          <w:b/>
          <w:i/>
        </w:rPr>
        <w:t xml:space="preserve"> </w:t>
      </w:r>
      <w:r w:rsidRPr="008956AF">
        <w:t>Parlamentet uppmanar byrån att överväga åtgärder för att även förhindra svängdörrsproblematik.</w:t>
      </w:r>
    </w:p>
    <w:p w:rsidR="004C23FD" w:rsidRPr="008956AF" w:rsidRDefault="004C23FD" w:rsidP="004C23FD">
      <w:pPr>
        <w:pStyle w:val="NormalHanging12a"/>
        <w:widowControl/>
        <w:rPr>
          <w:szCs w:val="24"/>
        </w:rPr>
      </w:pPr>
      <w:r w:rsidRPr="008956AF">
        <w:t>19.</w:t>
      </w:r>
      <w:r w:rsidRPr="008956AF">
        <w:tab/>
        <w:t>Europaparlamentet noterar att byrån under 2022 hanterade sex ärenden om intressekonflikter: två som gällde rollen som rådgivare i urvalsprocessen, en som upptäcktes under rekryteringen av en godkänd sökande innan denne tillträdde sin tjänst vid byrån och två som hänförde sig till anställda efter avslutad tjänstgöring. Parlamentet noterar vidare att lämpliga åtgärder vidtogs i dessa situationer, inbegripet villkorad rätt till anställning efter avslutad tjänstgöring. Parlamentet noterar att byrån hanterade ett visselblåsarfall under 2022, som avslutades utan ytterligare åtgärder och som gällde en potentiell överträdelse av yrkesmässiga skyldigheter.</w:t>
      </w:r>
    </w:p>
    <w:p w:rsidR="004C23FD" w:rsidRPr="008956AF" w:rsidRDefault="004C23FD" w:rsidP="004C23FD">
      <w:pPr>
        <w:pStyle w:val="NormalHanging12a"/>
      </w:pPr>
      <w:r w:rsidRPr="008956AF">
        <w:t>20.</w:t>
      </w:r>
      <w:r w:rsidRPr="008956AF">
        <w:tab/>
        <w:t>Europaparlamentet uttrycker oro över medierapporter om intressekonflikter bland byråns personal. Parlamentet noterar att Europeiska ombudsmannen i december 2023 beslutade att inleda en utredning för att undersöka hur byrån hanterade två tidigare anställdas förflyttningar till befattningar med anknytning till bekämpning av sexuella övergrepp mot barn på nätet. Parlamentet noterar att den första anställda gick över till en viktig intressent i teknikbranschen i början av 2022, och den andra gick in som styrelseledamot hos samma intressent senare samma år. Parlamentet noterar byråns svar och begär att anklagelserna utreds grundligt och resultatet rapporteras till den ansvarsfrihetsbeviljande myndigheten.</w:t>
      </w:r>
    </w:p>
    <w:p w:rsidR="004C23FD" w:rsidRPr="008956AF" w:rsidRDefault="004C23FD" w:rsidP="004C23FD">
      <w:pPr>
        <w:pStyle w:val="NormalHanging12a"/>
        <w:widowControl/>
        <w:rPr>
          <w:szCs w:val="24"/>
        </w:rPr>
      </w:pPr>
      <w:r w:rsidRPr="008956AF">
        <w:rPr>
          <w:b/>
          <w:i/>
        </w:rPr>
        <w:t>Internkontroll</w:t>
      </w:r>
    </w:p>
    <w:p w:rsidR="004C23FD" w:rsidRPr="008956AF" w:rsidRDefault="004C23FD" w:rsidP="004C23FD">
      <w:pPr>
        <w:pStyle w:val="Normal12Hanging"/>
        <w:widowControl/>
        <w:rPr>
          <w:szCs w:val="24"/>
        </w:rPr>
      </w:pPr>
      <w:r w:rsidRPr="008956AF">
        <w:t>21.</w:t>
      </w:r>
      <w:r w:rsidRPr="008956AF">
        <w:tab/>
        <w:t xml:space="preserve">Europaparlamentet noterar iakttagelsen i revisionsrättens rapport att byrån under perioden 2020–2022 betalade dagtraktamente till tre nederländska medborgare som var anställda som utstationerade nationella experter. Parlamentet konstaterar att eftersom byrån ligger i Nederländerna var de tre utstationerade nationella experterna inte berättigade till dessa ersättningar enligt byråns interna regler. Parlamentet noterar vidare </w:t>
      </w:r>
      <w:r w:rsidRPr="008956AF">
        <w:lastRenderedPageBreak/>
        <w:t>att även om byrån i december 2022 upphörde med betalningen av dagtraktamenten till de tre nationella experterna beslutade byrån att inte kräva tillbaka de överskjutande betalningar som gjorts under den perioden. Parlamentet noterar att det totala beloppet för dessa betalningar uppgick till 155 553 EUR, varav 90 605 EUR betalades ut 2022. Parlamentet är bekymrat över bristerna i samband med byråns förhandskontroller under en period som sträcker sig över tre år. Parlamentet noterar att enligt byråns svar på revisionsrättens iakttagelse har byrån förbättrat förhandskontrollerna för att säkerställa lagligheten i personalens ekonomiska rättigheter före utbetalning.</w:t>
      </w:r>
    </w:p>
    <w:p w:rsidR="004C23FD" w:rsidRPr="008956AF" w:rsidRDefault="004C23FD" w:rsidP="004C23FD">
      <w:pPr>
        <w:pStyle w:val="Normal12Hanging"/>
        <w:widowControl/>
        <w:rPr>
          <w:szCs w:val="24"/>
        </w:rPr>
      </w:pPr>
      <w:r w:rsidRPr="008956AF">
        <w:t>22.</w:t>
      </w:r>
      <w:r w:rsidRPr="008956AF">
        <w:tab/>
        <w:t>Europaparlamentet lovordar byrån för de framsteg som gjorts när det gäller att genomföra kommande revisionsrekommendationer, av vilka 89 % av dem som var kritiska eller mycket viktiga genomfördes under 2022. Parlamentet noterar att sju mycket viktiga rekommendationer (avsedda att genomföras och tillämpas) i slutet av 2022 fortfarande var under behandling när det gäller rapporter från revisioner som genomförts under 2018, 2019 och 2021. Parlamentet noterar att kommissionens tjänst för internrevision (IAS) utfärdade den strategiska internrevisionsplanen för byrån för perioden 2022–2024 som omfattade tre teman, inklusive en revision av samordning och samarbetsavtal med GD HOME som genomfördes 2022, vars resultat förväntas under 2023.</w:t>
      </w:r>
    </w:p>
    <w:p w:rsidR="004C23FD" w:rsidRPr="008956AF" w:rsidRDefault="004C23FD" w:rsidP="004C23FD">
      <w:pPr>
        <w:pStyle w:val="Normal12Hanging"/>
        <w:widowControl/>
        <w:rPr>
          <w:szCs w:val="24"/>
        </w:rPr>
      </w:pPr>
      <w:r w:rsidRPr="008956AF">
        <w:t>23.</w:t>
      </w:r>
      <w:r w:rsidRPr="008956AF">
        <w:tab/>
        <w:t>Europaparlamentet noterar slutsatsen från byråns självbedömning av effektiviteten i dess interna kontrollsystem (ICS), både genom kvantitativa mätningar och kvalitativa aspekter, inbegripet en uppsättning med 76 indikatorer för internkontroll, att alla komponenter i internkontrollsystemet totalt sett fanns på plats och fungerade på ett integrerat sätt och att det inte fanns några märkbara brister i den interna kontrollen 2022. Parlamentet noterar att byråns internrevisionsfunktion slutförde en översyn av byråns ram för internkontroll för 2022, och drog slutsatsen att byrån hade ett robust system för internkontroller.</w:t>
      </w:r>
    </w:p>
    <w:p w:rsidR="004C23FD" w:rsidRPr="008956AF" w:rsidRDefault="004C23FD" w:rsidP="004C23FD">
      <w:pPr>
        <w:pStyle w:val="Normal12Hanging"/>
        <w:widowControl/>
        <w:rPr>
          <w:szCs w:val="24"/>
        </w:rPr>
      </w:pPr>
      <w:r w:rsidRPr="008956AF">
        <w:t>24.</w:t>
      </w:r>
      <w:r w:rsidRPr="008956AF">
        <w:tab/>
        <w:t>Europaparlamentet noterar att byrån utvecklade och lanserade en riskhanteringspolicy 2022. Parlamentet noterar vidare att byråns interna riskprofil under 2022 kännetecknades av bland annat det utökade mandatet och det ökade antalet uppgifter, den ökade efterfrågan på ett framgångsrikt tillhandahållande av viktiga IKT-lösningar för behandling av personuppgifter, de kontinuerliga insatserna för att mildra de säkerhetsmässiga och brottsbekämpande effekterna av kriget i Ukraina och ökad tillsyn och tillhörande granskningsverksamhet (inbegripet när det gäller uppgiftsskydd). Parlamentet lovordar byrån för att den 2022 antog sin reviderade strategi för bedrägeribekämpning för perioden 2022–2024, vilken återspeglar principerna, bedömningen av bedrägeririsken samt målen och åtgärderna för bedrägeribekämpning, och en översyn av genomförandet av åtgärderna i strategin för bedrägeribekämpning 2017–2020. Parlamentet noterar att Europeiska byrån för bedrägeribekämpning slutförde en utredning (avseende felaktiga kostnadsredovisningar för tjänsteresor för en av byråns anställda), vars rapport offentliggjordes 2022. Parlamentet noterar att byråns beslutsfattande i detta fall fortfarande befinner sig i slutskedet. Parlamentet uppmanar byrån att rapportera till den ansvarsfrihetsbeviljande myndigheten om uppföljningen och det slutliga beslutet i detta ärende.</w:t>
      </w:r>
    </w:p>
    <w:p w:rsidR="004C23FD" w:rsidRPr="008956AF" w:rsidRDefault="004C23FD" w:rsidP="004C23FD">
      <w:pPr>
        <w:widowControl/>
        <w:spacing w:after="240"/>
        <w:ind w:left="567" w:hanging="567"/>
        <w:rPr>
          <w:b/>
          <w:i/>
          <w:szCs w:val="24"/>
        </w:rPr>
      </w:pPr>
      <w:r w:rsidRPr="008956AF">
        <w:rPr>
          <w:b/>
          <w:i/>
        </w:rPr>
        <w:t>Övriga kommentarer</w:t>
      </w:r>
    </w:p>
    <w:p w:rsidR="004C23FD" w:rsidRPr="008956AF" w:rsidRDefault="004C23FD" w:rsidP="004C23FD">
      <w:pPr>
        <w:pStyle w:val="Normal12Hanging"/>
        <w:widowControl/>
        <w:rPr>
          <w:szCs w:val="24"/>
        </w:rPr>
      </w:pPr>
      <w:r w:rsidRPr="008956AF">
        <w:t>25.</w:t>
      </w:r>
      <w:r w:rsidRPr="008956AF">
        <w:tab/>
        <w:t xml:space="preserve">Europaparlamentet noterar att byrån har fortsatt att genomföra olika åtgärder för att öka sin offentliga närvaro och sin närvaro online genom att lansera en serie poddsändningar, </w:t>
      </w:r>
      <w:r w:rsidRPr="008956AF">
        <w:lastRenderedPageBreak/>
        <w:t>konsolidera sin webbplats, anordna konferenser och lansera rapporter (såsom ”Spotlight Report”-serien och den omarbetade ”In Brief”-rapporten) samt genom sin närvaro i sociala medier (med över 1 100 inlägg publicerade 2022). Parlamentet noterar i detta sammanhang en ökning av omnämnanden i medier med stor genomslagskraft och en betydande ökning av byråns parametrar på sociala medier under 2022 jämfört med 2021.</w:t>
      </w:r>
    </w:p>
    <w:p w:rsidR="004C23FD" w:rsidRPr="008956AF" w:rsidRDefault="004C23FD" w:rsidP="004C23FD">
      <w:pPr>
        <w:pStyle w:val="NormalHanging12a"/>
      </w:pPr>
      <w:r w:rsidRPr="008956AF">
        <w:t>26.</w:t>
      </w:r>
      <w:r w:rsidRPr="008956AF">
        <w:tab/>
        <w:t>Europaparlamentet uppmanar byrån att vidta åtgärder för att säkerställa fullständig efterlevnad av unionens transparensregler samt grundläggande rättigheter, dataskyddsstandarder och ansvarsskyldighet, även när den samarbetar med andra byråer. Parlamentet anser att det är nödvändigt att offentliggöra möten och kontakter mellan byrån och tredje parter för att säkerställa ökad transparens. Parlamentet välkomnar i detta avseende utnämningen av byråns ombud för grundläggande rättigheter.</w:t>
      </w:r>
    </w:p>
    <w:p w:rsidR="004C23FD" w:rsidRPr="008956AF" w:rsidRDefault="004C23FD" w:rsidP="004C23FD">
      <w:pPr>
        <w:pStyle w:val="NormalHanging12a"/>
      </w:pPr>
      <w:r w:rsidRPr="008956AF">
        <w:t>27.</w:t>
      </w:r>
      <w:r w:rsidRPr="008956AF">
        <w:tab/>
        <w:t xml:space="preserve">Europaparlamentet noterar att Europeiska datatillsynsmannen (EDPS) den 16 september 2022 begärde att Europeiska unionens domstol skulle ogiltigförklara två bestämmelser i den ändrade förordningen om Europol, nämligen artiklarna 74a och 74b, och menade att dessa allvarligt undergräver rättssäkerheten för enskilda personers personuppgifter och hotar EDPS oberoende. Parlamentet noterar vidare tribunalens beslut i mål T-578/22 av den 6 september 2023, genom vilket datatillsynsmannens talan mot den ändrade Europolförordningen ansågs otillåtlig, och att EDPS när det gäller de omtvistade bestämmelsernas inverkan på EDPS beslut av den 3 januari </w:t>
      </w:r>
      <w:r w:rsidR="0001754C">
        <w:t xml:space="preserve">2022 </w:t>
      </w:r>
      <w:r w:rsidRPr="008956AF">
        <w:t>inte kan åberopa dem till stöd för sin talan. Parlamentet noterar att EDPS har överklagat mål T-578/22 och har i uppdrag att övervaka lagligheten i byråns behandling av personuppgifter enligt förordning (EU) 2016/794. Parlamentet välkomnar att byrån ansträngt sig att följa EDPS rekommendationer, särskilt att alla bidrag från ti</w:t>
      </w:r>
      <w:bookmarkStart w:id="8" w:name="_GoBack"/>
      <w:bookmarkEnd w:id="8"/>
      <w:r w:rsidRPr="008956AF">
        <w:t>den före ikraftträdandet av den ändrade Europolförordningen sedan dess har tilldelats en kategori av registrerade.</w:t>
      </w:r>
    </w:p>
    <w:p w:rsidR="004C23FD" w:rsidRPr="008956AF" w:rsidRDefault="004C23FD" w:rsidP="004C23FD">
      <w:pPr>
        <w:widowControl/>
        <w:tabs>
          <w:tab w:val="left" w:pos="-720"/>
        </w:tabs>
        <w:spacing w:after="240"/>
        <w:ind w:left="567" w:hanging="567"/>
      </w:pPr>
      <w:r w:rsidRPr="008956AF">
        <w:t>28.</w:t>
      </w:r>
      <w:r w:rsidRPr="008956AF">
        <w:tab/>
        <w:t>Europaparlamentet påminner om slutsatserna i EDPS revisionsrapport om byrån av den 16 december 2022, där man gjorde särskilda kontroller av tredjelandsmedborgares dataset som innehas av byrån. Parlamentet påminner om att EDPS fann att den allmänna processen för bedömning av information från partner om minderåriga (inklusive minderåriga under 15 år) är tydlig och välutvecklad. Parlamentet påminner om att EDPS fann flera fall med samma nivå av misstanke (i fråga om klassificering) för uppgifter om minderåriga som synbarligen varit inblandade i relativt små överträdelser inom den bredare ramen för en organiserad kriminell grupp, och att detta nog inte når upp till tröskeln för ”strikt proportionalitet”. Parlamentet betonar att byrån är skyldig att respektera principen om strikt proportionalitet som fastställs i artikel 30.1 i Europolförordningen.</w:t>
      </w:r>
    </w:p>
    <w:p w:rsidR="004C23FD" w:rsidRPr="008956AF" w:rsidRDefault="004C23FD" w:rsidP="004C23FD">
      <w:pPr>
        <w:pStyle w:val="NormalCenter12a"/>
      </w:pPr>
      <w:r w:rsidRPr="008956AF">
        <w:t>°</w:t>
      </w:r>
    </w:p>
    <w:p w:rsidR="004C23FD" w:rsidRPr="008956AF" w:rsidRDefault="004C23FD" w:rsidP="004C23FD">
      <w:pPr>
        <w:pStyle w:val="NormalCenter12a"/>
      </w:pPr>
      <w:r w:rsidRPr="008956AF">
        <w:t>°</w:t>
      </w:r>
      <w:r w:rsidRPr="008956AF">
        <w:tab/>
        <w:t>°</w:t>
      </w:r>
    </w:p>
    <w:p w:rsidR="004C23FD" w:rsidRPr="008956AF" w:rsidRDefault="004C23FD" w:rsidP="004C23FD">
      <w:pPr>
        <w:pStyle w:val="NormalHanging12a"/>
      </w:pPr>
      <w:r w:rsidRPr="008956AF">
        <w:t>29.</w:t>
      </w:r>
      <w:r w:rsidRPr="008956AF">
        <w:tab/>
        <w:t xml:space="preserve">När det gäller andra övergripande iakttagelser som utgör en del av beslutet om ansvarsfrihet hänvisar Europaparlamentet till sin resolution av den </w:t>
      </w:r>
      <w:r w:rsidR="00D13F74" w:rsidRPr="008956AF">
        <w:t>11 april 2024</w:t>
      </w:r>
      <w:r w:rsidRPr="008956AF">
        <w:t xml:space="preserve"> </w:t>
      </w:r>
      <w:r w:rsidRPr="008956AF">
        <w:rPr>
          <w:rStyle w:val="FootnoteReference"/>
        </w:rPr>
        <w:footnoteReference w:id="12"/>
      </w:r>
      <w:r w:rsidRPr="008956AF">
        <w:t xml:space="preserve"> om byråernas verksamhetsresultat, ekonomiska förvaltning och kontroll.</w:t>
      </w:r>
    </w:p>
    <w:p w:rsidR="00E365E1" w:rsidRPr="008956AF" w:rsidRDefault="00E365E1" w:rsidP="00F22D80">
      <w:bookmarkStart w:id="9" w:name="TextBodyEnd"/>
      <w:bookmarkEnd w:id="9"/>
    </w:p>
    <w:sectPr w:rsidR="00E365E1" w:rsidRPr="008956AF" w:rsidSect="005A08C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D80" w:rsidRPr="005A08C9" w:rsidRDefault="00F22D80">
      <w:r w:rsidRPr="005A08C9">
        <w:separator/>
      </w:r>
    </w:p>
  </w:endnote>
  <w:endnote w:type="continuationSeparator" w:id="0">
    <w:p w:rsidR="00F22D80" w:rsidRPr="005A08C9" w:rsidRDefault="00F22D80">
      <w:r w:rsidRPr="005A08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FD" w:rsidRPr="005A08C9" w:rsidRDefault="004C23FD" w:rsidP="00E0462C">
    <w:pPr>
      <w:pStyle w:val="EPFooter"/>
    </w:pPr>
    <w:r w:rsidRPr="005A08C9">
      <w:t>PE</w:t>
    </w:r>
    <w:r w:rsidRPr="005A08C9">
      <w:rPr>
        <w:rStyle w:val="HideTWBExt"/>
      </w:rPr>
      <w:t>&lt;NoPE&gt;</w:t>
    </w:r>
    <w:r w:rsidRPr="005A08C9">
      <w:t>753.540</w:t>
    </w:r>
    <w:r w:rsidRPr="005A08C9">
      <w:rPr>
        <w:rStyle w:val="HideTWBExt"/>
      </w:rPr>
      <w:t>&lt;/NoPE&gt;&lt;Version&gt;</w:t>
    </w:r>
    <w:r w:rsidRPr="005A08C9">
      <w:t>v02-00</w:t>
    </w:r>
    <w:r w:rsidRPr="005A08C9">
      <w:rPr>
        <w:rStyle w:val="HideTWBExt"/>
      </w:rPr>
      <w:t>&lt;/Version&gt;</w:t>
    </w:r>
    <w:r w:rsidRPr="005A08C9">
      <w:tab/>
    </w:r>
    <w:r w:rsidRPr="005A08C9">
      <w:fldChar w:fldCharType="begin"/>
    </w:r>
    <w:r w:rsidRPr="005A08C9">
      <w:instrText xml:space="preserve"> PAGE  \* MERGEFORMAT </w:instrText>
    </w:r>
    <w:r w:rsidRPr="005A08C9">
      <w:fldChar w:fldCharType="separate"/>
    </w:r>
    <w:r w:rsidR="005A08C9" w:rsidRPr="005A08C9">
      <w:rPr>
        <w:noProof/>
      </w:rPr>
      <w:t>2</w:t>
    </w:r>
    <w:r w:rsidRPr="005A08C9">
      <w:fldChar w:fldCharType="end"/>
    </w:r>
    <w:r w:rsidRPr="005A08C9">
      <w:t>/</w:t>
    </w:r>
    <w:r w:rsidR="0001754C">
      <w:fldChar w:fldCharType="begin"/>
    </w:r>
    <w:r w:rsidR="0001754C">
      <w:instrText xml:space="preserve"> NUMPAGES  \* MERGEFORMAT </w:instrText>
    </w:r>
    <w:r w:rsidR="0001754C">
      <w:fldChar w:fldCharType="separate"/>
    </w:r>
    <w:r w:rsidR="005A08C9" w:rsidRPr="005A08C9">
      <w:rPr>
        <w:noProof/>
      </w:rPr>
      <w:t>3</w:t>
    </w:r>
    <w:r w:rsidR="0001754C">
      <w:rPr>
        <w:noProof/>
      </w:rPr>
      <w:fldChar w:fldCharType="end"/>
    </w:r>
    <w:r w:rsidRPr="005A08C9">
      <w:tab/>
    </w:r>
    <w:r w:rsidRPr="005A08C9">
      <w:rPr>
        <w:rStyle w:val="HideTWBExt"/>
      </w:rPr>
      <w:t>&lt;PathFdR&gt;</w:t>
    </w:r>
    <w:r w:rsidRPr="005A08C9">
      <w:t>RR\1299015SV.docx</w:t>
    </w:r>
    <w:r w:rsidRPr="005A08C9">
      <w:rPr>
        <w:rStyle w:val="HideTWBExt"/>
      </w:rPr>
      <w:t>&lt;/PathFdR&gt;</w:t>
    </w:r>
  </w:p>
  <w:p w:rsidR="004C23FD" w:rsidRPr="005A08C9" w:rsidRDefault="004C23FD" w:rsidP="00E0462C">
    <w:pPr>
      <w:pStyle w:val="EPFooter2"/>
    </w:pPr>
    <w:r w:rsidRPr="005A08C9">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FD" w:rsidRPr="005A08C9" w:rsidRDefault="004C23FD" w:rsidP="00E0462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FD" w:rsidRPr="005A08C9" w:rsidRDefault="004C23FD" w:rsidP="00E0462C">
    <w:pPr>
      <w:pStyle w:val="EPFooter"/>
    </w:pPr>
    <w:r w:rsidRPr="005A08C9">
      <w:rPr>
        <w:rStyle w:val="HideTWBExt"/>
      </w:rPr>
      <w:t>&lt;PathFdR&gt;</w:t>
    </w:r>
    <w:r w:rsidRPr="005A08C9">
      <w:t>RR\1299015SV.docx</w:t>
    </w:r>
    <w:r w:rsidRPr="005A08C9">
      <w:rPr>
        <w:rStyle w:val="HideTWBExt"/>
      </w:rPr>
      <w:t>&lt;/PathFdR&gt;</w:t>
    </w:r>
    <w:r w:rsidRPr="005A08C9">
      <w:tab/>
    </w:r>
    <w:r w:rsidRPr="005A08C9">
      <w:tab/>
      <w:t>PE</w:t>
    </w:r>
    <w:r w:rsidRPr="005A08C9">
      <w:rPr>
        <w:rStyle w:val="HideTWBExt"/>
      </w:rPr>
      <w:t>&lt;NoPE&gt;</w:t>
    </w:r>
    <w:r w:rsidRPr="005A08C9">
      <w:t>753.540</w:t>
    </w:r>
    <w:r w:rsidRPr="005A08C9">
      <w:rPr>
        <w:rStyle w:val="HideTWBExt"/>
      </w:rPr>
      <w:t>&lt;/NoPE&gt;&lt;Version&gt;</w:t>
    </w:r>
    <w:r w:rsidRPr="005A08C9">
      <w:t>v02-00</w:t>
    </w:r>
    <w:r w:rsidRPr="005A08C9">
      <w:rPr>
        <w:rStyle w:val="HideTWBExt"/>
      </w:rPr>
      <w:t>&lt;/Version&gt;</w:t>
    </w:r>
  </w:p>
  <w:p w:rsidR="004C23FD" w:rsidRPr="005A08C9" w:rsidRDefault="004C23FD" w:rsidP="00E0462C">
    <w:pPr>
      <w:pStyle w:val="EPFooter2"/>
    </w:pPr>
    <w:r w:rsidRPr="005A08C9">
      <w:t>SV</w:t>
    </w:r>
    <w:r w:rsidRPr="005A08C9">
      <w:tab/>
    </w:r>
    <w:r w:rsidRPr="005A08C9">
      <w:rPr>
        <w:b w:val="0"/>
        <w:i/>
        <w:color w:val="C0C0C0"/>
        <w:sz w:val="22"/>
      </w:rPr>
      <w:t>Förenade i mångfalden</w:t>
    </w:r>
    <w:r w:rsidRPr="005A08C9">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8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8C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8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D80" w:rsidRPr="005A08C9" w:rsidRDefault="00F22D80">
      <w:r w:rsidRPr="005A08C9">
        <w:separator/>
      </w:r>
    </w:p>
  </w:footnote>
  <w:footnote w:type="continuationSeparator" w:id="0">
    <w:p w:rsidR="00F22D80" w:rsidRPr="005A08C9" w:rsidRDefault="00F22D80">
      <w:r w:rsidRPr="005A08C9">
        <w:continuationSeparator/>
      </w:r>
    </w:p>
  </w:footnote>
  <w:footnote w:id="1">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C, C/2023/594, 27.10.2023.</w:t>
      </w:r>
    </w:p>
  </w:footnote>
  <w:footnote w:id="2">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C, C/2023/112, 12.10.2023.</w:t>
      </w:r>
    </w:p>
  </w:footnote>
  <w:footnote w:id="3">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L 193, 30.7.2018, s. 1.</w:t>
      </w:r>
    </w:p>
  </w:footnote>
  <w:footnote w:id="4">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L 135, 24.5.2016, s. 53.</w:t>
      </w:r>
    </w:p>
  </w:footnote>
  <w:footnote w:id="5">
    <w:p w:rsidR="004C23FD" w:rsidRPr="008956AF" w:rsidRDefault="004C23FD" w:rsidP="005A08C9">
      <w:pPr>
        <w:pStyle w:val="FootnoteText"/>
        <w:ind w:left="567" w:hanging="567"/>
        <w:rPr>
          <w:sz w:val="24"/>
          <w:szCs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L 122, 10.5.2019, s. 1.</w:t>
      </w:r>
    </w:p>
  </w:footnote>
  <w:footnote w:id="6">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C, C/2023/594, 27.10.2023.</w:t>
      </w:r>
    </w:p>
  </w:footnote>
  <w:footnote w:id="7">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C, C/2023/112, 12.10.2023.</w:t>
      </w:r>
    </w:p>
  </w:footnote>
  <w:footnote w:id="8">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L 193, 30.7.2018, s. 1.</w:t>
      </w:r>
    </w:p>
  </w:footnote>
  <w:footnote w:id="9">
    <w:p w:rsidR="004C23FD" w:rsidRPr="008956AF" w:rsidRDefault="004C23FD" w:rsidP="005A08C9">
      <w:pPr>
        <w:pStyle w:val="FootnoteText"/>
        <w:ind w:left="567" w:hanging="567"/>
        <w:rPr>
          <w:sz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L 135, 24.5.2016, s. 53.</w:t>
      </w:r>
    </w:p>
  </w:footnote>
  <w:footnote w:id="10">
    <w:p w:rsidR="004C23FD" w:rsidRPr="008956AF" w:rsidRDefault="004C23FD" w:rsidP="005A08C9">
      <w:pPr>
        <w:pStyle w:val="FootnoteText"/>
        <w:ind w:left="567" w:hanging="567"/>
        <w:rPr>
          <w:sz w:val="24"/>
          <w:szCs w:val="24"/>
          <w:lang w:val="fr-BE"/>
        </w:rPr>
      </w:pPr>
      <w:r w:rsidRPr="008956AF">
        <w:rPr>
          <w:rStyle w:val="FootnoteReference"/>
          <w:sz w:val="24"/>
          <w:lang w:val="sv-SE"/>
        </w:rPr>
        <w:footnoteRef/>
      </w:r>
      <w:r w:rsidR="005A08C9" w:rsidRPr="008956AF">
        <w:rPr>
          <w:sz w:val="24"/>
          <w:lang w:val="fr-BE"/>
        </w:rPr>
        <w:t xml:space="preserve"> </w:t>
      </w:r>
      <w:r w:rsidR="005A08C9" w:rsidRPr="008956AF">
        <w:rPr>
          <w:sz w:val="24"/>
          <w:lang w:val="fr-BE"/>
        </w:rPr>
        <w:tab/>
      </w:r>
      <w:r w:rsidRPr="008956AF">
        <w:rPr>
          <w:sz w:val="24"/>
          <w:lang w:val="fr-BE"/>
        </w:rPr>
        <w:t>EUT L 122, 10.5.2019, s. 1.</w:t>
      </w:r>
    </w:p>
  </w:footnote>
  <w:footnote w:id="11">
    <w:p w:rsidR="004C23FD" w:rsidRPr="008956AF" w:rsidRDefault="004C23FD" w:rsidP="005A08C9">
      <w:pPr>
        <w:pStyle w:val="FootnoteText"/>
        <w:ind w:left="567" w:hanging="567"/>
        <w:rPr>
          <w:sz w:val="24"/>
          <w:lang w:val="sv-SE"/>
        </w:rPr>
      </w:pPr>
      <w:r w:rsidRPr="008956AF">
        <w:rPr>
          <w:rStyle w:val="FootnoteReference"/>
          <w:sz w:val="24"/>
          <w:lang w:val="sv-SE"/>
        </w:rPr>
        <w:footnoteRef/>
      </w:r>
      <w:r w:rsidR="005A08C9" w:rsidRPr="008956AF">
        <w:rPr>
          <w:sz w:val="24"/>
          <w:lang w:val="sv-SE"/>
        </w:rPr>
        <w:t xml:space="preserve"> </w:t>
      </w:r>
      <w:r w:rsidR="005A08C9" w:rsidRPr="008956AF">
        <w:rPr>
          <w:sz w:val="24"/>
          <w:lang w:val="sv-SE"/>
        </w:rPr>
        <w:tab/>
      </w:r>
      <w:r w:rsidRPr="008956AF">
        <w:rPr>
          <w:sz w:val="24"/>
          <w:lang w:val="sv-SE"/>
        </w:rPr>
        <w:t>EUT C 38, 31.1.2023, s. 160.</w:t>
      </w:r>
    </w:p>
  </w:footnote>
  <w:footnote w:id="12">
    <w:p w:rsidR="004C23FD" w:rsidRPr="005A08C9" w:rsidRDefault="004C23FD" w:rsidP="005A08C9">
      <w:pPr>
        <w:pStyle w:val="FootnoteText"/>
        <w:ind w:left="567" w:hanging="567"/>
        <w:rPr>
          <w:sz w:val="24"/>
          <w:szCs w:val="24"/>
          <w:lang w:val="sv-SE"/>
        </w:rPr>
      </w:pPr>
      <w:r w:rsidRPr="008956AF">
        <w:rPr>
          <w:rStyle w:val="FootnoteReference"/>
          <w:sz w:val="24"/>
          <w:szCs w:val="24"/>
          <w:lang w:val="sv-SE"/>
        </w:rPr>
        <w:footnoteRef/>
      </w:r>
      <w:r w:rsidR="005A08C9" w:rsidRPr="008956AF">
        <w:rPr>
          <w:sz w:val="24"/>
          <w:lang w:val="sv-SE"/>
        </w:rPr>
        <w:t xml:space="preserve"> </w:t>
      </w:r>
      <w:r w:rsidR="005A08C9" w:rsidRPr="008956AF">
        <w:rPr>
          <w:sz w:val="24"/>
          <w:lang w:val="sv-SE"/>
        </w:rPr>
        <w:tab/>
      </w:r>
      <w:r w:rsidRPr="008956AF">
        <w:rPr>
          <w:sz w:val="24"/>
          <w:lang w:val="sv-SE"/>
        </w:rPr>
        <w:t>Antagna texter, P9_TA(2024)0</w:t>
      </w:r>
      <w:r w:rsidR="003010B8" w:rsidRPr="008956AF">
        <w:rPr>
          <w:sz w:val="24"/>
          <w:lang w:val="sv-SE"/>
        </w:rPr>
        <w:t>280</w:t>
      </w:r>
      <w:r w:rsidRPr="008956A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FD" w:rsidRPr="005A08C9" w:rsidRDefault="004C2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FD" w:rsidRPr="005A08C9" w:rsidRDefault="004C23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FD" w:rsidRPr="005A08C9" w:rsidRDefault="004C23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8C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8C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8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SV"/>
    <w:docVar w:name="dvnumam" w:val="0"/>
    <w:docVar w:name="dvpe" w:val="753.540"/>
    <w:docVar w:name="dvrapporteur" w:val="Föredragande: "/>
    <w:docVar w:name="dvtitre" w:val="Europaparlamentets resolution av den xx xx 2024 om ansvarsfrihet för genomförandet av budgeten för Europeiska unionens byrå för samarbete inom brottsbekämpning (Europol) för budgetåret 2022(2023/2169(DEC))"/>
  </w:docVars>
  <w:rsids>
    <w:rsidRoot w:val="00F22D80"/>
    <w:rsid w:val="00002272"/>
    <w:rsid w:val="0001754C"/>
    <w:rsid w:val="00064002"/>
    <w:rsid w:val="000677B9"/>
    <w:rsid w:val="000831BA"/>
    <w:rsid w:val="000A42CC"/>
    <w:rsid w:val="000E7DD9"/>
    <w:rsid w:val="0010095E"/>
    <w:rsid w:val="00125B37"/>
    <w:rsid w:val="00187494"/>
    <w:rsid w:val="001F32AE"/>
    <w:rsid w:val="002767FF"/>
    <w:rsid w:val="002B18FE"/>
    <w:rsid w:val="002B5493"/>
    <w:rsid w:val="003010B8"/>
    <w:rsid w:val="00343214"/>
    <w:rsid w:val="00361C00"/>
    <w:rsid w:val="00395FA1"/>
    <w:rsid w:val="003E15D4"/>
    <w:rsid w:val="00411CCE"/>
    <w:rsid w:val="0041666E"/>
    <w:rsid w:val="00421060"/>
    <w:rsid w:val="00471C19"/>
    <w:rsid w:val="004867E3"/>
    <w:rsid w:val="00494A28"/>
    <w:rsid w:val="004C0004"/>
    <w:rsid w:val="004C23FD"/>
    <w:rsid w:val="004C5D52"/>
    <w:rsid w:val="0050519A"/>
    <w:rsid w:val="005072A1"/>
    <w:rsid w:val="00514517"/>
    <w:rsid w:val="00545827"/>
    <w:rsid w:val="00560270"/>
    <w:rsid w:val="005A08C9"/>
    <w:rsid w:val="005C2568"/>
    <w:rsid w:val="006037C0"/>
    <w:rsid w:val="006517A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6AF"/>
    <w:rsid w:val="008C2AC6"/>
    <w:rsid w:val="00930C23"/>
    <w:rsid w:val="0093193B"/>
    <w:rsid w:val="009509D8"/>
    <w:rsid w:val="00950B64"/>
    <w:rsid w:val="00981893"/>
    <w:rsid w:val="009E0D2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F7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D8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EB8BC"/>
  <w15:chartTrackingRefBased/>
  <w15:docId w15:val="{6D3AC0E2-8DED-4AA7-B130-1CBF4074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C23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C23FD"/>
    <w:pPr>
      <w:spacing w:before="480" w:after="240"/>
    </w:pPr>
  </w:style>
  <w:style w:type="paragraph" w:customStyle="1" w:styleId="PageHeading">
    <w:name w:val="PageHeading"/>
    <w:basedOn w:val="Normal"/>
    <w:rsid w:val="004C23FD"/>
    <w:pPr>
      <w:keepNext/>
      <w:spacing w:after="480"/>
      <w:jc w:val="center"/>
    </w:pPr>
    <w:rPr>
      <w:rFonts w:ascii="Arial" w:hAnsi="Arial" w:cs="Arial"/>
      <w:b/>
    </w:rPr>
  </w:style>
  <w:style w:type="paragraph" w:customStyle="1" w:styleId="NormalBold">
    <w:name w:val="NormalBold"/>
    <w:basedOn w:val="Normal"/>
    <w:rsid w:val="004C23FD"/>
    <w:rPr>
      <w:b/>
    </w:rPr>
  </w:style>
  <w:style w:type="paragraph" w:customStyle="1" w:styleId="NormalHanging12a">
    <w:name w:val="NormalHanging12a"/>
    <w:basedOn w:val="Normal"/>
    <w:link w:val="NormalHanging12aChar"/>
    <w:rsid w:val="004C23FD"/>
    <w:pPr>
      <w:spacing w:after="240"/>
      <w:ind w:left="567" w:hanging="567"/>
    </w:pPr>
  </w:style>
  <w:style w:type="paragraph" w:customStyle="1" w:styleId="NormalCenter12a">
    <w:name w:val="NormalCenter12a"/>
    <w:basedOn w:val="Normal"/>
    <w:rsid w:val="004C23FD"/>
    <w:pPr>
      <w:spacing w:after="240"/>
      <w:jc w:val="center"/>
    </w:pPr>
  </w:style>
  <w:style w:type="paragraph" w:styleId="Header">
    <w:name w:val="header"/>
    <w:basedOn w:val="Normal"/>
    <w:link w:val="HeaderChar"/>
    <w:rsid w:val="004C23FD"/>
    <w:pPr>
      <w:tabs>
        <w:tab w:val="center" w:pos="4513"/>
        <w:tab w:val="right" w:pos="9026"/>
      </w:tabs>
    </w:pPr>
  </w:style>
  <w:style w:type="character" w:customStyle="1" w:styleId="HeaderChar">
    <w:name w:val="Header Char"/>
    <w:basedOn w:val="DefaultParagraphFont"/>
    <w:link w:val="Header"/>
    <w:rsid w:val="004C23FD"/>
    <w:rPr>
      <w:sz w:val="24"/>
      <w:lang w:val="sv-SE"/>
    </w:rPr>
  </w:style>
  <w:style w:type="paragraph" w:customStyle="1" w:styleId="EPFooter">
    <w:name w:val="EPFooter"/>
    <w:basedOn w:val="Normal"/>
    <w:rsid w:val="004C23F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C23FD"/>
    <w:rPr>
      <w:sz w:val="24"/>
      <w:lang w:val="sv-SE"/>
    </w:rPr>
  </w:style>
  <w:style w:type="paragraph" w:customStyle="1" w:styleId="Normal12Hanging">
    <w:name w:val="Normal12Hanging"/>
    <w:basedOn w:val="Normal"/>
    <w:rsid w:val="004C23FD"/>
    <w:pPr>
      <w:spacing w:after="240"/>
      <w:ind w:left="567" w:hanging="567"/>
    </w:pPr>
  </w:style>
  <w:style w:type="paragraph" w:styleId="BalloonText">
    <w:name w:val="Balloon Text"/>
    <w:basedOn w:val="Normal"/>
    <w:link w:val="BalloonTextChar"/>
    <w:rsid w:val="00D13F74"/>
    <w:rPr>
      <w:rFonts w:ascii="Segoe UI" w:hAnsi="Segoe UI" w:cs="Segoe UI"/>
      <w:sz w:val="18"/>
      <w:szCs w:val="18"/>
    </w:rPr>
  </w:style>
  <w:style w:type="character" w:customStyle="1" w:styleId="BalloonTextChar">
    <w:name w:val="Balloon Text Char"/>
    <w:basedOn w:val="DefaultParagraphFont"/>
    <w:link w:val="BalloonText"/>
    <w:rsid w:val="00D13F7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55E3E-BA9D-4752-9932-E208E29AB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4451</Words>
  <Characters>29183</Characters>
  <Application>Microsoft Office Word</Application>
  <DocSecurity>0</DocSecurity>
  <Lines>243</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2024-05-17T09:05:00Z</dcterms:created>
  <dcterms:modified xsi:type="dcterms:W3CDTF">2024-05-17T09:05:00Z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P9_TA(2024)0260_</vt:lpwstr>
  </property>
  <property fmtid="{D5CDD505-2E9C-101B-9397-08002B2CF9AE}" pid="4" name="&lt;Type&gt;">
    <vt:lpwstr>RR</vt:lpwstr>
  </property>
</Properties>
</file>