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30A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30AB" w:rsidRDefault="00433586" w:rsidP="0010095E">
            <w:pPr>
              <w:pStyle w:val="EPName"/>
            </w:pPr>
            <w:r w:rsidRPr="004330AB">
              <w:t>Evropský parlament</w:t>
            </w:r>
          </w:p>
          <w:p w:rsidR="00751A4A" w:rsidRPr="004330A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30A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330AB" w:rsidRDefault="00187494" w:rsidP="0010095E">
            <w:pPr>
              <w:pStyle w:val="EPLogo"/>
            </w:pPr>
            <w:r w:rsidRPr="004330A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30AB" w:rsidRDefault="00D058B8" w:rsidP="004C5D52">
      <w:pPr>
        <w:pStyle w:val="LineTop"/>
      </w:pPr>
    </w:p>
    <w:p w:rsidR="00680577" w:rsidRPr="004330AB" w:rsidRDefault="00433586" w:rsidP="00680577">
      <w:pPr>
        <w:pStyle w:val="EPBodyTA1"/>
      </w:pPr>
      <w:r w:rsidRPr="004330AB">
        <w:t>PŘIJATÉ TEXTY</w:t>
      </w:r>
    </w:p>
    <w:p w:rsidR="00D058B8" w:rsidRPr="004330AB" w:rsidRDefault="00D058B8" w:rsidP="00D058B8">
      <w:pPr>
        <w:pStyle w:val="LineBottom"/>
      </w:pPr>
    </w:p>
    <w:p w:rsidR="00433586" w:rsidRPr="004330AB" w:rsidRDefault="00433586" w:rsidP="00433586">
      <w:pPr>
        <w:pStyle w:val="ATHeading1"/>
      </w:pPr>
      <w:bookmarkStart w:id="0" w:name="TANumber"/>
      <w:r w:rsidRPr="004330AB">
        <w:t>P9_TA(2024)0</w:t>
      </w:r>
      <w:r w:rsidR="00987E97">
        <w:t>261</w:t>
      </w:r>
      <w:bookmarkEnd w:id="0"/>
    </w:p>
    <w:p w:rsidR="00433586" w:rsidRPr="004330AB" w:rsidRDefault="00433586" w:rsidP="00433586">
      <w:pPr>
        <w:pStyle w:val="ATHeading2"/>
      </w:pPr>
      <w:bookmarkStart w:id="1" w:name="title"/>
      <w:r w:rsidRPr="004330AB">
        <w:t>Udělení absolutoria za rok 2022: Evropský institut pro rovnost žen a mužů</w:t>
      </w:r>
      <w:bookmarkEnd w:id="1"/>
    </w:p>
    <w:p w:rsidR="00433586" w:rsidRPr="004330AB" w:rsidRDefault="00433586" w:rsidP="00433586">
      <w:pPr>
        <w:rPr>
          <w:i/>
          <w:vanish/>
        </w:rPr>
      </w:pPr>
      <w:r w:rsidRPr="004330AB">
        <w:rPr>
          <w:i/>
        </w:rPr>
        <w:fldChar w:fldCharType="begin"/>
      </w:r>
      <w:r w:rsidRPr="004330AB">
        <w:rPr>
          <w:i/>
        </w:rPr>
        <w:instrText xml:space="preserve"> TC"(</w:instrText>
      </w:r>
      <w:bookmarkStart w:id="2" w:name="DocNumber"/>
      <w:r w:rsidRPr="004330AB">
        <w:rPr>
          <w:i/>
        </w:rPr>
        <w:instrText>A9-0096/2024</w:instrText>
      </w:r>
      <w:bookmarkEnd w:id="2"/>
      <w:r w:rsidRPr="004330AB">
        <w:rPr>
          <w:i/>
        </w:rPr>
        <w:instrText xml:space="preserve"> - Zpravodaj: Petri Sarvamaa)"\l3 \n&gt; \* MERGEFORMAT </w:instrText>
      </w:r>
      <w:r w:rsidRPr="004330AB">
        <w:rPr>
          <w:i/>
        </w:rPr>
        <w:fldChar w:fldCharType="end"/>
      </w:r>
    </w:p>
    <w:p w:rsidR="00433586" w:rsidRPr="004330AB" w:rsidRDefault="00433586" w:rsidP="00433586">
      <w:pPr>
        <w:rPr>
          <w:vanish/>
        </w:rPr>
      </w:pPr>
      <w:bookmarkStart w:id="3" w:name="Commission"/>
      <w:r w:rsidRPr="004330AB">
        <w:rPr>
          <w:vanish/>
        </w:rPr>
        <w:t>Výbor pro rozpočtovou kontrolu</w:t>
      </w:r>
      <w:bookmarkEnd w:id="3"/>
    </w:p>
    <w:p w:rsidR="00433586" w:rsidRPr="004330AB" w:rsidRDefault="00433586" w:rsidP="00433586">
      <w:pPr>
        <w:rPr>
          <w:vanish/>
        </w:rPr>
      </w:pPr>
      <w:bookmarkStart w:id="4" w:name="PE"/>
      <w:r w:rsidRPr="004330AB">
        <w:rPr>
          <w:vanish/>
        </w:rPr>
        <w:t>PE753.520</w:t>
      </w:r>
      <w:bookmarkEnd w:id="4"/>
    </w:p>
    <w:p w:rsidR="00433586" w:rsidRPr="004330AB" w:rsidRDefault="00433586" w:rsidP="00433586">
      <w:pPr>
        <w:pStyle w:val="ATHeading3"/>
      </w:pPr>
      <w:bookmarkStart w:id="5" w:name="Sujet"/>
      <w:r w:rsidRPr="004330AB">
        <w:t>1. Rozhodnutí Evropského parlamentu ze dne 11. dubna 2024 o udělení absolutoria za plnění rozpočtu Evropského institutu pro rovnost žen a mužů na rozpočtový rok 2022</w:t>
      </w:r>
      <w:bookmarkEnd w:id="5"/>
      <w:r w:rsidRPr="004330AB">
        <w:t xml:space="preserve"> </w:t>
      </w:r>
      <w:bookmarkStart w:id="6" w:name="References"/>
      <w:r w:rsidRPr="004330AB">
        <w:t>(2023/2152(DEC))</w:t>
      </w:r>
      <w:bookmarkEnd w:id="6"/>
    </w:p>
    <w:p w:rsidR="00FC1F5F" w:rsidRPr="004330AB" w:rsidRDefault="00FC1F5F" w:rsidP="00FC1F5F">
      <w:pPr>
        <w:pStyle w:val="EPComma"/>
      </w:pPr>
      <w:bookmarkStart w:id="7" w:name="TextBodyBegin"/>
      <w:bookmarkEnd w:id="7"/>
      <w:r w:rsidRPr="004330AB">
        <w:rPr>
          <w:i/>
        </w:rPr>
        <w:t>Evropský parlament</w:t>
      </w:r>
      <w:r w:rsidRPr="004330AB">
        <w:t>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konečnou roční účetní závěrku Evropského institutu pro rovnost žen a mužů za rozpočtový rok 2022,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výroční zprávu Účetního dvora o agenturách EU za rozpočtový rok 2022 spolu s odpověďmi agentur</w:t>
      </w:r>
      <w:r w:rsidRPr="004330AB">
        <w:rPr>
          <w:rStyle w:val="FootnoteReference"/>
        </w:rPr>
        <w:footnoteReference w:id="1"/>
      </w:r>
      <w:r w:rsidRPr="004330AB">
        <w:t>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prohlášení o věrohodnosti</w:t>
      </w:r>
      <w:r w:rsidRPr="004330AB">
        <w:rPr>
          <w:rStyle w:val="FootnoteReference"/>
        </w:rPr>
        <w:footnoteReference w:id="2"/>
      </w:r>
      <w:r w:rsidRPr="004330AB">
        <w:t xml:space="preserve"> účetnictví a o legalitě a správnosti uskutečněných operací, které předložil Účetní dvůr za rozpočtový rok 2022 podle článku 287 Smlouvy o fungování Evropské unie,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doporučení Rady ze dne 22. února 2024 o udělení absolutoria institutu za plnění rozpočtu na rozpočtový rok 2022 (0</w:t>
      </w:r>
      <w:r w:rsidR="003E475E">
        <w:t>618</w:t>
      </w:r>
      <w:r w:rsidRPr="004330AB">
        <w:t>0/2024 – C9</w:t>
      </w:r>
      <w:r w:rsidRPr="004330AB">
        <w:noBreakHyphen/>
        <w:t>00</w:t>
      </w:r>
      <w:r w:rsidR="003E475E">
        <w:t>9</w:t>
      </w:r>
      <w:r w:rsidRPr="004330AB">
        <w:t>0/2024),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článek 319 Smlouvy o fungování Evropské unie,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4330AB">
        <w:rPr>
          <w:rStyle w:val="FootnoteReference"/>
        </w:rPr>
        <w:footnoteReference w:id="3"/>
      </w:r>
      <w:r w:rsidRPr="004330AB">
        <w:t>, a zejména článek 70 tohoto nařízení,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nařízení Evropského parlamentu a Rady (ES) č. 1922/2006 ze dne 20. prosince 2006 o zřízení Evropského institutu pro rovnost žen a mužů</w:t>
      </w:r>
      <w:r w:rsidRPr="004330AB">
        <w:rPr>
          <w:rStyle w:val="FootnoteReference"/>
        </w:rPr>
        <w:footnoteReference w:id="4"/>
      </w:r>
      <w:r w:rsidRPr="004330AB">
        <w:t xml:space="preserve">, a zejména na </w:t>
      </w:r>
      <w:r w:rsidRPr="004330AB">
        <w:lastRenderedPageBreak/>
        <w:t>článek 15 tohoto nařízení,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nařízení Komise v přenesené pravomoci (EU) 2019/715 ze dne 18. prosince 2018 o rámcovém finančním nařízení pro subjekty zřízené podle S</w:t>
      </w:r>
      <w:r w:rsidR="00FE58B1">
        <w:t xml:space="preserve">mlouvy o fungování </w:t>
      </w:r>
      <w:r w:rsidRPr="004330AB">
        <w:t>E</w:t>
      </w:r>
      <w:r w:rsidR="00FE58B1">
        <w:t>vropské unie</w:t>
      </w:r>
      <w:r w:rsidRPr="004330AB">
        <w:t xml:space="preserve"> a Smlouvy o Euratomu a uvedené v článku 70 nařízení Evropského parlamentu a Rady (EU, Euratom) 2018/1046</w:t>
      </w:r>
      <w:r w:rsidRPr="004330AB">
        <w:rPr>
          <w:rStyle w:val="FootnoteReference"/>
        </w:rPr>
        <w:footnoteReference w:id="5"/>
      </w:r>
      <w:r w:rsidRPr="004330AB">
        <w:t>, a zejména na článek 105 tohoto nařízení,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článek 100 a přílohu V jednacího řádu,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stanovisko Výboru pro práva žen a rovnost pohlaví,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zprávu Výboru pro rozpočtovou kontrolu (A9</w:t>
      </w:r>
      <w:r w:rsidRPr="004330AB">
        <w:noBreakHyphen/>
        <w:t>0096/2024),</w:t>
      </w:r>
    </w:p>
    <w:p w:rsidR="00FC1F5F" w:rsidRPr="004330AB" w:rsidRDefault="00FC1F5F" w:rsidP="00FC1F5F">
      <w:pPr>
        <w:pStyle w:val="NormalHanging12a"/>
      </w:pPr>
      <w:r w:rsidRPr="004330AB">
        <w:t>1.</w:t>
      </w:r>
      <w:r w:rsidRPr="004330AB">
        <w:tab/>
        <w:t>uděluje absolutorium ředitelce Evropského institutu pro rovnost žen a mužů za plnění rozpočtu institutu na rozpočtový rok 2022;</w:t>
      </w:r>
    </w:p>
    <w:p w:rsidR="00FC1F5F" w:rsidRPr="004330AB" w:rsidRDefault="00FC1F5F" w:rsidP="00FC1F5F">
      <w:pPr>
        <w:pStyle w:val="NormalHanging12a"/>
      </w:pPr>
      <w:r w:rsidRPr="004330AB">
        <w:t>2.</w:t>
      </w:r>
      <w:r w:rsidRPr="004330AB">
        <w:tab/>
        <w:t>předkládá své připomínky v dále uvedeném usnesení;</w:t>
      </w:r>
    </w:p>
    <w:p w:rsidR="00FC1F5F" w:rsidRPr="004330AB" w:rsidRDefault="00FC1F5F" w:rsidP="00FC1F5F">
      <w:pPr>
        <w:pStyle w:val="NormalHanging12a"/>
      </w:pPr>
      <w:r w:rsidRPr="004330AB">
        <w:t>3.</w:t>
      </w:r>
      <w:r w:rsidRPr="004330AB">
        <w:tab/>
        <w:t xml:space="preserve">pověřuje svou předsedkyni, aby předala toto rozhodnutí a usnesení, které je jeho nedílnou součástí, ředitelce Evropského institutu pro rovnost žen a mužů, Radě, Komisi a Účetnímu dvoru a aby zajistila jejich zveřejnění </w:t>
      </w:r>
      <w:r w:rsidRPr="004330AB">
        <w:rPr>
          <w:i/>
        </w:rPr>
        <w:t>v Úředním věstníku Evropské unie</w:t>
      </w:r>
      <w:r w:rsidRPr="004330AB">
        <w:t xml:space="preserve"> (řada L).</w:t>
      </w:r>
    </w:p>
    <w:p w:rsidR="00FC1F5F" w:rsidRPr="004330AB" w:rsidRDefault="00FC1F5F" w:rsidP="00FC1F5F"/>
    <w:p w:rsidR="00FC1F5F" w:rsidRPr="004330AB" w:rsidRDefault="00FC1F5F" w:rsidP="00FC1F5F">
      <w:pPr>
        <w:widowControl/>
        <w:rPr>
          <w:rFonts w:ascii="Arial" w:hAnsi="Arial" w:cs="Arial"/>
          <w:b/>
        </w:rPr>
        <w:sectPr w:rsidR="00FC1F5F" w:rsidRPr="004330AB" w:rsidSect="004330A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FC1F5F" w:rsidRPr="004330AB" w:rsidRDefault="00FC1F5F" w:rsidP="00FE58B1">
      <w:pPr>
        <w:pStyle w:val="ATHeading3"/>
      </w:pPr>
      <w:bookmarkStart w:id="8" w:name="_Toc146789301"/>
      <w:bookmarkStart w:id="9" w:name="_Toc161914026"/>
      <w:r w:rsidRPr="004330AB">
        <w:lastRenderedPageBreak/>
        <w:t xml:space="preserve">2. </w:t>
      </w:r>
      <w:r w:rsidR="00FE58B1" w:rsidRPr="004330AB">
        <w:t>Rozhodnutí Evropského parlamentu</w:t>
      </w:r>
      <w:bookmarkEnd w:id="8"/>
      <w:bookmarkEnd w:id="9"/>
      <w:r w:rsidR="00FE58B1">
        <w:t xml:space="preserve"> </w:t>
      </w:r>
      <w:r w:rsidR="007E5C2C" w:rsidRPr="004330AB">
        <w:t xml:space="preserve">ze dne 11. dubna 2024 </w:t>
      </w:r>
      <w:r w:rsidRPr="004330AB">
        <w:t>o uzavření účtů Evropského institutu pro rovnost žen a mužů na rozpočtový rok 2022</w:t>
      </w:r>
      <w:r w:rsidR="00FE58B1">
        <w:t xml:space="preserve"> </w:t>
      </w:r>
      <w:r w:rsidRPr="004330AB">
        <w:t>(2023/2152(DEC))</w:t>
      </w:r>
    </w:p>
    <w:p w:rsidR="00FC1F5F" w:rsidRPr="004330AB" w:rsidRDefault="00FC1F5F" w:rsidP="00FC1F5F">
      <w:pPr>
        <w:pStyle w:val="EPComma"/>
      </w:pPr>
      <w:r w:rsidRPr="004330AB">
        <w:rPr>
          <w:i/>
        </w:rPr>
        <w:t>Evropský parlament</w:t>
      </w:r>
      <w:r w:rsidRPr="004330AB">
        <w:t>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konečnou roční účetní závěrku Evropského institutu pro rovnost žen a mužů za rozpočtový rok 2022,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výroční zprávu Účetního dvora o agenturách EU za rozpočtový rok 2022 spolu s odpověďmi agentur</w:t>
      </w:r>
      <w:r w:rsidRPr="004330AB">
        <w:rPr>
          <w:rStyle w:val="FootnoteReference"/>
        </w:rPr>
        <w:footnoteReference w:id="6"/>
      </w:r>
      <w:r w:rsidRPr="004330AB">
        <w:t>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prohlášení o věrohodnosti</w:t>
      </w:r>
      <w:r w:rsidRPr="004330AB">
        <w:rPr>
          <w:rStyle w:val="FootnoteReference"/>
        </w:rPr>
        <w:footnoteReference w:id="7"/>
      </w:r>
      <w:r w:rsidRPr="004330AB">
        <w:t xml:space="preserve"> účetnictví a o legalitě a správnosti uskutečněných operací, které předložil Účetní dvůr za rozpočtový rok 2022 podle článku 287 Smlouvy o fungování Evropské unie,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doporučení Rady ze dne 22. února 2024 o udělení absolutoria institutu za plnění rozpočtu na rozpočtový rok 2022 (0</w:t>
      </w:r>
      <w:r w:rsidR="003E475E">
        <w:t>618</w:t>
      </w:r>
      <w:r w:rsidRPr="004330AB">
        <w:t>0/2024 – C9</w:t>
      </w:r>
      <w:r w:rsidRPr="004330AB">
        <w:noBreakHyphen/>
        <w:t>00</w:t>
      </w:r>
      <w:r w:rsidR="003E475E">
        <w:t>9</w:t>
      </w:r>
      <w:r w:rsidRPr="004330AB">
        <w:t>0/2024),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článek 319 Smlouvy o fungování Evropské unie,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4330AB">
        <w:rPr>
          <w:rStyle w:val="FootnoteReference"/>
        </w:rPr>
        <w:footnoteReference w:id="8"/>
      </w:r>
      <w:r w:rsidRPr="004330AB">
        <w:t>, a zejména článek 70 tohoto nařízení,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nařízení Evropského parlamentu a Rady (ES) č. 1922/2006 ze dne 20. prosince 2006 o zřízení Evropského institutu pro rovnost žen a mužů</w:t>
      </w:r>
      <w:r w:rsidRPr="004330AB">
        <w:rPr>
          <w:rStyle w:val="FootnoteReference"/>
        </w:rPr>
        <w:footnoteReference w:id="9"/>
      </w:r>
      <w:r w:rsidRPr="004330AB">
        <w:t>, a zejména na článek 15 tohoto nařízení,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nařízení Komise v přenesené pravomoci (EU) 2019/715 ze dne 18. prosince 2018 o rámcovém finančním nařízení pro subjekty zřízené podle S</w:t>
      </w:r>
      <w:r w:rsidR="00FE58B1">
        <w:t xml:space="preserve">mlouvy o fungování </w:t>
      </w:r>
      <w:r w:rsidRPr="004330AB">
        <w:t>E</w:t>
      </w:r>
      <w:r w:rsidR="00FE58B1">
        <w:t>vropské unie</w:t>
      </w:r>
      <w:r w:rsidRPr="004330AB">
        <w:t xml:space="preserve"> a Smlouvy o Euratomu a uvedené v článku 70 nařízení Evropského parlamentu a Rady (EU, Euratom) 2018/1046</w:t>
      </w:r>
      <w:r w:rsidRPr="004330AB">
        <w:rPr>
          <w:rStyle w:val="FootnoteReference"/>
        </w:rPr>
        <w:footnoteReference w:id="10"/>
      </w:r>
      <w:r w:rsidRPr="004330AB">
        <w:t>, a zejména na článek 105 tohoto nařízení,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článek 100 a přílohu V jednacího řádu,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stanovisko Výboru pro práva žen a rovnost pohlaví,</w:t>
      </w:r>
    </w:p>
    <w:p w:rsidR="00FC1F5F" w:rsidRPr="004330AB" w:rsidRDefault="00FC1F5F" w:rsidP="00FC1F5F">
      <w:pPr>
        <w:pStyle w:val="NormalHanging12a"/>
      </w:pPr>
      <w:r w:rsidRPr="004330AB">
        <w:t>–</w:t>
      </w:r>
      <w:r w:rsidRPr="004330AB">
        <w:tab/>
        <w:t>s ohledem na zprávu Výboru pro rozpočtovou kontrolu (A9</w:t>
      </w:r>
      <w:r w:rsidRPr="004330AB">
        <w:noBreakHyphen/>
        <w:t>0096/2024),</w:t>
      </w:r>
    </w:p>
    <w:p w:rsidR="00FC1F5F" w:rsidRPr="004330AB" w:rsidRDefault="00FC1F5F" w:rsidP="00FC1F5F">
      <w:pPr>
        <w:pStyle w:val="NormalHanging12a"/>
      </w:pPr>
      <w:r w:rsidRPr="004330AB">
        <w:t>1.</w:t>
      </w:r>
      <w:r w:rsidRPr="004330AB">
        <w:tab/>
        <w:t>schvaluje uzavření účtů Evropského institutu pro rovnost žen a mužů na rozpočtový rok 2022;</w:t>
      </w:r>
    </w:p>
    <w:p w:rsidR="00FC1F5F" w:rsidRPr="004330AB" w:rsidRDefault="00FC1F5F" w:rsidP="00FC1F5F">
      <w:pPr>
        <w:pStyle w:val="NormalHanging12a"/>
      </w:pPr>
      <w:r w:rsidRPr="004330AB">
        <w:lastRenderedPageBreak/>
        <w:t>2.</w:t>
      </w:r>
      <w:r w:rsidRPr="004330AB">
        <w:tab/>
        <w:t xml:space="preserve">pověřuje svou předsedkyni, aby předala toto rozhodnutí ředitelce Evropského institutu pro rovnost žen a mužů, Radě, Komisi a Účetnímu dvoru a aby zajistila jeho zveřejnění v </w:t>
      </w:r>
      <w:r w:rsidRPr="004330AB">
        <w:rPr>
          <w:i/>
        </w:rPr>
        <w:t>Úředním věstníku Evropské unie</w:t>
      </w:r>
      <w:r w:rsidRPr="004330AB">
        <w:t xml:space="preserve"> (řada L).</w:t>
      </w:r>
    </w:p>
    <w:p w:rsidR="00FC1F5F" w:rsidRPr="004330AB" w:rsidRDefault="00FC1F5F" w:rsidP="00FC1F5F"/>
    <w:p w:rsidR="00FC1F5F" w:rsidRPr="004330AB" w:rsidRDefault="00FC1F5F" w:rsidP="00FC1F5F">
      <w:pPr>
        <w:widowControl/>
        <w:rPr>
          <w:rFonts w:ascii="Arial" w:hAnsi="Arial" w:cs="Arial"/>
          <w:b/>
        </w:rPr>
        <w:sectPr w:rsidR="00FC1F5F" w:rsidRPr="004330AB" w:rsidSect="004330AB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FC1F5F" w:rsidRPr="004330AB" w:rsidRDefault="00FC1F5F" w:rsidP="00FE58B1">
      <w:pPr>
        <w:pStyle w:val="ATHeading3"/>
      </w:pPr>
      <w:bookmarkStart w:id="10" w:name="_Toc146789302"/>
      <w:bookmarkStart w:id="11" w:name="_Toc161914027"/>
      <w:r w:rsidRPr="004330AB">
        <w:lastRenderedPageBreak/>
        <w:t xml:space="preserve">3. </w:t>
      </w:r>
      <w:r w:rsidR="00FE58B1" w:rsidRPr="004330AB">
        <w:t>Usnesení Evropského parlamentu</w:t>
      </w:r>
      <w:bookmarkEnd w:id="10"/>
      <w:bookmarkEnd w:id="11"/>
      <w:r w:rsidR="00FE58B1">
        <w:t xml:space="preserve"> </w:t>
      </w:r>
      <w:r w:rsidR="007E5C2C" w:rsidRPr="004330AB">
        <w:t xml:space="preserve">ze dne 11. dubna 2024 </w:t>
      </w:r>
      <w:r w:rsidRPr="004330AB">
        <w:t>obsahující připomínky, které jsou nedílnou součástí rozhodnutí o udělení absolutoria za plnění rozpočtu Evropského institutu pro rovnost žen a mužů na rozpočtový rok 2022</w:t>
      </w:r>
      <w:r w:rsidR="00FE58B1">
        <w:t xml:space="preserve"> </w:t>
      </w:r>
      <w:r w:rsidRPr="004330AB">
        <w:t>(2023/2152(DEC))</w:t>
      </w:r>
    </w:p>
    <w:p w:rsidR="00FC1F5F" w:rsidRPr="004330AB" w:rsidRDefault="00FC1F5F" w:rsidP="00FC1F5F">
      <w:pPr>
        <w:pStyle w:val="EPComma"/>
      </w:pPr>
      <w:r w:rsidRPr="004330AB">
        <w:rPr>
          <w:i/>
        </w:rPr>
        <w:t>Evropský parlament</w:t>
      </w:r>
      <w:r w:rsidRPr="004330AB">
        <w:t>,</w:t>
      </w:r>
    </w:p>
    <w:p w:rsidR="00FC1F5F" w:rsidRPr="004330AB" w:rsidRDefault="00FC1F5F" w:rsidP="007E5C2C">
      <w:pPr>
        <w:pStyle w:val="NormalHanging12a"/>
      </w:pPr>
      <w:r w:rsidRPr="004330AB">
        <w:t>–</w:t>
      </w:r>
      <w:r w:rsidRPr="004330AB">
        <w:tab/>
        <w:t>s ohledem na své rozhodnutí o udělení absolutoria za plnění rozpočtu Evropského institutu pro rovnost žen a mužů na rozpočtový rok 2022,</w:t>
      </w:r>
    </w:p>
    <w:p w:rsidR="00FC1F5F" w:rsidRPr="004330AB" w:rsidRDefault="00FC1F5F" w:rsidP="007E5C2C">
      <w:pPr>
        <w:pStyle w:val="NormalHanging12a"/>
      </w:pPr>
      <w:r w:rsidRPr="004330AB">
        <w:t>–</w:t>
      </w:r>
      <w:r w:rsidRPr="004330AB">
        <w:tab/>
        <w:t>s ohledem na článek 100 a přílohu V jednacího řádu,</w:t>
      </w:r>
    </w:p>
    <w:p w:rsidR="00FC1F5F" w:rsidRPr="004330AB" w:rsidRDefault="00FC1F5F" w:rsidP="007E5C2C">
      <w:pPr>
        <w:pStyle w:val="NormalHanging12a"/>
      </w:pPr>
      <w:r w:rsidRPr="004330AB">
        <w:t>–</w:t>
      </w:r>
      <w:r w:rsidRPr="004330AB">
        <w:tab/>
        <w:t>s ohledem na stanovisko Výboru pro práva žen a rovnost pohlaví,</w:t>
      </w:r>
    </w:p>
    <w:p w:rsidR="00FC1F5F" w:rsidRPr="004330AB" w:rsidRDefault="00FC1F5F" w:rsidP="007E5C2C">
      <w:pPr>
        <w:pStyle w:val="NormalHanging12a"/>
      </w:pPr>
      <w:r w:rsidRPr="004330AB">
        <w:t>–</w:t>
      </w:r>
      <w:r w:rsidRPr="004330AB">
        <w:tab/>
        <w:t>s ohledem na zprávu Výboru pro rozpočtovou kontrolu (A9</w:t>
      </w:r>
      <w:r w:rsidRPr="004330AB">
        <w:noBreakHyphen/>
        <w:t>0096/2024),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A.</w:t>
      </w:r>
      <w:r w:rsidRPr="004330AB">
        <w:rPr>
          <w:lang w:val="cs-CZ"/>
        </w:rPr>
        <w:tab/>
        <w:t>vzhledem k tomu, že podle výkazu příjmů a výdajů</w:t>
      </w:r>
      <w:r w:rsidRPr="004330AB">
        <w:rPr>
          <w:rStyle w:val="FootnoteReference"/>
          <w:szCs w:val="24"/>
          <w:lang w:val="cs-CZ"/>
        </w:rPr>
        <w:footnoteReference w:id="11"/>
      </w:r>
      <w:r w:rsidRPr="004330AB">
        <w:rPr>
          <w:lang w:val="cs-CZ"/>
        </w:rPr>
        <w:t xml:space="preserve"> Evropského institutu pro rovnost žen a mužů (dále jen „institut“) dosahoval jeho konečný rozpočet na rozpočtový rok 2022 částky 8 432 919,91 EUR, což ve srovnání s rokem 2021 představuje pokles o 2,99 %;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B.</w:t>
      </w:r>
      <w:r w:rsidRPr="004330AB">
        <w:rPr>
          <w:lang w:val="cs-CZ"/>
        </w:rPr>
        <w:tab/>
        <w:t>vzhledem k tomu, že Účetní dvůr ve své zprávě o roční účetní závěrce Evropského institutu pro rovnost žen a mužů za rozpočtový rok 2022 (dále jen „zpráva Účetního dvora“) prohlásil, že získal přiměřenou jistotu, že roční účetní závěrka institutu je spolehlivá a uskutečněné operace jsou legální a správné;</w:t>
      </w:r>
    </w:p>
    <w:p w:rsidR="00FC1F5F" w:rsidRPr="004330AB" w:rsidRDefault="00FC1F5F" w:rsidP="007E5C2C">
      <w:pPr>
        <w:pStyle w:val="NormalHanging12a"/>
        <w:rPr>
          <w:szCs w:val="24"/>
        </w:rPr>
      </w:pPr>
      <w:r w:rsidRPr="004330AB">
        <w:t>C.</w:t>
      </w:r>
      <w:r w:rsidRPr="004330AB">
        <w:tab/>
        <w:t>vzhledem k tomu, že článek 8 Smlouvy o fungování Evropské unie stanoví, že Unie při všech svých činnostech usiluje o odstranění nerovností, čímž zavádí zásadu začleňování hlediska rovnosti žen a mužů, a podporuje rovnost žen a mužů; vzhledem k tomu, že rovnost žen a mužů musí být začleněna do všech politik Unie, a to i prostřednictvím genderového rozpočtování na všech úrovních rozpočtového procesu;</w:t>
      </w:r>
    </w:p>
    <w:p w:rsidR="00FC1F5F" w:rsidRPr="004330AB" w:rsidRDefault="00FC1F5F" w:rsidP="007E5C2C">
      <w:pPr>
        <w:pStyle w:val="NormalHanging12a"/>
        <w:rPr>
          <w:szCs w:val="24"/>
        </w:rPr>
      </w:pPr>
      <w:r w:rsidRPr="004330AB">
        <w:t>D.</w:t>
      </w:r>
      <w:r w:rsidRPr="004330AB">
        <w:tab/>
        <w:t>vzhledem k tomu, že index rovnosti žen a mužů za rok 2023 ukazuje, že členské státy zaznamenaly mírný nárůst o pouhých 1,6 bodu na celkem 70,2, přičemž některé oblasti vykazují známky regrese, zejména v oblasti ekonomické a příjmové metriky</w:t>
      </w:r>
      <w:r w:rsidRPr="004330AB">
        <w:rPr>
          <w:vertAlign w:val="superscript"/>
        </w:rPr>
        <w:footnoteReference w:id="12"/>
      </w:r>
      <w:r w:rsidRPr="004330AB">
        <w:t>; vzhledem k tomu, že institut byl zřízen, aby přispíval k prosazování rovnosti žen a mužů v Unii a posiloval ji, včetně začleňování hlediska rovnosti žen a mužů do všech politik Unie a vyplývajících vnitrostátních politik, aby bojoval proti diskriminaci založené na pohlaví a aby zvyšoval informovanost občanů Unie o této problematice;</w:t>
      </w:r>
    </w:p>
    <w:p w:rsidR="00FC1F5F" w:rsidRPr="004330AB" w:rsidRDefault="00FC1F5F" w:rsidP="007E5C2C">
      <w:pPr>
        <w:pStyle w:val="Normal12Hanging"/>
        <w:rPr>
          <w:b/>
          <w:i/>
          <w:szCs w:val="24"/>
          <w:lang w:val="cs-CZ"/>
        </w:rPr>
      </w:pPr>
      <w:r w:rsidRPr="004330AB">
        <w:rPr>
          <w:b/>
          <w:i/>
          <w:lang w:val="cs-CZ"/>
        </w:rPr>
        <w:t>Rozpočtové a finanční řízení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1.</w:t>
      </w:r>
      <w:r w:rsidRPr="004330AB">
        <w:rPr>
          <w:lang w:val="cs-CZ"/>
        </w:rPr>
        <w:tab/>
        <w:t xml:space="preserve">konstatuje, že výsledkem úsilí o monitorování rozpočtu během rozpočtového roku 2022 byla míra plnění rozpočtu u prostředků na závazky na běžný rok ve výši 97,91 %, což oproti roku 2021 znamená pokles o 1,01 %; konstatuje, že míra čerpání prostředků na platby na běžný rok dosáhla 81,10 %, což ve srovnání s rokem 2021 představuje zvýšení o 9,72 %; oceňuje institut za důkladné monitorování plnění rozpočtu a uspokojivou míru jeho plnění v roce 2022, a to navzdory obtížím, které v tomto roce nastaly v souvislosti s útočnou válkou proti Ukrajině a hospodářskou nestabilitou v </w:t>
      </w:r>
      <w:r w:rsidRPr="004330AB">
        <w:rPr>
          <w:lang w:val="cs-CZ"/>
        </w:rPr>
        <w:lastRenderedPageBreak/>
        <w:t>Unii; bere na vědomí, že institut v roce 2023 snížil přenos provozních výdajů na 42,28 %, přičemž v roce 2022 to bylo 54,79 %;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2.</w:t>
      </w:r>
      <w:r w:rsidRPr="004330AB">
        <w:rPr>
          <w:lang w:val="cs-CZ"/>
        </w:rPr>
        <w:tab/>
        <w:t>konstatuje, že výše konečného rozpočtu institutu je výsledkem opravných rozpočtů v celkové výši 175 000 EUR, které správní rada institutu přijala v důsledku prudkého zvýšení míry inflace v Unii, a zejména v Litvě, v roce 2022, valorizace mezd ve výši 6,9 % a zvýšení opravného koeficientu platného pro Litvu o 7,3 %;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3.</w:t>
      </w:r>
      <w:r w:rsidRPr="004330AB">
        <w:rPr>
          <w:lang w:val="cs-CZ"/>
        </w:rPr>
        <w:tab/>
        <w:t>na základě zprávy Účetního dvora se znepokojením konstatuje, že institut ve svých jednotných programových dokumentech nezveřejnil v případě rámcové smlouvy na služby v oblasti organizování akcí související vyčleněné rozpočtové prostředky ve výši 3,7 milionu EUR, což snížilo transparentnost rozpočtu vůči správní radě institutu a dalším zúčastněným stranám; vyzývá institut, aby do svých jednotných programových dokumentů zahrnul všechny provozní rámcové smlouvy;</w:t>
      </w:r>
    </w:p>
    <w:p w:rsidR="00FC1F5F" w:rsidRPr="004330AB" w:rsidRDefault="00FC1F5F" w:rsidP="007E5C2C">
      <w:pPr>
        <w:pStyle w:val="Normal12Hanging"/>
        <w:rPr>
          <w:b/>
          <w:i/>
          <w:szCs w:val="24"/>
          <w:lang w:val="cs-CZ"/>
        </w:rPr>
      </w:pPr>
      <w:r w:rsidRPr="004330AB">
        <w:rPr>
          <w:b/>
          <w:i/>
          <w:lang w:val="cs-CZ"/>
        </w:rPr>
        <w:t>Výkonnost</w:t>
      </w:r>
    </w:p>
    <w:p w:rsidR="00FC1F5F" w:rsidRPr="004330AB" w:rsidRDefault="00FC1F5F" w:rsidP="007E5C2C">
      <w:pPr>
        <w:spacing w:after="240"/>
        <w:ind w:left="567" w:hanging="567"/>
        <w:rPr>
          <w:szCs w:val="24"/>
        </w:rPr>
      </w:pPr>
      <w:r w:rsidRPr="004330AB">
        <w:t>4.</w:t>
      </w:r>
      <w:r w:rsidRPr="004330AB">
        <w:tab/>
        <w:t>podotýká, že institut používá určité klíčové ukazatele výkonnosti v souvislosti s provozními cíli k posuzování přidané hodnoty své činnosti; s uspokojením konstatuje, že v roce 2022 splnil institut svůj pracovní program z 96,1 % a dosáhl cílů stanovených v pozměněném jednotném programovém dokumentu na období 2022–2024;</w:t>
      </w:r>
    </w:p>
    <w:p w:rsidR="00FC1F5F" w:rsidRPr="004330AB" w:rsidRDefault="00FC1F5F" w:rsidP="007E5C2C">
      <w:pPr>
        <w:pStyle w:val="NormalHanging12a"/>
      </w:pPr>
      <w:r w:rsidRPr="004330AB">
        <w:t>5.</w:t>
      </w:r>
      <w:r w:rsidRPr="004330AB">
        <w:tab/>
        <w:t>vítá skutečnost, že institut v roce 2022 podpořil tvorbu politik Unie tím, že monitoroval nedostatky a trendy v oblasti rovnosti žen a mužů zavedením indexu rovnosti žen a mužů, a uspořádal své první fórum pro rovnost žen a mužů, v jehož rámci se konaly různé panelové diskuse, semináře a setkání zaměřená na předávání zkušeností, jichž se zúčastnili vysoce postavení političtí činitelé s rozhodovací pravomocí a zástupci občanské společnosti; dále konstatuje, že institut vypracoval politický dokument o dopadu pandemie COVID-19 na mladé ženy a muže, jehož součástí jsou i doporučení, jak mladé lidi zapojit a posílit jejich postavení; konstatuje také, že institut zveřejnil zprávu nazvanou „Umělá inteligence, práce prostřednictvím platforem a genderová rovnost“, z níž vyplývá, že umělá inteligence a práce prostřednictvím platforem mohou zlepšit rovnost žen a mužů v hospodářství;</w:t>
      </w:r>
    </w:p>
    <w:p w:rsidR="00FC1F5F" w:rsidRPr="004330AB" w:rsidRDefault="00FC1F5F" w:rsidP="007E5C2C">
      <w:pPr>
        <w:pStyle w:val="NormalHanging12a"/>
      </w:pPr>
      <w:r w:rsidRPr="004330AB">
        <w:t>6.</w:t>
      </w:r>
      <w:r w:rsidRPr="004330AB">
        <w:tab/>
        <w:t>připomíná, že institut byl zřízen s cílem přispívat k prosazování rovnosti žen a mužů v Unii a posilovat ji poskytováním kvalitního výzkumu a srovnatelných údajů, pomáhat unijním orgánům a členským státům začleňovat rovnost žen a mužů do všech jejich politik a bojovat proti diskriminaci na základě pohlaví; zdůrazňuje proto skutečnost, že institut hraje zásadní úlohu při shromažďování, analýze, zpracovávání a šíření údajů a nezbytných informací pro tvůrce politik a pro politiky Unie a členských států;</w:t>
      </w:r>
    </w:p>
    <w:p w:rsidR="00FC1F5F" w:rsidRPr="004330AB" w:rsidRDefault="00FC1F5F" w:rsidP="007E5C2C">
      <w:pPr>
        <w:pStyle w:val="NormalHanging12a"/>
      </w:pPr>
      <w:r w:rsidRPr="004330AB">
        <w:t>7.</w:t>
      </w:r>
      <w:r w:rsidRPr="004330AB">
        <w:tab/>
        <w:t xml:space="preserve">zdůrazňuje význam boje proti nerovnostem mezi ženami a nespravedlnosti vůči ženám; vyzývá Komisi a členské státy, aby přijaly naléhavá opatření k řešení chudoby a rostoucích nerovností mezi ženami, zejména mezi skupinami ve zranitelných situacích, včetně matek samoživitelek, žen se zdravotním postižením, žen znevýhodněných na základě rasy, žen LGBTIQ+, migrantek a uprchlic, starších žen a žen ve venkovských nebo málo zalidněných oblastech; konstatuje, že by toho mohlo být dosaženo, pokud by byly navýšeny finanční prostředky na opatření v oblasti rovnosti žen a mužů, pokud jde o zaměstnanost a růst, jakož i na boj proti </w:t>
      </w:r>
      <w:proofErr w:type="spellStart"/>
      <w:r w:rsidRPr="004330AB">
        <w:t>genderově</w:t>
      </w:r>
      <w:proofErr w:type="spellEnd"/>
      <w:r w:rsidRPr="004330AB">
        <w:t xml:space="preserve"> podmíněnému násilí a rozdílům v odměňování žen a mužů, rozdílům ve výši důchodů žen a mužů a dopadu krizí na ženy, začleňováním hlediska rovnosti žen a mužů, genderovým rozpočtováním a potíráním </w:t>
      </w:r>
      <w:r w:rsidRPr="004330AB">
        <w:lastRenderedPageBreak/>
        <w:t>rostoucí míry chudoby žen i opatřeními v oblasti práv, demokracie a právního státu;</w:t>
      </w:r>
    </w:p>
    <w:p w:rsidR="00FC1F5F" w:rsidRPr="004330AB" w:rsidRDefault="00FC1F5F" w:rsidP="007E5C2C">
      <w:pPr>
        <w:spacing w:after="240"/>
        <w:ind w:left="567" w:hanging="567"/>
        <w:rPr>
          <w:b/>
          <w:i/>
          <w:szCs w:val="24"/>
        </w:rPr>
      </w:pPr>
      <w:r w:rsidRPr="004330AB">
        <w:rPr>
          <w:b/>
          <w:i/>
        </w:rPr>
        <w:t>Efektivita a zisky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8.</w:t>
      </w:r>
      <w:r w:rsidRPr="004330AB">
        <w:rPr>
          <w:lang w:val="cs-CZ"/>
        </w:rPr>
        <w:tab/>
        <w:t>bere na vědomí součinnost institutu mimo jiné s Evropskou nadací pro zlepšení životních a pracovních podmínek (</w:t>
      </w:r>
      <w:proofErr w:type="spellStart"/>
      <w:r w:rsidRPr="004330AB">
        <w:rPr>
          <w:lang w:val="cs-CZ"/>
        </w:rPr>
        <w:t>Eurofound</w:t>
      </w:r>
      <w:proofErr w:type="spellEnd"/>
      <w:r w:rsidRPr="004330AB">
        <w:rPr>
          <w:lang w:val="cs-CZ"/>
        </w:rPr>
        <w:t xml:space="preserve">), Agenturou Evropské unie pro základní práva (FRA) a Evropskou agenturou pro bezpečnost a ochranu zdraví při práci; na základě odpovědí institutu konstatuje, že institut je aktivním členem sítě agentur působících v oblasti spravedlnosti a vnitřních věcí (SVV), udržuje pravidelný kontakt se všemi ostatními agenturami, které v této oblasti působí, a aktivně se podílí na činnosti sítě agentur EU pro vědecké poradenství; bere rovněž na vědomí spolupráci institutu s poskytovateli údajů, jako jsou </w:t>
      </w:r>
      <w:proofErr w:type="spellStart"/>
      <w:r w:rsidRPr="004330AB">
        <w:rPr>
          <w:lang w:val="cs-CZ"/>
        </w:rPr>
        <w:t>Eurostat</w:t>
      </w:r>
      <w:proofErr w:type="spellEnd"/>
      <w:r w:rsidRPr="004330AB">
        <w:rPr>
          <w:lang w:val="cs-CZ"/>
        </w:rPr>
        <w:t xml:space="preserve">, FRA, </w:t>
      </w:r>
      <w:proofErr w:type="spellStart"/>
      <w:r w:rsidRPr="004330AB">
        <w:rPr>
          <w:lang w:val="cs-CZ"/>
        </w:rPr>
        <w:t>Eurofound</w:t>
      </w:r>
      <w:proofErr w:type="spellEnd"/>
      <w:r w:rsidRPr="004330AB">
        <w:rPr>
          <w:lang w:val="cs-CZ"/>
        </w:rPr>
        <w:t xml:space="preserve"> nebo </w:t>
      </w:r>
      <w:proofErr w:type="spellStart"/>
      <w:r w:rsidRPr="004330AB">
        <w:rPr>
          <w:lang w:val="cs-CZ"/>
        </w:rPr>
        <w:t>Eurojust</w:t>
      </w:r>
      <w:proofErr w:type="spellEnd"/>
      <w:r w:rsidRPr="004330AB">
        <w:rPr>
          <w:lang w:val="cs-CZ"/>
        </w:rPr>
        <w:t>;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9.</w:t>
      </w:r>
      <w:r w:rsidRPr="004330AB">
        <w:rPr>
          <w:lang w:val="cs-CZ"/>
        </w:rPr>
        <w:tab/>
        <w:t xml:space="preserve">oceňuje institut za pokrok, jehož v roce 2022 dosáhl při zlepšování své vnitřní efektivity prostřednictvím další digitalizace pracovních procesů a maximalizace využívání komunikace online a virtuální účasti na schůzích a akcích; poukazuje zejména na skutečnost, že institut v roce 2022 vyvinul nebo zavedl několik nástrojů, jako je nástroj pro elektronický podpis, Sysper2 (nástroj Komise pro řízení lidských zdrojů), elektronický nástroj pro přijímání zaměstnanců a nástroj pro řízení projektů, což přispělo k automatizaci a digitalizaci klíčových procesů (lidské zdroje a projektové a finanční řízení); konstatuje, že institut sdílel své lidské a finanční zdroje, aby mohl využít </w:t>
      </w:r>
      <w:proofErr w:type="spellStart"/>
      <w:r w:rsidRPr="004330AB">
        <w:rPr>
          <w:lang w:val="cs-CZ"/>
        </w:rPr>
        <w:t>meziagenturní</w:t>
      </w:r>
      <w:proofErr w:type="spellEnd"/>
      <w:r w:rsidRPr="004330AB">
        <w:rPr>
          <w:lang w:val="cs-CZ"/>
        </w:rPr>
        <w:t xml:space="preserve"> smlouvu na poskytování služeb v oblasti hodnocení projektů; konstatuje rovněž, že institut stanovil několik opatření ke snížení emisí CO₂ a k přijetí pracovních postupů šetrných k životnímu prostředí (doložky o environmentální udržitelnosti obsažené ve smlouvách institutu, recyklace papíru a plastů, elektronické pracovní postupy a shromažďování údajů o emisích CO₂ způsobených služebními cestami institutu);</w:t>
      </w:r>
    </w:p>
    <w:p w:rsidR="00FC1F5F" w:rsidRPr="004330AB" w:rsidRDefault="00FC1F5F" w:rsidP="007E5C2C">
      <w:pPr>
        <w:pStyle w:val="Normal12Hanging"/>
        <w:rPr>
          <w:b/>
          <w:i/>
          <w:szCs w:val="24"/>
          <w:lang w:val="cs-CZ"/>
        </w:rPr>
      </w:pPr>
      <w:r w:rsidRPr="004330AB">
        <w:rPr>
          <w:b/>
          <w:i/>
          <w:lang w:val="cs-CZ"/>
        </w:rPr>
        <w:t>Personální politika</w:t>
      </w:r>
    </w:p>
    <w:p w:rsidR="00FC1F5F" w:rsidRPr="004330AB" w:rsidRDefault="00FC1F5F" w:rsidP="007E5C2C">
      <w:pPr>
        <w:spacing w:after="240"/>
        <w:ind w:left="567" w:hanging="567"/>
      </w:pPr>
      <w:r w:rsidRPr="004330AB">
        <w:t>10.</w:t>
      </w:r>
      <w:r w:rsidRPr="004330AB">
        <w:tab/>
        <w:t>konstatuje, že ke dni 31. prosince 2022 byl plán pracovních míst naplněn ze 100 %, přičemž z 27 úředníků a dočasných zaměstnanců povolených v rámci rozpočtu Unie (stejný počet jako v roce 2021) jich bylo jmenováno 27; konstatuje, že míra fluktuace zaměstnanců agentury v roce 2022 činila 11 %, což je stejná míra jako v letech 2021 a 2020;</w:t>
      </w:r>
    </w:p>
    <w:p w:rsidR="00FC1F5F" w:rsidRPr="004330AB" w:rsidRDefault="00FC1F5F" w:rsidP="007E5C2C">
      <w:pPr>
        <w:pStyle w:val="NormalHanging12a"/>
      </w:pPr>
      <w:r w:rsidRPr="004330AB">
        <w:t>11.</w:t>
      </w:r>
      <w:r w:rsidRPr="004330AB">
        <w:tab/>
        <w:t>bere na vědomí, že institut dokončil každoroční hodnocení výkonu všech 62 zaměstnanců a zajistil, aby jim byly nabídnuty vhodné možnosti školení zaměřené na zlepšení jejich dovedností a kompetencí; vítá, že za účelem podpory a usnadnění profesního rozvoje v institutu bylo v roce 2022 zorganizováno 19 různých skupinových školicích programů se 414 účastníky, přičemž 20 statutárních zaměstnanců se zapojilo do 42 individuálních školicích kurzů; konstatuje, že institut nadále podporoval jazykové vzdělávání pro své dočasné zaměstnance, smluvní zaměstnance, vyslané národní odborníky a stážisty, přičemž proplácel až 500 EUR na zaměstnance; vybízí institut, aby se i nadále zaměřoval na profesní rozvoj budováním dlouhodobé politiky v oblasti lidských zdrojů, jež bude spočívat v nabízení konkrétních možností školení za účelem profesního rozvoje;</w:t>
      </w:r>
    </w:p>
    <w:p w:rsidR="00FC1F5F" w:rsidRPr="004330AB" w:rsidRDefault="00FC1F5F" w:rsidP="007E5C2C">
      <w:pPr>
        <w:pStyle w:val="NormalHanging12a"/>
      </w:pPr>
      <w:r w:rsidRPr="004330AB">
        <w:t>12.</w:t>
      </w:r>
      <w:r w:rsidRPr="004330AB">
        <w:tab/>
        <w:t xml:space="preserve">vítá skutečnost, že v roce 2022 bylo zachováno vyvážené zastoupení žen a mužů ve vrcholném a středním managementu (2 muži (50 %) a 2 ženy (50 %)), jehož bylo dosaženo v roce 2021, a bere na vědomí opětovné nevyvážené zastoupení žen a mužů </w:t>
      </w:r>
      <w:r w:rsidRPr="004330AB">
        <w:lastRenderedPageBreak/>
        <w:t>ve správní radě (8 mužů (21,62 %) a 29 žen (78,38 %)) a mezi zaměstnanci obecně (14 mužů (29,17 %) a 34 žen (70,83 %)); znovu vyzývá institut, aby v budoucnu zajistil vyvážené zastoupení žen a mužů; na základě písemných odpovědí institutu nicméně bere na vědomí, že institut učinil v zájmu dosažení genderové vyváženosti mezi svými zaměstnanci konkrétní iniciativní kroky a opatření, jako je zajištění širšího dosahu oznámení o volných pracovních místech s cílem přilákat rozmanitější skupinu nadaných uchazečů nebo používání formulací zohledňujících genderové aspekty v oznámeních o volných pracovních místech, aby byla upoutána pozornost jak žen, tak mužů; vyzývá Komisi a členské státy, aby při předkládání nominací do správní rady institutu přihlížely k tomu, že je důležité zajistit vyvážené zastoupení žen a mužů;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13.</w:t>
      </w:r>
      <w:r w:rsidRPr="004330AB">
        <w:rPr>
          <w:lang w:val="cs-CZ"/>
        </w:rPr>
        <w:tab/>
        <w:t>na základě odpovědí institutu konstatuje, že v roce 2022 nebyly hlášeny, vyšetřovány, uzavřeny v rámci interního řízení ani podány k soudu žádné případy obtěžování; podotýká nicméně, že z toho automaticky neplyne, že takové případy nenastaly, zejména proto, že obtěžování může mít různé formy a nemusí být ohlášeno; vyzývá institut, aby i nadále vyvíjel úsilí s cílem zachovat stávající trend a aby zavedl veškeré potřebné záruky, jež by zajistily, aby žádný případ nezůstal neohlášen; oceňuje institut za to, že v roce 2022 uspořádal pro vedoucí pracovníky i zaměstnance školení o prevenci obtěžování; konstatuje také, že institut využil služeb své externí advokátní kanceláře, aby řešila předchozí případy obtěžování právní cestou; poznamenává, že institut nemá vlastní právní oddělení ani funkci právního poradce;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14.</w:t>
      </w:r>
      <w:r w:rsidRPr="004330AB">
        <w:rPr>
          <w:lang w:val="cs-CZ"/>
        </w:rPr>
        <w:tab/>
        <w:t xml:space="preserve">konstatuje, že v roce 2022 bylo ukončeno řízení proti společnosti UAB </w:t>
      </w:r>
      <w:proofErr w:type="spellStart"/>
      <w:r w:rsidRPr="004330AB">
        <w:rPr>
          <w:lang w:val="cs-CZ"/>
        </w:rPr>
        <w:t>Manpower</w:t>
      </w:r>
      <w:proofErr w:type="spellEnd"/>
      <w:r w:rsidRPr="004330AB">
        <w:rPr>
          <w:lang w:val="cs-CZ"/>
        </w:rPr>
        <w:t xml:space="preserve"> Lit probíhající u obvodního soudu ve Vilniusu, k němuž dalo na začátku roku 2018 podnět několik bývalých dočasných pracovníků; připomíná, že rozsudek Soudního dvora ze dne 11. listopadu 2021</w:t>
      </w:r>
      <w:r w:rsidRPr="004330AB">
        <w:rPr>
          <w:rStyle w:val="FootnoteReference"/>
          <w:szCs w:val="24"/>
          <w:lang w:val="cs-CZ"/>
        </w:rPr>
        <w:footnoteReference w:id="13"/>
      </w:r>
      <w:r w:rsidRPr="004330AB">
        <w:rPr>
          <w:lang w:val="cs-CZ"/>
        </w:rPr>
        <w:t xml:space="preserve"> potvrdil, že se na decentralizované agentury Unie vztahuje směrnice Evropského parlamentu a Rady 2008/104/ES</w:t>
      </w:r>
      <w:r w:rsidRPr="004330AB">
        <w:rPr>
          <w:rStyle w:val="FootnoteReference"/>
          <w:szCs w:val="24"/>
          <w:lang w:val="cs-CZ"/>
        </w:rPr>
        <w:footnoteReference w:id="14"/>
      </w:r>
      <w:r w:rsidRPr="004330AB">
        <w:rPr>
          <w:lang w:val="cs-CZ"/>
        </w:rPr>
        <w:t>, jakož i platnost zásady rovného zacházení s dočasnými pracovníky a statutárními zaměstnanci; konstatuje, že Nejvyšší soud Litvy potvrdil rozhodnutí Soudního dvora a rozhodl ve prospěch dočasných pracovníků; vítá skutečnost, že institut od 1. ledna 2022 dočasné pracovníky již nenajímá;</w:t>
      </w:r>
    </w:p>
    <w:p w:rsidR="00FC1F5F" w:rsidRPr="004330AB" w:rsidRDefault="00FC1F5F" w:rsidP="007E5C2C">
      <w:pPr>
        <w:pStyle w:val="Normal12Hanging"/>
        <w:rPr>
          <w:lang w:val="cs-CZ"/>
        </w:rPr>
      </w:pPr>
      <w:r w:rsidRPr="004330AB">
        <w:rPr>
          <w:lang w:val="cs-CZ"/>
        </w:rPr>
        <w:t>15.</w:t>
      </w:r>
      <w:r w:rsidRPr="004330AB">
        <w:rPr>
          <w:lang w:val="cs-CZ"/>
        </w:rPr>
        <w:tab/>
        <w:t>vítá komplexní politiku institutu v oblasti duševní pohody, která zahrnuje řadu opatření na podporu rovnováhy mezi pracovním a soukromým životem, práce na dálku a zdravého životního stylu zaměstnanců institutu; bere na vědomí, že institut v roce 2022 vyvíjel soustavné úsilí o zlepšování pracovního prostředí kombinací respektu a integrity, týmového ducha a spolupráce všech oddělení, aby mezi svými zaměstnanci zvýšil porozumění své politice nulové tolerance vůči psychickému a sexuálnímu obtěžování a její podporu; bere rovněž na vědomí opatření institutu zaměřená na podporu zaměstnanců, jako je rozšíření možnosti práce na dálku v případě doložené osobní situace nebo proplácení výdajů na psychoterapeutická sezení nestatutárním pracovníkům;</w:t>
      </w:r>
    </w:p>
    <w:p w:rsidR="00FC1F5F" w:rsidRPr="004330AB" w:rsidRDefault="00FC1F5F" w:rsidP="007E5C2C">
      <w:pPr>
        <w:pStyle w:val="Normal12Hanging"/>
        <w:rPr>
          <w:b/>
          <w:i/>
          <w:szCs w:val="24"/>
          <w:lang w:val="cs-CZ"/>
        </w:rPr>
      </w:pPr>
      <w:r w:rsidRPr="004330AB">
        <w:rPr>
          <w:b/>
          <w:i/>
          <w:lang w:val="cs-CZ"/>
        </w:rPr>
        <w:t>Veřejné zakázky</w:t>
      </w:r>
    </w:p>
    <w:p w:rsidR="00FC1F5F" w:rsidRPr="004330AB" w:rsidRDefault="00FC1F5F" w:rsidP="007E5C2C">
      <w:pPr>
        <w:spacing w:after="240"/>
        <w:ind w:left="567" w:hanging="567"/>
        <w:rPr>
          <w:szCs w:val="24"/>
        </w:rPr>
      </w:pPr>
      <w:r w:rsidRPr="004330AB">
        <w:t>16.</w:t>
      </w:r>
      <w:r w:rsidRPr="004330AB">
        <w:tab/>
        <w:t xml:space="preserve">se znepokojením bere na vědomí připomínku uvedenou ve zprávě Účetního dvora </w:t>
      </w:r>
      <w:r w:rsidRPr="004330AB">
        <w:lastRenderedPageBreak/>
        <w:t>týkající se jedné rámcové smlouvy, u níž bylo zjištěno, že platba provedená institutem v roce 2022 ve výši 25 571,18 EUR (z celkové částky 511 296 EUR vyplacené na základě této smlouvy) v kategorii nákladů „nepředvídané výdaje“ byla neoprávněná, neboť tato kategorie nákladů nebyla do rámcové smlouvy zahrnuta; vítá skutečnost, že institut provedl formální úpravu této rámcové smlouvy, která nyní stanoví procentní podíl rozpočtu na nepředvídané výdaje i jejich účel;</w:t>
      </w:r>
    </w:p>
    <w:p w:rsidR="00FC1F5F" w:rsidRPr="004330AB" w:rsidRDefault="00FC1F5F" w:rsidP="007E5C2C">
      <w:pPr>
        <w:spacing w:after="240"/>
        <w:ind w:left="567" w:hanging="567"/>
        <w:rPr>
          <w:szCs w:val="24"/>
        </w:rPr>
      </w:pPr>
      <w:r w:rsidRPr="004330AB">
        <w:t>17.</w:t>
      </w:r>
      <w:r w:rsidRPr="004330AB">
        <w:tab/>
        <w:t>upozorňuje rovněž na další připomínku obsaženou ve zprávě Účetního dvora, která se týká nesrovnalosti řízení a zakázky, která byla na jeho základě vybrána, a to v souvislosti s auditovaným jednacím řízením s hodnotou nižší než 60 000 EUR, jehož se zúčastnili nejméně tři uchazeči; zároveň však v souvislosti s touto posledně uvedenou připomínkou konstatuje, že v roce 2022 nebyly v rámci uvedené smlouvy provedeny žádné platby; vyzývá institut, aby se těmito nedostatky vnitřní kontroly v oblasti zadávání veřejných zakázek zabýval;</w:t>
      </w:r>
    </w:p>
    <w:p w:rsidR="00FC1F5F" w:rsidRPr="004330AB" w:rsidRDefault="00FC1F5F" w:rsidP="007E5C2C">
      <w:pPr>
        <w:pStyle w:val="Normal12Hanging"/>
        <w:rPr>
          <w:b/>
          <w:i/>
          <w:szCs w:val="24"/>
          <w:lang w:val="cs-CZ"/>
        </w:rPr>
      </w:pPr>
      <w:r w:rsidRPr="004330AB">
        <w:rPr>
          <w:b/>
          <w:i/>
          <w:lang w:val="cs-CZ"/>
        </w:rPr>
        <w:t>Prevence a řešení střetů zájmů a transparentnost</w:t>
      </w:r>
    </w:p>
    <w:p w:rsidR="00FC1F5F" w:rsidRPr="004330AB" w:rsidRDefault="00FC1F5F" w:rsidP="007E5C2C">
      <w:pPr>
        <w:spacing w:after="240"/>
        <w:ind w:left="567" w:hanging="567"/>
        <w:rPr>
          <w:szCs w:val="24"/>
        </w:rPr>
      </w:pPr>
      <w:r w:rsidRPr="004330AB">
        <w:t>18.</w:t>
      </w:r>
      <w:r w:rsidRPr="004330AB">
        <w:tab/>
        <w:t>bere na vědomí stávající opatření institutu a jeho trvalé úsilí o zajištění transparentnosti, předcházení a řešení střetů zájmů a ochranu oznamovatelů; konstatuje zejména, že institut usiluje o prevenci a řešení střetů zájmů prostřednictvím zvyšování informovanosti a sledování platnosti prohlášení o zájmech podepsaných správní radou, vrcholným vedením a zaměstnanci, kteří se podílejí na přijímání nových zaměstnanců a zadávání veřejných zakázek; konstatuje rovněž, že institut v roce 2023 aktualizoval svou politiku v oblasti střetů zájmů s cílem zohlednit doporučení týkající se „efektu otáčivých dveří“, která vydal Účetní dvůr ve své zprávě o auditu decentralizovaných agentur Unie za rok 2021, jakož i další příslušné zprávy či studie vydané orgánem příslušným k udělení absolutoria a evropskou veřejnou ochránkyní práv; vyzývá Účetní dvůr, aby novou politiku institutu v oblasti střetů zájmů zahrnul do svých plánů budoucích auditů;</w:t>
      </w:r>
    </w:p>
    <w:p w:rsidR="00FC1F5F" w:rsidRPr="004330AB" w:rsidRDefault="00FC1F5F" w:rsidP="007E5C2C">
      <w:pPr>
        <w:pStyle w:val="Normal12Hanging"/>
        <w:rPr>
          <w:b/>
          <w:i/>
          <w:szCs w:val="24"/>
          <w:lang w:val="cs-CZ"/>
        </w:rPr>
      </w:pPr>
      <w:r w:rsidRPr="004330AB">
        <w:rPr>
          <w:lang w:val="cs-CZ"/>
        </w:rPr>
        <w:t>19.</w:t>
      </w:r>
      <w:r w:rsidRPr="004330AB">
        <w:rPr>
          <w:lang w:val="cs-CZ"/>
        </w:rPr>
        <w:tab/>
        <w:t>bere na vědomí, že institut na svých internetových stránkách zveřejnil životopisy a prohlášení o zájmech své ředitelky a členů správní rady; připomíná význam zveřejňování životopisů a prohlášení o zájmech; vyzývá institut, aby neprodleně zveřejnil svá jednání se zástupci zájmových skupin a poskytl orgánu příslušnému k udělení absolutoria informace o internetových stránkách, kde jsou tato jednání zveřejňována;</w:t>
      </w:r>
    </w:p>
    <w:p w:rsidR="00FC1F5F" w:rsidRPr="004330AB" w:rsidRDefault="00FC1F5F" w:rsidP="007E5C2C">
      <w:pPr>
        <w:pStyle w:val="Normal12Hanging"/>
        <w:rPr>
          <w:b/>
          <w:i/>
          <w:szCs w:val="24"/>
          <w:lang w:val="cs-CZ"/>
        </w:rPr>
      </w:pPr>
      <w:r w:rsidRPr="004330AB">
        <w:rPr>
          <w:b/>
          <w:i/>
          <w:lang w:val="cs-CZ"/>
        </w:rPr>
        <w:t>Vnitřní kontrola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20.</w:t>
      </w:r>
      <w:r w:rsidRPr="004330AB">
        <w:rPr>
          <w:lang w:val="cs-CZ"/>
        </w:rPr>
        <w:tab/>
        <w:t>vítá opatření, která institut přijal v roce 2022 k posílení svého systému vnitřní kontroly; v této souvislosti konstatuje, že institut je na dobré cestě, pokud jde o dosažený pokrok v oblasti činností vnitřní kontroly a auditu, jako je provádění doporučení nebo připomínek vydaných Účetním dvorem a Útvarem interního auditu (IAS) v jejich auditních zprávách z roku 2021 a činností a opatření stanovených ve strategii institutu pro boj proti podvodům na období 2021–2023; vítá skutečnost, že tyto činnosti a opatření zahrnují poskytování školení pro předcházení podvodům, zvyšování povědomí prostřednictvím specializované intranetové stránky pro boj proti podvodům a specializované kontroly a posuzování rizika podvodů;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21.</w:t>
      </w:r>
      <w:r w:rsidRPr="004330AB">
        <w:rPr>
          <w:lang w:val="cs-CZ"/>
        </w:rPr>
        <w:tab/>
        <w:t xml:space="preserve">bere na vědomí, že Útvar interního auditu provedl v institutu v roce 2022 zvláštní posouzení jeho systému vnitřní kontroly; dále bere na vědomí výsledky tohoto </w:t>
      </w:r>
      <w:r w:rsidRPr="004330AB">
        <w:rPr>
          <w:lang w:val="cs-CZ"/>
        </w:rPr>
        <w:lastRenderedPageBreak/>
        <w:t>posouzení, při němž byly zjištěny čtyři mírné nedostatky týkající se složek I (kontrolní prostředí), III (kontrolní činnosti) a IV (informace a komunikace) a jeden závažný nedostatek týkající se složky III, jakož i potřeba zlepšit či výrazně zlepšit některé zásady (4, 10, 11 a 13); žádá institut, aby informoval orgán příslušný k udělení absolutoria o pokroku, kterého bylo ohledně zjištění Útvaru interního auditu dosaženo;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22.</w:t>
      </w:r>
      <w:r w:rsidRPr="004330AB">
        <w:rPr>
          <w:lang w:val="cs-CZ"/>
        </w:rPr>
        <w:tab/>
        <w:t>konstatuje, že v roce 2022 bylo zveřejněno druhé nezávislé externí hodnocení institutu; v této souvislosti bere na vědomí, že správní rada institutu zaslala Komisi dopis obsahující doporučení ohledně odborného sboru institutu, fungování správní rady a personálních otázek; z tohoto dopisu vyvozuje, že řešení těchto doporučení si může vyžádat změnu nařízení (ES) č. 1922/2006</w:t>
      </w:r>
      <w:r w:rsidRPr="004330AB">
        <w:rPr>
          <w:rStyle w:val="FootnoteReference"/>
          <w:lang w:val="cs-CZ"/>
        </w:rPr>
        <w:footnoteReference w:id="15"/>
      </w:r>
      <w:r w:rsidRPr="004330AB">
        <w:rPr>
          <w:lang w:val="cs-CZ"/>
        </w:rPr>
        <w:t>, kterým byl institut zřízen; vyzývá Komisi, aby institut podporovala při následné analýze a diskusích o výsledku uvedeného externího hodnocení;</w:t>
      </w:r>
    </w:p>
    <w:p w:rsidR="00FC1F5F" w:rsidRPr="004330AB" w:rsidRDefault="00FC1F5F" w:rsidP="007E5C2C">
      <w:pPr>
        <w:spacing w:after="240"/>
        <w:ind w:left="567" w:hanging="567"/>
        <w:rPr>
          <w:szCs w:val="24"/>
        </w:rPr>
      </w:pPr>
      <w:r w:rsidRPr="004330AB">
        <w:t>23.</w:t>
      </w:r>
      <w:r w:rsidRPr="004330AB">
        <w:tab/>
        <w:t>oceňuje institut, že přijal nezbytná opatření v návaznosti na připomínky Účetního dvora z roku 2021, jež byly Účetním dvorem všechny prohlášeny za uzavřené;</w:t>
      </w:r>
    </w:p>
    <w:p w:rsidR="00FC1F5F" w:rsidRPr="004330AB" w:rsidRDefault="00FC1F5F" w:rsidP="007E5C2C">
      <w:pPr>
        <w:pStyle w:val="Normal12Hanging"/>
        <w:ind w:left="0" w:firstLine="0"/>
        <w:rPr>
          <w:b/>
          <w:i/>
          <w:szCs w:val="24"/>
          <w:lang w:val="cs-CZ"/>
        </w:rPr>
      </w:pPr>
      <w:r w:rsidRPr="004330AB">
        <w:rPr>
          <w:b/>
          <w:i/>
          <w:lang w:val="cs-CZ"/>
        </w:rPr>
        <w:t>Různé</w:t>
      </w:r>
    </w:p>
    <w:p w:rsidR="00FC1F5F" w:rsidRPr="004330AB" w:rsidRDefault="00FC1F5F" w:rsidP="007E5C2C">
      <w:pPr>
        <w:pStyle w:val="Normal12Hanging"/>
        <w:rPr>
          <w:szCs w:val="24"/>
          <w:lang w:val="cs-CZ"/>
        </w:rPr>
      </w:pPr>
      <w:r w:rsidRPr="004330AB">
        <w:rPr>
          <w:lang w:val="cs-CZ"/>
        </w:rPr>
        <w:t>24.</w:t>
      </w:r>
      <w:r w:rsidRPr="004330AB">
        <w:rPr>
          <w:lang w:val="cs-CZ"/>
        </w:rPr>
        <w:tab/>
        <w:t>konstatuje, že institut podepsal v roce 2022 novou nájemní smlouvu na své prostory ve Vilniusu na dobu deseti let; dále konstatuje, že v roce 2022 zahájil svou činnost styčný úřad v Bruselu, který pomohl posílit viditelnost institutu jako zúčastněné strany;</w:t>
      </w:r>
    </w:p>
    <w:p w:rsidR="00FC1F5F" w:rsidRPr="004330AB" w:rsidRDefault="00FC1F5F" w:rsidP="007E5C2C">
      <w:pPr>
        <w:pStyle w:val="NormalHanging12a"/>
      </w:pPr>
      <w:r w:rsidRPr="004330AB">
        <w:t>25.</w:t>
      </w:r>
      <w:r w:rsidRPr="004330AB">
        <w:tab/>
        <w:t>vítá závazek institutu digitalizovat svá zadávací řízení zavedením nástroje pro řízení zadávání veřejných zakázek, které má být dokončeno v posledním čtvrtletí roku 2023; na základě odpovědí institutu na otázky Výboru pro rozpočtovou kontrolu Parlamentu konstatuje, že institut v roce 2022 aktualizoval svou politiku kybernetické bezpečnosti s cílem posílit bezpečnostní opatření; připomíná, že je důležité pravidelně aktualizovat opatření pro audity a testy v oblasti kybernetické bezpečnosti a hodnocení rizik v oblasti IT;</w:t>
      </w:r>
    </w:p>
    <w:p w:rsidR="00FC1F5F" w:rsidRPr="004330AB" w:rsidRDefault="00FC1F5F" w:rsidP="007E5C2C">
      <w:pPr>
        <w:spacing w:after="240"/>
        <w:ind w:left="567" w:hanging="567"/>
      </w:pPr>
      <w:r w:rsidRPr="004330AB">
        <w:t>26.</w:t>
      </w:r>
      <w:r w:rsidRPr="004330AB">
        <w:tab/>
        <w:t>konstatuje, že institut ještě více posílil svou viditelnost ve veřejném prostoru a přítomnost na internetu tím, že spustil nebo poskytl prostor pro několik kampaní či akcí, jako je kampaň #</w:t>
      </w:r>
      <w:proofErr w:type="spellStart"/>
      <w:r w:rsidRPr="004330AB">
        <w:t>SafeSpaces</w:t>
      </w:r>
      <w:proofErr w:type="spellEnd"/>
      <w:r w:rsidRPr="004330AB">
        <w:t>, která má mimo jiné ukázat, jak kybernetické násilí ohrožuje bezpečnost žen a dívek,</w:t>
      </w:r>
      <w:r w:rsidRPr="004330AB">
        <w:rPr>
          <w:color w:val="000000" w:themeColor="text1"/>
        </w:rPr>
        <w:t xml:space="preserve"> a první fórum institutu pro rovnost žen a mužů s nabídkou různých akcí, jichž se mohla veřejnost zúčastnit prostřednictvím živého vysílání a nahrávek;</w:t>
      </w:r>
    </w:p>
    <w:p w:rsidR="00FC1F5F" w:rsidRPr="004330AB" w:rsidRDefault="00FC1F5F" w:rsidP="007E5C2C">
      <w:pPr>
        <w:pStyle w:val="NormalHanging12a"/>
        <w:rPr>
          <w:b/>
          <w:i/>
        </w:rPr>
      </w:pPr>
      <w:r w:rsidRPr="004330AB">
        <w:t>27.</w:t>
      </w:r>
      <w:r w:rsidRPr="004330AB">
        <w:tab/>
        <w:t xml:space="preserve">trvá na důležitosti zprávy o </w:t>
      </w:r>
      <w:proofErr w:type="spellStart"/>
      <w:r w:rsidRPr="004330AB">
        <w:t>feminicidě</w:t>
      </w:r>
      <w:proofErr w:type="spellEnd"/>
      <w:r w:rsidRPr="004330AB">
        <w:t xml:space="preserve"> zveřejněné v roce 2022 s názvem „Ukazatele </w:t>
      </w:r>
      <w:proofErr w:type="spellStart"/>
      <w:r w:rsidRPr="004330AB">
        <w:t>feminicidy</w:t>
      </w:r>
      <w:proofErr w:type="spellEnd"/>
      <w:r w:rsidRPr="004330AB">
        <w:t>: pilotní studie dostupnosti údajů a posouzení proveditelnosti“ („</w:t>
      </w:r>
      <w:proofErr w:type="spellStart"/>
      <w:r w:rsidRPr="004330AB">
        <w:t>Feminicide</w:t>
      </w:r>
      <w:proofErr w:type="spellEnd"/>
      <w:r w:rsidRPr="004330AB">
        <w:t xml:space="preserve"> </w:t>
      </w:r>
      <w:proofErr w:type="spellStart"/>
      <w:r w:rsidRPr="004330AB">
        <w:t>indicators</w:t>
      </w:r>
      <w:proofErr w:type="spellEnd"/>
      <w:r w:rsidRPr="004330AB">
        <w:t xml:space="preserve">: pilot study </w:t>
      </w:r>
      <w:proofErr w:type="spellStart"/>
      <w:r w:rsidRPr="004330AB">
        <w:t>of</w:t>
      </w:r>
      <w:proofErr w:type="spellEnd"/>
      <w:r w:rsidRPr="004330AB">
        <w:t xml:space="preserve"> data </w:t>
      </w:r>
      <w:proofErr w:type="spellStart"/>
      <w:r w:rsidRPr="004330AB">
        <w:t>availability</w:t>
      </w:r>
      <w:proofErr w:type="spellEnd"/>
      <w:r w:rsidRPr="004330AB">
        <w:t xml:space="preserve"> and </w:t>
      </w:r>
      <w:proofErr w:type="spellStart"/>
      <w:r w:rsidRPr="004330AB">
        <w:t>feasibility</w:t>
      </w:r>
      <w:proofErr w:type="spellEnd"/>
      <w:r w:rsidRPr="004330AB">
        <w:t xml:space="preserve"> </w:t>
      </w:r>
      <w:proofErr w:type="spellStart"/>
      <w:r w:rsidRPr="004330AB">
        <w:t>assessment</w:t>
      </w:r>
      <w:proofErr w:type="spellEnd"/>
      <w:r w:rsidRPr="004330AB">
        <w:t xml:space="preserve">“) a vybízí institut, aby pokračoval ve své kampani za zviditelnění </w:t>
      </w:r>
      <w:proofErr w:type="spellStart"/>
      <w:r w:rsidRPr="004330AB">
        <w:t>feminicidy</w:t>
      </w:r>
      <w:proofErr w:type="spellEnd"/>
      <w:r w:rsidRPr="004330AB">
        <w:t xml:space="preserve"> ve vnitrostátních politikách a zdůrazňoval potenciální přínosy uznání </w:t>
      </w:r>
      <w:proofErr w:type="spellStart"/>
      <w:r w:rsidRPr="004330AB">
        <w:t>feminicidy</w:t>
      </w:r>
      <w:proofErr w:type="spellEnd"/>
      <w:r w:rsidRPr="004330AB">
        <w:t xml:space="preserve"> za samostatný trestný čin;</w:t>
      </w:r>
    </w:p>
    <w:p w:rsidR="007E5C2C" w:rsidRDefault="007E5C2C" w:rsidP="007E5C2C">
      <w:pPr>
        <w:pStyle w:val="NormalCenter12a"/>
        <w:widowControl/>
      </w:pPr>
      <w:r>
        <w:t>°</w:t>
      </w:r>
    </w:p>
    <w:p w:rsidR="007E5C2C" w:rsidRDefault="007E5C2C" w:rsidP="007E5C2C">
      <w:pPr>
        <w:pStyle w:val="NormalCenter12a"/>
        <w:widowControl/>
      </w:pPr>
      <w:r>
        <w:t>°     °</w:t>
      </w:r>
    </w:p>
    <w:p w:rsidR="00E365E1" w:rsidRPr="004330AB" w:rsidRDefault="00FC1F5F" w:rsidP="007E5C2C">
      <w:pPr>
        <w:spacing w:after="240"/>
        <w:ind w:left="567" w:hanging="567"/>
      </w:pPr>
      <w:r w:rsidRPr="004330AB">
        <w:t>28.</w:t>
      </w:r>
      <w:r w:rsidRPr="004330AB">
        <w:tab/>
        <w:t xml:space="preserve">pokud jde o další připomínky, které jsou připojeny k rozhodnutí o udělení absolutoria a </w:t>
      </w:r>
      <w:r w:rsidRPr="004330AB">
        <w:lastRenderedPageBreak/>
        <w:t xml:space="preserve">jsou horizontální povahy, odkazuje na své usnesení ze dne </w:t>
      </w:r>
      <w:r w:rsidR="00C35162">
        <w:t>11. dubna</w:t>
      </w:r>
      <w:r w:rsidRPr="004330AB">
        <w:t xml:space="preserve"> 2024</w:t>
      </w:r>
      <w:r w:rsidRPr="004330AB">
        <w:rPr>
          <w:rStyle w:val="FootnoteReference"/>
        </w:rPr>
        <w:footnoteReference w:id="16"/>
      </w:r>
      <w:r w:rsidRPr="004330AB">
        <w:t xml:space="preserve"> o výkonnosti, finančním řízení a kontrole agentur.</w:t>
      </w:r>
      <w:bookmarkStart w:id="13" w:name="TextBodyEnd"/>
      <w:bookmarkEnd w:id="13"/>
    </w:p>
    <w:sectPr w:rsidR="00E365E1" w:rsidRPr="004330AB" w:rsidSect="004330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586" w:rsidRPr="004330AB" w:rsidRDefault="00433586">
      <w:r w:rsidRPr="004330AB">
        <w:separator/>
      </w:r>
    </w:p>
  </w:endnote>
  <w:endnote w:type="continuationSeparator" w:id="0">
    <w:p w:rsidR="00433586" w:rsidRPr="004330AB" w:rsidRDefault="00433586">
      <w:r w:rsidRPr="004330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F5F" w:rsidRPr="004330AB" w:rsidRDefault="00FC1F5F" w:rsidP="00754BAA">
    <w:pPr>
      <w:pStyle w:val="EPFooter"/>
    </w:pPr>
    <w:r w:rsidRPr="004330AB">
      <w:t>PE</w:t>
    </w:r>
    <w:r w:rsidRPr="004330AB">
      <w:rPr>
        <w:rStyle w:val="HideTWBExt"/>
      </w:rPr>
      <w:t>&lt;</w:t>
    </w:r>
    <w:proofErr w:type="spellStart"/>
    <w:r w:rsidRPr="004330AB">
      <w:rPr>
        <w:rStyle w:val="HideTWBExt"/>
      </w:rPr>
      <w:t>NoPE</w:t>
    </w:r>
    <w:proofErr w:type="spellEnd"/>
    <w:r w:rsidRPr="004330AB">
      <w:rPr>
        <w:rStyle w:val="HideTWBExt"/>
      </w:rPr>
      <w:t>&gt;</w:t>
    </w:r>
    <w:r w:rsidRPr="004330AB">
      <w:t>753.520</w:t>
    </w:r>
    <w:r w:rsidRPr="004330AB">
      <w:rPr>
        <w:rStyle w:val="HideTWBExt"/>
      </w:rPr>
      <w:t>&lt;/</w:t>
    </w:r>
    <w:proofErr w:type="spellStart"/>
    <w:r w:rsidRPr="004330AB">
      <w:rPr>
        <w:rStyle w:val="HideTWBExt"/>
      </w:rPr>
      <w:t>NoPE</w:t>
    </w:r>
    <w:proofErr w:type="spellEnd"/>
    <w:r w:rsidRPr="004330AB">
      <w:rPr>
        <w:rStyle w:val="HideTWBExt"/>
      </w:rPr>
      <w:t>&gt;&lt;Version&gt;</w:t>
    </w:r>
    <w:r w:rsidRPr="004330AB">
      <w:t>v02-00</w:t>
    </w:r>
    <w:r w:rsidRPr="004330AB">
      <w:rPr>
        <w:rStyle w:val="HideTWBExt"/>
      </w:rPr>
      <w:t>&lt;/</w:t>
    </w:r>
    <w:proofErr w:type="spellStart"/>
    <w:r w:rsidRPr="004330AB">
      <w:rPr>
        <w:rStyle w:val="HideTWBExt"/>
      </w:rPr>
      <w:t>Version</w:t>
    </w:r>
    <w:proofErr w:type="spellEnd"/>
    <w:r w:rsidRPr="004330AB">
      <w:rPr>
        <w:rStyle w:val="HideTWBExt"/>
      </w:rPr>
      <w:t>&gt;</w:t>
    </w:r>
    <w:r w:rsidRPr="004330AB">
      <w:tab/>
    </w:r>
    <w:r w:rsidRPr="004330AB">
      <w:fldChar w:fldCharType="begin"/>
    </w:r>
    <w:r w:rsidRPr="004330AB">
      <w:instrText xml:space="preserve"> PAGE  \* MERGEFORMAT </w:instrText>
    </w:r>
    <w:r w:rsidRPr="004330AB">
      <w:fldChar w:fldCharType="separate"/>
    </w:r>
    <w:r w:rsidR="004330AB" w:rsidRPr="004330AB">
      <w:rPr>
        <w:noProof/>
      </w:rPr>
      <w:t>2</w:t>
    </w:r>
    <w:r w:rsidRPr="004330AB">
      <w:fldChar w:fldCharType="end"/>
    </w:r>
    <w:r w:rsidRPr="004330AB">
      <w:t>/</w:t>
    </w:r>
    <w:fldSimple w:instr=" NUMPAGES  \* MERGEFORMAT ">
      <w:r w:rsidR="004330AB" w:rsidRPr="004330AB">
        <w:rPr>
          <w:noProof/>
        </w:rPr>
        <w:t>12</w:t>
      </w:r>
    </w:fldSimple>
    <w:r w:rsidRPr="004330AB">
      <w:tab/>
    </w:r>
    <w:r w:rsidRPr="004330AB">
      <w:rPr>
        <w:rStyle w:val="HideTWBExt"/>
      </w:rPr>
      <w:t>&lt;PathFdR&gt;</w:t>
    </w:r>
    <w:r w:rsidRPr="004330AB">
      <w:t>RR\1298746CS.docx</w:t>
    </w:r>
    <w:r w:rsidRPr="004330AB">
      <w:rPr>
        <w:rStyle w:val="HideTWBExt"/>
      </w:rPr>
      <w:t>&lt;/</w:t>
    </w:r>
    <w:proofErr w:type="spellStart"/>
    <w:r w:rsidRPr="004330AB">
      <w:rPr>
        <w:rStyle w:val="HideTWBExt"/>
      </w:rPr>
      <w:t>PathFdR</w:t>
    </w:r>
    <w:proofErr w:type="spellEnd"/>
    <w:r w:rsidRPr="004330AB">
      <w:rPr>
        <w:rStyle w:val="HideTWBExt"/>
      </w:rPr>
      <w:t>&gt;</w:t>
    </w:r>
  </w:p>
  <w:p w:rsidR="00FC1F5F" w:rsidRPr="004330AB" w:rsidRDefault="00FC1F5F" w:rsidP="00754BAA">
    <w:pPr>
      <w:pStyle w:val="EPFooter2"/>
    </w:pPr>
    <w:r w:rsidRPr="004330AB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F5F" w:rsidRPr="004330AB" w:rsidRDefault="00FC1F5F" w:rsidP="00754BAA">
    <w:pPr>
      <w:pStyle w:val="EPFooter"/>
    </w:pPr>
    <w:r w:rsidRPr="004330AB">
      <w:rPr>
        <w:rStyle w:val="HideTWBExt"/>
      </w:rPr>
      <w:t>&lt;PathFdR&gt;</w:t>
    </w:r>
    <w:r w:rsidRPr="004330AB">
      <w:t>RR\1298746CS.docx</w:t>
    </w:r>
    <w:r w:rsidRPr="004330AB">
      <w:rPr>
        <w:rStyle w:val="HideTWBExt"/>
      </w:rPr>
      <w:t>&lt;/</w:t>
    </w:r>
    <w:proofErr w:type="spellStart"/>
    <w:r w:rsidRPr="004330AB">
      <w:rPr>
        <w:rStyle w:val="HideTWBExt"/>
      </w:rPr>
      <w:t>PathFdR</w:t>
    </w:r>
    <w:proofErr w:type="spellEnd"/>
    <w:r w:rsidRPr="004330AB">
      <w:rPr>
        <w:rStyle w:val="HideTWBExt"/>
      </w:rPr>
      <w:t>&gt;</w:t>
    </w:r>
    <w:r w:rsidRPr="004330AB">
      <w:tab/>
    </w:r>
    <w:r w:rsidRPr="004330AB">
      <w:tab/>
      <w:t>PE</w:t>
    </w:r>
    <w:r w:rsidRPr="004330AB">
      <w:rPr>
        <w:rStyle w:val="HideTWBExt"/>
      </w:rPr>
      <w:t>&lt;</w:t>
    </w:r>
    <w:proofErr w:type="spellStart"/>
    <w:r w:rsidRPr="004330AB">
      <w:rPr>
        <w:rStyle w:val="HideTWBExt"/>
      </w:rPr>
      <w:t>NoPE</w:t>
    </w:r>
    <w:proofErr w:type="spellEnd"/>
    <w:r w:rsidRPr="004330AB">
      <w:rPr>
        <w:rStyle w:val="HideTWBExt"/>
      </w:rPr>
      <w:t>&gt;</w:t>
    </w:r>
    <w:r w:rsidRPr="004330AB">
      <w:t>753.520</w:t>
    </w:r>
    <w:r w:rsidRPr="004330AB">
      <w:rPr>
        <w:rStyle w:val="HideTWBExt"/>
      </w:rPr>
      <w:t>&lt;/</w:t>
    </w:r>
    <w:proofErr w:type="spellStart"/>
    <w:r w:rsidRPr="004330AB">
      <w:rPr>
        <w:rStyle w:val="HideTWBExt"/>
      </w:rPr>
      <w:t>NoPE</w:t>
    </w:r>
    <w:proofErr w:type="spellEnd"/>
    <w:r w:rsidRPr="004330AB">
      <w:rPr>
        <w:rStyle w:val="HideTWBExt"/>
      </w:rPr>
      <w:t>&gt;&lt;Version&gt;</w:t>
    </w:r>
    <w:r w:rsidRPr="004330AB">
      <w:t>v02-00</w:t>
    </w:r>
    <w:r w:rsidRPr="004330AB">
      <w:rPr>
        <w:rStyle w:val="HideTWBExt"/>
      </w:rPr>
      <w:t>&lt;/</w:t>
    </w:r>
    <w:proofErr w:type="spellStart"/>
    <w:r w:rsidRPr="004330AB">
      <w:rPr>
        <w:rStyle w:val="HideTWBExt"/>
      </w:rPr>
      <w:t>Version</w:t>
    </w:r>
    <w:proofErr w:type="spellEnd"/>
    <w:r w:rsidRPr="004330AB">
      <w:rPr>
        <w:rStyle w:val="HideTWBExt"/>
      </w:rPr>
      <w:t>&gt;</w:t>
    </w:r>
  </w:p>
  <w:p w:rsidR="00FC1F5F" w:rsidRPr="004330AB" w:rsidRDefault="00FC1F5F" w:rsidP="00754BAA">
    <w:pPr>
      <w:pStyle w:val="EPFooter2"/>
    </w:pPr>
    <w:r w:rsidRPr="004330AB">
      <w:t>CS</w:t>
    </w:r>
    <w:r w:rsidRPr="004330AB">
      <w:tab/>
    </w:r>
    <w:r w:rsidRPr="004330AB">
      <w:rPr>
        <w:b w:val="0"/>
        <w:i/>
        <w:color w:val="C0C0C0"/>
        <w:sz w:val="22"/>
      </w:rPr>
      <w:t>Jednotná v rozmanitosti</w:t>
    </w:r>
    <w:r w:rsidRPr="004330AB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0A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0A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0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586" w:rsidRPr="004330AB" w:rsidRDefault="00433586">
      <w:r w:rsidRPr="004330AB">
        <w:separator/>
      </w:r>
    </w:p>
  </w:footnote>
  <w:footnote w:type="continuationSeparator" w:id="0">
    <w:p w:rsidR="00433586" w:rsidRPr="004330AB" w:rsidRDefault="00433586">
      <w:r w:rsidRPr="004330AB">
        <w:continuationSeparator/>
      </w:r>
    </w:p>
  </w:footnote>
  <w:footnote w:id="1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 C, C/2023/594, </w:t>
      </w:r>
      <w:proofErr w:type="gramStart"/>
      <w:r w:rsidRPr="004330AB">
        <w:rPr>
          <w:sz w:val="24"/>
          <w:lang w:val="cs-CZ"/>
        </w:rPr>
        <w:t>27.10.2023</w:t>
      </w:r>
      <w:proofErr w:type="gramEnd"/>
      <w:r w:rsidRPr="004330AB">
        <w:rPr>
          <w:sz w:val="24"/>
          <w:lang w:val="cs-CZ"/>
        </w:rPr>
        <w:t>.</w:t>
      </w:r>
    </w:p>
  </w:footnote>
  <w:footnote w:id="2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 C, C/2023/112, </w:t>
      </w:r>
      <w:proofErr w:type="gramStart"/>
      <w:r w:rsidRPr="004330AB">
        <w:rPr>
          <w:sz w:val="24"/>
          <w:lang w:val="cs-CZ"/>
        </w:rPr>
        <w:t>12.10.2023</w:t>
      </w:r>
      <w:proofErr w:type="gramEnd"/>
      <w:r w:rsidRPr="004330AB">
        <w:rPr>
          <w:sz w:val="24"/>
          <w:lang w:val="cs-CZ"/>
        </w:rPr>
        <w:t>.</w:t>
      </w:r>
    </w:p>
  </w:footnote>
  <w:footnote w:id="3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 L 193, </w:t>
      </w:r>
      <w:proofErr w:type="gramStart"/>
      <w:r w:rsidRPr="004330AB">
        <w:rPr>
          <w:sz w:val="24"/>
          <w:lang w:val="cs-CZ"/>
        </w:rPr>
        <w:t>30.7.2018</w:t>
      </w:r>
      <w:proofErr w:type="gramEnd"/>
      <w:r w:rsidRPr="004330AB">
        <w:rPr>
          <w:sz w:val="24"/>
          <w:lang w:val="cs-CZ"/>
        </w:rPr>
        <w:t>, s. 1.</w:t>
      </w:r>
    </w:p>
  </w:footnote>
  <w:footnote w:id="4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 L 403, </w:t>
      </w:r>
      <w:proofErr w:type="gramStart"/>
      <w:r w:rsidRPr="004330AB">
        <w:rPr>
          <w:sz w:val="24"/>
          <w:lang w:val="cs-CZ"/>
        </w:rPr>
        <w:t>30.12.2006</w:t>
      </w:r>
      <w:proofErr w:type="gramEnd"/>
      <w:r w:rsidRPr="004330AB">
        <w:rPr>
          <w:sz w:val="24"/>
          <w:lang w:val="cs-CZ"/>
        </w:rPr>
        <w:t>, s. 9.</w:t>
      </w:r>
    </w:p>
  </w:footnote>
  <w:footnote w:id="5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 L 122, </w:t>
      </w:r>
      <w:proofErr w:type="gramStart"/>
      <w:r w:rsidRPr="004330AB">
        <w:rPr>
          <w:sz w:val="24"/>
          <w:lang w:val="cs-CZ"/>
        </w:rPr>
        <w:t>10.5.2019</w:t>
      </w:r>
      <w:proofErr w:type="gramEnd"/>
      <w:r w:rsidRPr="004330AB">
        <w:rPr>
          <w:sz w:val="24"/>
          <w:lang w:val="cs-CZ"/>
        </w:rPr>
        <w:t>, s. 1.</w:t>
      </w:r>
    </w:p>
  </w:footnote>
  <w:footnote w:id="6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 C, C/2023/594, </w:t>
      </w:r>
      <w:proofErr w:type="gramStart"/>
      <w:r w:rsidRPr="004330AB">
        <w:rPr>
          <w:sz w:val="24"/>
          <w:lang w:val="cs-CZ"/>
        </w:rPr>
        <w:t>27.10.2023</w:t>
      </w:r>
      <w:proofErr w:type="gramEnd"/>
      <w:r w:rsidRPr="004330AB">
        <w:rPr>
          <w:sz w:val="24"/>
          <w:lang w:val="cs-CZ"/>
        </w:rPr>
        <w:t>.</w:t>
      </w:r>
    </w:p>
  </w:footnote>
  <w:footnote w:id="7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 C, C/2023/112, </w:t>
      </w:r>
      <w:proofErr w:type="gramStart"/>
      <w:r w:rsidRPr="004330AB">
        <w:rPr>
          <w:sz w:val="24"/>
          <w:lang w:val="cs-CZ"/>
        </w:rPr>
        <w:t>12.10.2023</w:t>
      </w:r>
      <w:proofErr w:type="gramEnd"/>
      <w:r w:rsidRPr="004330AB">
        <w:rPr>
          <w:sz w:val="24"/>
          <w:lang w:val="cs-CZ"/>
        </w:rPr>
        <w:t>.</w:t>
      </w:r>
    </w:p>
  </w:footnote>
  <w:footnote w:id="8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 L 193, </w:t>
      </w:r>
      <w:proofErr w:type="gramStart"/>
      <w:r w:rsidRPr="004330AB">
        <w:rPr>
          <w:sz w:val="24"/>
          <w:lang w:val="cs-CZ"/>
        </w:rPr>
        <w:t>30.7.2018</w:t>
      </w:r>
      <w:proofErr w:type="gramEnd"/>
      <w:r w:rsidRPr="004330AB">
        <w:rPr>
          <w:sz w:val="24"/>
          <w:lang w:val="cs-CZ"/>
        </w:rPr>
        <w:t>, s. 1.</w:t>
      </w:r>
    </w:p>
  </w:footnote>
  <w:footnote w:id="9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 L 403, </w:t>
      </w:r>
      <w:proofErr w:type="gramStart"/>
      <w:r w:rsidRPr="004330AB">
        <w:rPr>
          <w:sz w:val="24"/>
          <w:lang w:val="cs-CZ"/>
        </w:rPr>
        <w:t>30.12.2006</w:t>
      </w:r>
      <w:proofErr w:type="gramEnd"/>
      <w:r w:rsidRPr="004330AB">
        <w:rPr>
          <w:sz w:val="24"/>
          <w:lang w:val="cs-CZ"/>
        </w:rPr>
        <w:t>, s. 9.</w:t>
      </w:r>
    </w:p>
  </w:footnote>
  <w:footnote w:id="10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 L 122, </w:t>
      </w:r>
      <w:proofErr w:type="gramStart"/>
      <w:r w:rsidRPr="004330AB">
        <w:rPr>
          <w:sz w:val="24"/>
          <w:lang w:val="cs-CZ"/>
        </w:rPr>
        <w:t>10.5.2019</w:t>
      </w:r>
      <w:proofErr w:type="gramEnd"/>
      <w:r w:rsidRPr="004330AB">
        <w:rPr>
          <w:sz w:val="24"/>
          <w:lang w:val="cs-CZ"/>
        </w:rPr>
        <w:t>, s. 1.</w:t>
      </w:r>
    </w:p>
  </w:footnote>
  <w:footnote w:id="11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 C 38, </w:t>
      </w:r>
      <w:proofErr w:type="gramStart"/>
      <w:r w:rsidRPr="004330AB">
        <w:rPr>
          <w:sz w:val="24"/>
          <w:lang w:val="cs-CZ"/>
        </w:rPr>
        <w:t>31.1.2023</w:t>
      </w:r>
      <w:proofErr w:type="gramEnd"/>
      <w:r w:rsidRPr="004330AB">
        <w:rPr>
          <w:sz w:val="24"/>
          <w:lang w:val="cs-CZ"/>
        </w:rPr>
        <w:t>, s. 63.</w:t>
      </w:r>
    </w:p>
  </w:footnote>
  <w:footnote w:id="12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hyperlink r:id="rId1" w:history="1">
        <w:r w:rsidRPr="007E5C2C">
          <w:rPr>
            <w:rStyle w:val="Hyperlink"/>
            <w:sz w:val="24"/>
            <w:lang w:val="cs-CZ"/>
          </w:rPr>
          <w:t>https://eige.europa.eu/gender-equality-index/2023</w:t>
        </w:r>
      </w:hyperlink>
      <w:r w:rsidR="007E5C2C" w:rsidRPr="004330AB">
        <w:rPr>
          <w:sz w:val="24"/>
          <w:lang w:val="cs-CZ"/>
        </w:rPr>
        <w:t>.</w:t>
      </w:r>
    </w:p>
  </w:footnote>
  <w:footnote w:id="13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r w:rsidRPr="004330AB">
        <w:rPr>
          <w:sz w:val="24"/>
          <w:lang w:val="cs-CZ"/>
        </w:rPr>
        <w:t xml:space="preserve">Rozsudek Soudního dvora (druhého senátu) ze dne 11. listopadu 2021, </w:t>
      </w:r>
      <w:r w:rsidRPr="001B3401">
        <w:rPr>
          <w:sz w:val="24"/>
          <w:lang w:val="cs-CZ"/>
        </w:rPr>
        <w:t>UAB „</w:t>
      </w:r>
      <w:proofErr w:type="spellStart"/>
      <w:r w:rsidRPr="001B3401">
        <w:rPr>
          <w:sz w:val="24"/>
          <w:lang w:val="cs-CZ"/>
        </w:rPr>
        <w:t>Manpower</w:t>
      </w:r>
      <w:proofErr w:type="spellEnd"/>
      <w:r w:rsidRPr="001B3401">
        <w:rPr>
          <w:sz w:val="24"/>
          <w:lang w:val="cs-CZ"/>
        </w:rPr>
        <w:t xml:space="preserve"> Lit“</w:t>
      </w:r>
      <w:r w:rsidRPr="007E5C2C">
        <w:rPr>
          <w:sz w:val="24"/>
          <w:lang w:val="cs-CZ"/>
        </w:rPr>
        <w:t xml:space="preserve"> vs. </w:t>
      </w:r>
      <w:r w:rsidRPr="001B3401">
        <w:rPr>
          <w:sz w:val="24"/>
          <w:lang w:val="cs-CZ"/>
        </w:rPr>
        <w:t>E. S. a další</w:t>
      </w:r>
      <w:r w:rsidRPr="007E5C2C">
        <w:rPr>
          <w:sz w:val="24"/>
          <w:lang w:val="cs-CZ"/>
        </w:rPr>
        <w:t>, ECLI:EU:C:2021</w:t>
      </w:r>
      <w:r w:rsidRPr="004330AB">
        <w:rPr>
          <w:sz w:val="24"/>
          <w:lang w:val="cs-CZ"/>
        </w:rPr>
        <w:t>:624.</w:t>
      </w:r>
    </w:p>
  </w:footnote>
  <w:footnote w:id="14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r w:rsidRPr="004330AB">
        <w:rPr>
          <w:sz w:val="24"/>
          <w:lang w:val="cs-CZ"/>
        </w:rPr>
        <w:t>Směrnice Evropského parlamentu a Rady 2008/104/ES ze dne 19. listopadu 2008 o agenturním zaměstnávání (</w:t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 xml:space="preserve">. L 327, </w:t>
      </w:r>
      <w:proofErr w:type="gramStart"/>
      <w:r w:rsidRPr="004330AB">
        <w:rPr>
          <w:sz w:val="24"/>
          <w:lang w:val="cs-CZ"/>
        </w:rPr>
        <w:t>5.12.2008</w:t>
      </w:r>
      <w:proofErr w:type="gramEnd"/>
      <w:r w:rsidRPr="004330AB">
        <w:rPr>
          <w:sz w:val="24"/>
          <w:lang w:val="cs-CZ"/>
        </w:rPr>
        <w:t>, s. 9).</w:t>
      </w:r>
    </w:p>
  </w:footnote>
  <w:footnote w:id="15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r w:rsidRPr="004330AB">
        <w:rPr>
          <w:sz w:val="24"/>
          <w:lang w:val="cs-CZ"/>
        </w:rPr>
        <w:t>Nařízení Evropského parlamentu a Rady (ES) č. 1922/2006 ze dne 20. prosince 2006 o zřízení Evropského institutu pro rovnost žen a mužů (</w:t>
      </w:r>
      <w:proofErr w:type="spellStart"/>
      <w:r w:rsidRPr="004330AB">
        <w:rPr>
          <w:sz w:val="24"/>
          <w:lang w:val="cs-CZ"/>
        </w:rPr>
        <w:t>Úř</w:t>
      </w:r>
      <w:proofErr w:type="spellEnd"/>
      <w:r w:rsidRPr="004330AB">
        <w:rPr>
          <w:sz w:val="24"/>
          <w:lang w:val="cs-CZ"/>
        </w:rPr>
        <w:t xml:space="preserve">. </w:t>
      </w:r>
      <w:proofErr w:type="spellStart"/>
      <w:proofErr w:type="gramStart"/>
      <w:r w:rsidRPr="004330AB">
        <w:rPr>
          <w:sz w:val="24"/>
          <w:lang w:val="cs-CZ"/>
        </w:rPr>
        <w:t>věst</w:t>
      </w:r>
      <w:proofErr w:type="spellEnd"/>
      <w:proofErr w:type="gramEnd"/>
      <w:r w:rsidRPr="004330AB">
        <w:rPr>
          <w:sz w:val="24"/>
          <w:lang w:val="cs-CZ"/>
        </w:rPr>
        <w:t>. L 403, 30.12</w:t>
      </w:r>
      <w:r w:rsidR="00B8312F">
        <w:rPr>
          <w:sz w:val="24"/>
          <w:lang w:val="cs-CZ"/>
        </w:rPr>
        <w:t>.</w:t>
      </w:r>
      <w:bookmarkStart w:id="12" w:name="_GoBack"/>
      <w:bookmarkEnd w:id="12"/>
      <w:r w:rsidRPr="004330AB">
        <w:rPr>
          <w:sz w:val="24"/>
          <w:lang w:val="cs-CZ"/>
        </w:rPr>
        <w:t>2006, s. 9).</w:t>
      </w:r>
    </w:p>
  </w:footnote>
  <w:footnote w:id="16">
    <w:p w:rsidR="00FC1F5F" w:rsidRPr="004330AB" w:rsidRDefault="00FC1F5F" w:rsidP="004330AB">
      <w:pPr>
        <w:pStyle w:val="FootnoteText"/>
        <w:ind w:left="567" w:hanging="567"/>
        <w:rPr>
          <w:sz w:val="24"/>
          <w:lang w:val="cs-CZ"/>
        </w:rPr>
      </w:pPr>
      <w:r w:rsidRPr="004330AB">
        <w:rPr>
          <w:rStyle w:val="FootnoteReference"/>
          <w:sz w:val="24"/>
          <w:lang w:val="cs-CZ"/>
        </w:rPr>
        <w:footnoteRef/>
      </w:r>
      <w:r w:rsidR="004330AB" w:rsidRPr="004330AB">
        <w:rPr>
          <w:sz w:val="24"/>
          <w:lang w:val="cs-CZ"/>
        </w:rPr>
        <w:t xml:space="preserve"> </w:t>
      </w:r>
      <w:r w:rsidR="004330AB" w:rsidRPr="004330AB">
        <w:rPr>
          <w:sz w:val="24"/>
          <w:lang w:val="cs-CZ"/>
        </w:rPr>
        <w:tab/>
      </w:r>
      <w:r w:rsidRPr="004330AB">
        <w:rPr>
          <w:sz w:val="24"/>
          <w:lang w:val="cs-CZ"/>
        </w:rPr>
        <w:t>Přijaté texty, P9_TA(2024)0</w:t>
      </w:r>
      <w:r w:rsidR="00987E97">
        <w:rPr>
          <w:sz w:val="24"/>
          <w:lang w:val="cs-CZ"/>
        </w:rPr>
        <w:t>28</w:t>
      </w:r>
      <w:r w:rsidRPr="004330AB">
        <w:rPr>
          <w:sz w:val="24"/>
          <w:lang w:val="cs-CZ"/>
        </w:rPr>
        <w:t>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0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0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0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6/2024"/>
    <w:docVar w:name="dvlangue" w:val="CS"/>
    <w:docVar w:name="dvnumam" w:val="0"/>
    <w:docVar w:name="dvpe" w:val="753.520"/>
    <w:docVar w:name="dvrapporteur" w:val="Zpravodaj: "/>
    <w:docVar w:name="dvtitre" w:val="1. Rozhodnutí Evropského parlamentu ze dne 11. dubna 2024 o udělení absolutoria za plnění rozpočtu Evropského institutu pro rovnost žen a mužů na rozpočtový rok 2022(2023/2152(DEC))"/>
  </w:docVars>
  <w:rsids>
    <w:rsidRoot w:val="004335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401"/>
    <w:rsid w:val="001F32AE"/>
    <w:rsid w:val="002767FF"/>
    <w:rsid w:val="002B18FE"/>
    <w:rsid w:val="002B5493"/>
    <w:rsid w:val="00343214"/>
    <w:rsid w:val="00361C00"/>
    <w:rsid w:val="00395FA1"/>
    <w:rsid w:val="003E15D4"/>
    <w:rsid w:val="003E475E"/>
    <w:rsid w:val="00411CCE"/>
    <w:rsid w:val="0041666E"/>
    <w:rsid w:val="00421060"/>
    <w:rsid w:val="004330AB"/>
    <w:rsid w:val="0043358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25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C2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E9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12F"/>
    <w:rsid w:val="00BD48FE"/>
    <w:rsid w:val="00BD7BD8"/>
    <w:rsid w:val="00BE6ADC"/>
    <w:rsid w:val="00C05BFE"/>
    <w:rsid w:val="00C23CD4"/>
    <w:rsid w:val="00C3516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F5F"/>
    <w:rsid w:val="00FD0C70"/>
    <w:rsid w:val="00FE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AC1F7D"/>
  <w15:chartTrackingRefBased/>
  <w15:docId w15:val="{484E005D-FBF2-409E-934D-1ABABFD4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C1F5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C1F5F"/>
    <w:pPr>
      <w:spacing w:before="480" w:after="240"/>
    </w:pPr>
  </w:style>
  <w:style w:type="paragraph" w:customStyle="1" w:styleId="PageHeading">
    <w:name w:val="PageHeading"/>
    <w:basedOn w:val="Normal"/>
    <w:rsid w:val="00FC1F5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C1F5F"/>
    <w:rPr>
      <w:b/>
    </w:rPr>
  </w:style>
  <w:style w:type="paragraph" w:customStyle="1" w:styleId="NormalHanging12a">
    <w:name w:val="NormalHanging12a"/>
    <w:basedOn w:val="Normal"/>
    <w:link w:val="NormalHanging12aChar"/>
    <w:rsid w:val="00FC1F5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C1F5F"/>
    <w:pPr>
      <w:spacing w:after="240"/>
      <w:jc w:val="center"/>
    </w:pPr>
  </w:style>
  <w:style w:type="paragraph" w:styleId="Header">
    <w:name w:val="header"/>
    <w:basedOn w:val="Normal"/>
    <w:link w:val="HeaderChar"/>
    <w:rsid w:val="00FC1F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C1F5F"/>
    <w:rPr>
      <w:sz w:val="24"/>
      <w:lang w:val="cs-CZ"/>
    </w:rPr>
  </w:style>
  <w:style w:type="paragraph" w:customStyle="1" w:styleId="EPFooter">
    <w:name w:val="EPFooter"/>
    <w:basedOn w:val="Normal"/>
    <w:rsid w:val="00FC1F5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12HangingChar">
    <w:name w:val="Normal12Hanging Char"/>
    <w:link w:val="Normal12Hanging"/>
    <w:locked/>
    <w:rsid w:val="00FC1F5F"/>
    <w:rPr>
      <w:sz w:val="24"/>
    </w:rPr>
  </w:style>
  <w:style w:type="paragraph" w:customStyle="1" w:styleId="Normal12Hanging">
    <w:name w:val="Normal12Hanging"/>
    <w:basedOn w:val="Normal"/>
    <w:link w:val="Normal12HangingChar"/>
    <w:rsid w:val="00FC1F5F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basedOn w:val="DefaultParagraphFont"/>
    <w:link w:val="NormalHanging12a"/>
    <w:rsid w:val="00FC1F5F"/>
    <w:rPr>
      <w:sz w:val="24"/>
      <w:lang w:val="cs-CZ"/>
    </w:rPr>
  </w:style>
  <w:style w:type="paragraph" w:styleId="Footer">
    <w:name w:val="footer"/>
    <w:basedOn w:val="Normal"/>
    <w:link w:val="FooterChar"/>
    <w:rsid w:val="00FE58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E58B1"/>
    <w:rPr>
      <w:sz w:val="24"/>
      <w:lang w:val="cs-CZ"/>
    </w:rPr>
  </w:style>
  <w:style w:type="character" w:styleId="Hyperlink">
    <w:name w:val="Hyperlink"/>
    <w:basedOn w:val="DefaultParagraphFont"/>
    <w:rsid w:val="007E5C2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7E5C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5C2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ige.europa.eu/gender-equality-index/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369BE-366E-454D-8064-B734BD26E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3586</Words>
  <Characters>20470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2024-04-11T14:53:00Z</dcterms:created>
  <dcterms:modified xsi:type="dcterms:W3CDTF">2024-04-11T14:53:00Z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A9-0096/2024</vt:lpwstr>
  </property>
  <property fmtid="{D5CDD505-2E9C-101B-9397-08002B2CF9AE}" pid="4" name="&lt;Type&gt;">
    <vt:lpwstr>RR</vt:lpwstr>
  </property>
</Properties>
</file>