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77BA" w:rsidTr="0010095E">
        <w:trPr>
          <w:trHeight w:hRule="exact" w:val="1418"/>
        </w:trPr>
        <w:tc>
          <w:tcPr>
            <w:tcW w:w="6804" w:type="dxa"/>
            <w:shd w:val="clear" w:color="auto" w:fill="auto"/>
            <w:vAlign w:val="center"/>
          </w:tcPr>
          <w:p w:rsidR="00751A4A" w:rsidRPr="00FC77BA" w:rsidRDefault="0008622A" w:rsidP="0010095E">
            <w:pPr>
              <w:pStyle w:val="EPName"/>
            </w:pPr>
            <w:r w:rsidRPr="00FC77BA">
              <w:t>Europski parlament</w:t>
            </w:r>
          </w:p>
          <w:p w:rsidR="00751A4A" w:rsidRPr="00FC77BA" w:rsidRDefault="00817416" w:rsidP="00756632">
            <w:pPr>
              <w:pStyle w:val="EPTerm"/>
              <w:rPr>
                <w:rStyle w:val="HideTWBExt"/>
                <w:noProof w:val="0"/>
                <w:vanish w:val="0"/>
                <w:color w:val="auto"/>
              </w:rPr>
            </w:pPr>
            <w:r w:rsidRPr="00FC77BA">
              <w:t>2019-2024</w:t>
            </w:r>
          </w:p>
        </w:tc>
        <w:tc>
          <w:tcPr>
            <w:tcW w:w="2268" w:type="dxa"/>
            <w:shd w:val="clear" w:color="auto" w:fill="auto"/>
          </w:tcPr>
          <w:p w:rsidR="00751A4A" w:rsidRPr="00FC77BA" w:rsidRDefault="00187494" w:rsidP="0010095E">
            <w:pPr>
              <w:pStyle w:val="EPLogo"/>
            </w:pPr>
            <w:r w:rsidRPr="00FC77B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C77BA" w:rsidRDefault="00D058B8" w:rsidP="004C5D52">
      <w:pPr>
        <w:pStyle w:val="LineTop"/>
      </w:pPr>
    </w:p>
    <w:p w:rsidR="00680577" w:rsidRPr="00FC77BA" w:rsidRDefault="0008622A" w:rsidP="00680577">
      <w:pPr>
        <w:pStyle w:val="EPBodyTA1"/>
      </w:pPr>
      <w:r w:rsidRPr="00FC77BA">
        <w:t>USVOJENI TEKSTOVI</w:t>
      </w:r>
    </w:p>
    <w:p w:rsidR="00D058B8" w:rsidRPr="00FC77BA" w:rsidRDefault="00D058B8" w:rsidP="00D058B8">
      <w:pPr>
        <w:pStyle w:val="LineBottom"/>
      </w:pPr>
    </w:p>
    <w:p w:rsidR="0008622A" w:rsidRPr="00FC77BA" w:rsidRDefault="0008622A" w:rsidP="0008622A">
      <w:pPr>
        <w:pStyle w:val="ATHeading1"/>
      </w:pPr>
      <w:bookmarkStart w:id="0" w:name="TANumber"/>
      <w:r w:rsidRPr="00FC77BA">
        <w:t>P9_TA(2024)0</w:t>
      </w:r>
      <w:bookmarkEnd w:id="0"/>
      <w:r w:rsidR="00D8144C">
        <w:t>261</w:t>
      </w:r>
    </w:p>
    <w:p w:rsidR="0008622A" w:rsidRPr="00FC77BA" w:rsidRDefault="0008622A" w:rsidP="0008622A">
      <w:pPr>
        <w:pStyle w:val="ATHeading2"/>
      </w:pPr>
      <w:bookmarkStart w:id="1" w:name="title"/>
      <w:r w:rsidRPr="00FC77BA">
        <w:t>Razrješnica za 2022.: Europski institut za ravnopravnost spolova</w:t>
      </w:r>
      <w:bookmarkEnd w:id="1"/>
    </w:p>
    <w:p w:rsidR="0008622A" w:rsidRPr="00FC77BA" w:rsidRDefault="0008622A" w:rsidP="0008622A">
      <w:pPr>
        <w:rPr>
          <w:i/>
          <w:vanish/>
        </w:rPr>
      </w:pPr>
      <w:r w:rsidRPr="00FC77BA">
        <w:rPr>
          <w:i/>
        </w:rPr>
        <w:fldChar w:fldCharType="begin"/>
      </w:r>
      <w:r w:rsidRPr="00FC77BA">
        <w:rPr>
          <w:i/>
        </w:rPr>
        <w:instrText xml:space="preserve"> TC"(</w:instrText>
      </w:r>
      <w:bookmarkStart w:id="2" w:name="DocNumber"/>
      <w:r w:rsidRPr="00FC77BA">
        <w:rPr>
          <w:i/>
        </w:rPr>
        <w:instrText>A9-0096/2024</w:instrText>
      </w:r>
      <w:bookmarkEnd w:id="2"/>
      <w:r w:rsidRPr="00FC77BA">
        <w:rPr>
          <w:i/>
        </w:rPr>
        <w:instrText xml:space="preserve"> - Izvjestitelj: Petri Sarvamaa)"\l3 \n&gt; \* MERGEFORMAT </w:instrText>
      </w:r>
      <w:r w:rsidRPr="00FC77BA">
        <w:rPr>
          <w:i/>
        </w:rPr>
        <w:fldChar w:fldCharType="end"/>
      </w:r>
    </w:p>
    <w:p w:rsidR="0008622A" w:rsidRPr="00FC77BA" w:rsidRDefault="0008622A" w:rsidP="0008622A">
      <w:pPr>
        <w:rPr>
          <w:vanish/>
        </w:rPr>
      </w:pPr>
      <w:bookmarkStart w:id="3" w:name="Commission"/>
      <w:r w:rsidRPr="00FC77BA">
        <w:rPr>
          <w:vanish/>
        </w:rPr>
        <w:t>Odbor za proračunski nadzor</w:t>
      </w:r>
      <w:bookmarkEnd w:id="3"/>
    </w:p>
    <w:p w:rsidR="0008622A" w:rsidRPr="00FC77BA" w:rsidRDefault="0008622A" w:rsidP="0008622A">
      <w:pPr>
        <w:rPr>
          <w:vanish/>
        </w:rPr>
      </w:pPr>
      <w:bookmarkStart w:id="4" w:name="PE"/>
      <w:r w:rsidRPr="00FC77BA">
        <w:rPr>
          <w:vanish/>
        </w:rPr>
        <w:t>PE753.520</w:t>
      </w:r>
      <w:bookmarkEnd w:id="4"/>
    </w:p>
    <w:p w:rsidR="0008622A" w:rsidRPr="00FC77BA" w:rsidRDefault="003A4037" w:rsidP="0008622A">
      <w:pPr>
        <w:pStyle w:val="ATHeading3"/>
      </w:pPr>
      <w:bookmarkStart w:id="5" w:name="Sujet"/>
      <w:r>
        <w:t xml:space="preserve">1. </w:t>
      </w:r>
      <w:r w:rsidR="0008622A" w:rsidRPr="00FC77BA">
        <w:t>Odl</w:t>
      </w:r>
      <w:r>
        <w:t>uka Europskog parlamenta od 11. travnja</w:t>
      </w:r>
      <w:r w:rsidR="0008622A" w:rsidRPr="00FC77BA">
        <w:t xml:space="preserve"> 2024. o razrješnici za izvršenje proračuna Europskog instituta za ravnopravnost spolova za financijsku godinu 2022.</w:t>
      </w:r>
      <w:bookmarkEnd w:id="5"/>
      <w:r w:rsidR="0008622A" w:rsidRPr="00FC77BA">
        <w:t xml:space="preserve"> </w:t>
      </w:r>
      <w:bookmarkStart w:id="6" w:name="References"/>
      <w:r w:rsidR="0008622A" w:rsidRPr="00FC77BA">
        <w:t>(2023/2152(DEC))</w:t>
      </w:r>
      <w:bookmarkEnd w:id="6"/>
    </w:p>
    <w:p w:rsidR="006B3F04" w:rsidRPr="00FC77BA" w:rsidRDefault="006B3F04" w:rsidP="006B3F04">
      <w:pPr>
        <w:pStyle w:val="EPComma"/>
      </w:pPr>
      <w:bookmarkStart w:id="7" w:name="TextBodyBegin"/>
      <w:bookmarkEnd w:id="7"/>
      <w:r w:rsidRPr="00FC77BA">
        <w:rPr>
          <w:i/>
        </w:rPr>
        <w:t>Europski parlament</w:t>
      </w:r>
      <w:r w:rsidRPr="00FC77BA">
        <w:t>,</w:t>
      </w:r>
    </w:p>
    <w:p w:rsidR="006B3F04" w:rsidRPr="00FC77BA" w:rsidRDefault="006B3F04" w:rsidP="006B3F04">
      <w:pPr>
        <w:pStyle w:val="NormalHanging12a"/>
      </w:pPr>
      <w:r w:rsidRPr="00FC77BA">
        <w:t>–</w:t>
      </w:r>
      <w:r w:rsidRPr="00FC77BA">
        <w:tab/>
        <w:t>uzimajući u obzir završnu godišnju računovodstvenu dokumentaciju Europskog instituta za ravnopravnost spolova za financijsku godinu 2022.,</w:t>
      </w:r>
    </w:p>
    <w:p w:rsidR="006B3F04" w:rsidRPr="00FC77BA" w:rsidRDefault="006B3F04" w:rsidP="006B3F04">
      <w:pPr>
        <w:pStyle w:val="NormalHanging12a"/>
      </w:pPr>
      <w:r w:rsidRPr="00FC77BA">
        <w:t>–</w:t>
      </w:r>
      <w:r w:rsidRPr="00FC77BA">
        <w:tab/>
        <w:t>uzimajući u obzir godišnje izvješće Revizorskog suda o agencijama EU-a za financijsku godinu 2022., kojemu su priloženi odgovori agencija</w:t>
      </w:r>
      <w:r w:rsidRPr="00FC77BA">
        <w:rPr>
          <w:rStyle w:val="FootnoteReference"/>
        </w:rPr>
        <w:footnoteReference w:id="1"/>
      </w:r>
      <w:r w:rsidRPr="00FC77BA">
        <w:t>,</w:t>
      </w:r>
    </w:p>
    <w:p w:rsidR="006B3F04" w:rsidRPr="00FC77BA" w:rsidRDefault="006B3F04" w:rsidP="006B3F04">
      <w:pPr>
        <w:pStyle w:val="NormalHanging12a"/>
      </w:pPr>
      <w:r w:rsidRPr="00FC77BA">
        <w:t>–</w:t>
      </w:r>
      <w:r w:rsidRPr="00FC77BA">
        <w:tab/>
        <w:t>uzimajući u obzir izjavu o jamstvu</w:t>
      </w:r>
      <w:r w:rsidRPr="00FC77BA">
        <w:rPr>
          <w:rStyle w:val="FootnoteReference"/>
        </w:rPr>
        <w:footnoteReference w:id="2"/>
      </w:r>
      <w:r w:rsidRPr="00FC77BA">
        <w:t xml:space="preserve"> u pogledu pouzdanosti računovodstvene dokumentacije te zakonitosti i pravilnosti temeljnih transakcija koju je u skladu s člankom 287. Ugovora o funkcioniranju Europske unije Revizorski sud podnio za financijsku godinu 2022.,</w:t>
      </w:r>
    </w:p>
    <w:p w:rsidR="006B3F04" w:rsidRPr="00FC77BA" w:rsidRDefault="006B3F04" w:rsidP="006B3F04">
      <w:pPr>
        <w:pStyle w:val="NormalHanging12a"/>
      </w:pPr>
      <w:r w:rsidRPr="00FC77BA">
        <w:t>–</w:t>
      </w:r>
      <w:r w:rsidRPr="00FC77BA">
        <w:tab/>
        <w:t>uzimajući u obzir preporuku Vijeća od 22. veljače 2024. o razrješnici koju Institut treba dobiti za izvršenje proračuna za</w:t>
      </w:r>
      <w:r w:rsidR="003A4037">
        <w:t xml:space="preserve"> financijsku godinu 2022. (06180/2024 – C9</w:t>
      </w:r>
      <w:r w:rsidR="003A4037">
        <w:noBreakHyphen/>
        <w:t>0090</w:t>
      </w:r>
      <w:r w:rsidRPr="00FC77BA">
        <w:t>/2024),</w:t>
      </w:r>
    </w:p>
    <w:p w:rsidR="006B3F04" w:rsidRPr="00FC77BA" w:rsidRDefault="006B3F04" w:rsidP="006B3F04">
      <w:pPr>
        <w:pStyle w:val="NormalHanging12a"/>
      </w:pPr>
      <w:r w:rsidRPr="00FC77BA">
        <w:t>–</w:t>
      </w:r>
      <w:r w:rsidRPr="00FC77BA">
        <w:tab/>
        <w:t>uzimajući u obzir članak 319. Ugovora o funkcioniranju Europske unije,</w:t>
      </w:r>
    </w:p>
    <w:p w:rsidR="006B3F04" w:rsidRPr="00FC77BA" w:rsidRDefault="006B3F04" w:rsidP="006B3F04">
      <w:pPr>
        <w:pStyle w:val="NormalHanging12a"/>
      </w:pPr>
      <w:r w:rsidRPr="00FC77BA">
        <w:t>–</w:t>
      </w:r>
      <w:r w:rsidRPr="00FC77BA">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FC77BA">
        <w:rPr>
          <w:rStyle w:val="FootnoteReference"/>
        </w:rPr>
        <w:footnoteReference w:id="3"/>
      </w:r>
      <w:r w:rsidRPr="00FC77BA">
        <w:t>, a posebno njezin članak 70.,</w:t>
      </w:r>
    </w:p>
    <w:p w:rsidR="006B3F04" w:rsidRPr="00FC77BA" w:rsidRDefault="006B3F04" w:rsidP="006B3F04">
      <w:pPr>
        <w:pStyle w:val="NormalHanging12a"/>
      </w:pPr>
      <w:r w:rsidRPr="00FC77BA">
        <w:t>–</w:t>
      </w:r>
      <w:r w:rsidRPr="00FC77BA">
        <w:tab/>
        <w:t>uzimajući u obzir Uredbu (EZ) br. 1922/2006 Europskog parlamenta i Vijeća od 20. prosinca 2006. o osnivanju Europskog instituta za ravnopravnost spolova</w:t>
      </w:r>
      <w:r w:rsidRPr="00FC77BA">
        <w:rPr>
          <w:rStyle w:val="FootnoteReference"/>
        </w:rPr>
        <w:footnoteReference w:id="4"/>
      </w:r>
      <w:r w:rsidRPr="00FC77BA">
        <w:t>, a posebno njezin članak 15.,</w:t>
      </w:r>
    </w:p>
    <w:p w:rsidR="006B3F04" w:rsidRPr="00FC77BA" w:rsidRDefault="006B3F04" w:rsidP="006B3F04">
      <w:pPr>
        <w:pStyle w:val="NormalHanging12a"/>
      </w:pPr>
      <w:r w:rsidRPr="00FC77BA">
        <w:lastRenderedPageBreak/>
        <w:t>–</w:t>
      </w:r>
      <w:r w:rsidRPr="00FC77BA">
        <w:tab/>
        <w:t xml:space="preserve">uzimajući u obzir Delegiranu uredbu Komisije (EU) 2019/715 od 18. prosinca 2018. o okvirnoj financijskoj uredbi za tijela osnovana na temelju Ugovora o funkcioniranju Europske unije i Ugovora o </w:t>
      </w:r>
      <w:proofErr w:type="spellStart"/>
      <w:r w:rsidRPr="00FC77BA">
        <w:t>Euratomu</w:t>
      </w:r>
      <w:proofErr w:type="spellEnd"/>
      <w:r w:rsidRPr="00FC77BA">
        <w:t xml:space="preserve"> na koja se upućuje u članku 70. Uredbe (EU, Euratom) 2018/1046 Europskog parlamenta i Vijeća</w:t>
      </w:r>
      <w:r w:rsidRPr="00FC77BA">
        <w:rPr>
          <w:rStyle w:val="FootnoteReference"/>
        </w:rPr>
        <w:footnoteReference w:id="5"/>
      </w:r>
      <w:r w:rsidRPr="00FC77BA">
        <w:t>, a posebno njezin članak 105.,</w:t>
      </w:r>
    </w:p>
    <w:p w:rsidR="006B3F04" w:rsidRPr="00FC77BA" w:rsidRDefault="006B3F04" w:rsidP="006B3F04">
      <w:pPr>
        <w:pStyle w:val="NormalHanging12a"/>
      </w:pPr>
      <w:r w:rsidRPr="00FC77BA">
        <w:t>–</w:t>
      </w:r>
      <w:r w:rsidRPr="00FC77BA">
        <w:tab/>
        <w:t>uzimajući u obzir članak 100. Poslovnika i Prilog V. Poslovniku,</w:t>
      </w:r>
    </w:p>
    <w:p w:rsidR="006B3F04" w:rsidRPr="00FC77BA" w:rsidRDefault="006B3F04" w:rsidP="006B3F04">
      <w:pPr>
        <w:pStyle w:val="NormalHanging12a"/>
      </w:pPr>
      <w:r w:rsidRPr="00FC77BA">
        <w:t>–</w:t>
      </w:r>
      <w:r w:rsidRPr="00FC77BA">
        <w:tab/>
        <w:t>uzimajući u obzir mišljenje Odbora za prava žena i rodnu ravnopravnost,</w:t>
      </w:r>
    </w:p>
    <w:p w:rsidR="006B3F04" w:rsidRPr="00FC77BA" w:rsidRDefault="006B3F04" w:rsidP="006B3F04">
      <w:pPr>
        <w:pStyle w:val="NormalHanging12a"/>
      </w:pPr>
      <w:r w:rsidRPr="00FC77BA">
        <w:t>–</w:t>
      </w:r>
      <w:r w:rsidRPr="00FC77BA">
        <w:tab/>
        <w:t>uzimajući u obzir izvješće Odbora za proračunski nadzor (A9</w:t>
      </w:r>
      <w:r w:rsidRPr="00FC77BA">
        <w:noBreakHyphen/>
        <w:t>0096/2024),</w:t>
      </w:r>
    </w:p>
    <w:p w:rsidR="006B3F04" w:rsidRPr="00FC77BA" w:rsidRDefault="006B3F04" w:rsidP="006B3F04">
      <w:pPr>
        <w:pStyle w:val="NormalHanging12a"/>
      </w:pPr>
      <w:r w:rsidRPr="00FC77BA">
        <w:t>1.</w:t>
      </w:r>
      <w:r w:rsidRPr="00FC77BA">
        <w:tab/>
        <w:t>daje razrješnicu direktorici Europskog instituta za ravnopravnost spolova za izvršenje proračuna Instituta za financijsku godinu 2022.</w:t>
      </w:r>
      <w:r w:rsidR="00F21870">
        <w:t>;</w:t>
      </w:r>
    </w:p>
    <w:p w:rsidR="006B3F04" w:rsidRPr="00FC77BA" w:rsidRDefault="006B3F04" w:rsidP="006B3F04">
      <w:pPr>
        <w:pStyle w:val="NormalHanging12a"/>
      </w:pPr>
      <w:r w:rsidRPr="00FC77BA">
        <w:t>2.</w:t>
      </w:r>
      <w:r w:rsidRPr="00FC77BA">
        <w:tab/>
        <w:t>iznosi svoje primjedbe u Rezoluciji u nastavku;</w:t>
      </w:r>
    </w:p>
    <w:p w:rsidR="006B3F04" w:rsidRPr="00FC77BA" w:rsidRDefault="006B3F04" w:rsidP="006B3F04">
      <w:pPr>
        <w:pStyle w:val="NormalHanging12a"/>
      </w:pPr>
      <w:r w:rsidRPr="00FC77BA">
        <w:t>3.</w:t>
      </w:r>
      <w:r w:rsidRPr="00FC77BA">
        <w:tab/>
        <w:t xml:space="preserve">nalaže svojoj predsjednici da ovu Odluku i Rezoluciju, koja je njezin sastavni dio, proslijedi direktorici Europskog instituta za ravnopravnost spolova, Vijeću, Komisiji i Revizorskom sudu te da ih da na objavu u </w:t>
      </w:r>
      <w:r w:rsidRPr="00FC77BA">
        <w:rPr>
          <w:i/>
        </w:rPr>
        <w:t>Službenom listu Europske unije</w:t>
      </w:r>
      <w:r w:rsidRPr="00FC77BA">
        <w:t xml:space="preserve"> (serija L).</w:t>
      </w:r>
    </w:p>
    <w:p w:rsidR="006B3F04" w:rsidRPr="00FC77BA" w:rsidRDefault="006B3F04" w:rsidP="006B3F04"/>
    <w:p w:rsidR="006B3F04" w:rsidRPr="00FC77BA" w:rsidRDefault="006B3F04" w:rsidP="006B3F04">
      <w:pPr>
        <w:pStyle w:val="PageHeading"/>
        <w:sectPr w:rsidR="006B3F04" w:rsidRPr="00FC77BA" w:rsidSect="00FC77B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B3F04" w:rsidRPr="00F00182" w:rsidRDefault="00F00182" w:rsidP="00F00182">
      <w:pPr>
        <w:pStyle w:val="PageHeading"/>
        <w:jc w:val="left"/>
        <w:rPr>
          <w:rFonts w:ascii="Times New Roman" w:hAnsi="Times New Roman" w:cs="Times New Roman"/>
        </w:rPr>
      </w:pPr>
      <w:bookmarkStart w:id="8" w:name="_Toc161926753"/>
      <w:r w:rsidRPr="00F00182">
        <w:rPr>
          <w:rFonts w:ascii="Times New Roman" w:hAnsi="Times New Roman" w:cs="Times New Roman"/>
        </w:rPr>
        <w:lastRenderedPageBreak/>
        <w:t>2. Odluka E</w:t>
      </w:r>
      <w:r w:rsidR="003A4037" w:rsidRPr="00F00182">
        <w:rPr>
          <w:rFonts w:ascii="Times New Roman" w:hAnsi="Times New Roman" w:cs="Times New Roman"/>
        </w:rPr>
        <w:t>uropskog parlamenta</w:t>
      </w:r>
      <w:bookmarkEnd w:id="8"/>
      <w:r w:rsidRPr="00F00182">
        <w:rPr>
          <w:rFonts w:ascii="Times New Roman" w:hAnsi="Times New Roman" w:cs="Times New Roman"/>
        </w:rPr>
        <w:t xml:space="preserve"> </w:t>
      </w:r>
      <w:r>
        <w:rPr>
          <w:rFonts w:ascii="Times New Roman" w:hAnsi="Times New Roman" w:cs="Times New Roman"/>
        </w:rPr>
        <w:t xml:space="preserve">od 11. travnja 2024. </w:t>
      </w:r>
      <w:r w:rsidR="006B3F04" w:rsidRPr="00F00182">
        <w:rPr>
          <w:rFonts w:ascii="Times New Roman" w:hAnsi="Times New Roman" w:cs="Times New Roman"/>
        </w:rPr>
        <w:t>o zaključenju poslovnih knjiga Europskog instituta za ravnopravnost spolova za financijsku godinu 2022.</w:t>
      </w:r>
      <w:r>
        <w:rPr>
          <w:rFonts w:ascii="Times New Roman" w:hAnsi="Times New Roman" w:cs="Times New Roman"/>
        </w:rPr>
        <w:t xml:space="preserve"> </w:t>
      </w:r>
      <w:r w:rsidR="006B3F04" w:rsidRPr="00F00182">
        <w:rPr>
          <w:rFonts w:ascii="Times New Roman" w:hAnsi="Times New Roman" w:cs="Times New Roman"/>
        </w:rPr>
        <w:t>(2023/2152(DEC))</w:t>
      </w:r>
    </w:p>
    <w:p w:rsidR="006B3F04" w:rsidRPr="00FC77BA" w:rsidRDefault="006B3F04" w:rsidP="006B3F04">
      <w:pPr>
        <w:pStyle w:val="EPComma"/>
      </w:pPr>
      <w:r w:rsidRPr="00FC77BA">
        <w:rPr>
          <w:i/>
        </w:rPr>
        <w:t>Europski parlament</w:t>
      </w:r>
      <w:r w:rsidRPr="00FC77BA">
        <w:t>,</w:t>
      </w:r>
    </w:p>
    <w:p w:rsidR="006B3F04" w:rsidRPr="00FC77BA" w:rsidRDefault="006B3F04" w:rsidP="006B3F04">
      <w:pPr>
        <w:pStyle w:val="NormalHanging12a"/>
      </w:pPr>
      <w:r w:rsidRPr="00FC77BA">
        <w:t>–</w:t>
      </w:r>
      <w:r w:rsidRPr="00FC77BA">
        <w:tab/>
        <w:t>uzimajući u obzir završnu godišnju računovodstvenu dokumentaciju Europskog instituta za ravnopravnost spolova za financijsku godinu 2022.,</w:t>
      </w:r>
    </w:p>
    <w:p w:rsidR="006B3F04" w:rsidRPr="00FC77BA" w:rsidRDefault="006B3F04" w:rsidP="006B3F04">
      <w:pPr>
        <w:pStyle w:val="NormalHanging12a"/>
      </w:pPr>
      <w:r w:rsidRPr="00FC77BA">
        <w:t>–</w:t>
      </w:r>
      <w:r w:rsidRPr="00FC77BA">
        <w:tab/>
        <w:t>uzimajući u obzir godišnje izvješće Revizorskog suda o agencijama EU-a za financijsku godinu 2022., kojemu su priloženi odgovori agencija</w:t>
      </w:r>
      <w:r w:rsidRPr="00FC77BA">
        <w:rPr>
          <w:rStyle w:val="FootnoteReference"/>
        </w:rPr>
        <w:footnoteReference w:id="6"/>
      </w:r>
      <w:r w:rsidRPr="00FC77BA">
        <w:t>,</w:t>
      </w:r>
    </w:p>
    <w:p w:rsidR="006B3F04" w:rsidRPr="00FC77BA" w:rsidRDefault="006B3F04" w:rsidP="006B3F04">
      <w:pPr>
        <w:pStyle w:val="NormalHanging12a"/>
      </w:pPr>
      <w:r w:rsidRPr="00FC77BA">
        <w:t>–</w:t>
      </w:r>
      <w:r w:rsidRPr="00FC77BA">
        <w:tab/>
        <w:t>uzimajući u obzir izjavu o jamstvu</w:t>
      </w:r>
      <w:r w:rsidRPr="00FC77BA">
        <w:rPr>
          <w:rStyle w:val="FootnoteReference"/>
        </w:rPr>
        <w:footnoteReference w:id="7"/>
      </w:r>
      <w:r w:rsidRPr="00FC77BA">
        <w:t xml:space="preserve"> u pogledu pouzdanosti računovodstvene dokumentacije te zakonitosti i pravilnosti temeljnih transakcija koju je u skladu s člankom 287. Ugovora o funkcioniranju Europske unije Revizorski sud podnio za financijsku godinu 2022.,</w:t>
      </w:r>
    </w:p>
    <w:p w:rsidR="006B3F04" w:rsidRPr="00FC77BA" w:rsidRDefault="006B3F04" w:rsidP="006B3F04">
      <w:pPr>
        <w:pStyle w:val="NormalHanging12a"/>
      </w:pPr>
      <w:r w:rsidRPr="00FC77BA">
        <w:t>–</w:t>
      </w:r>
      <w:r w:rsidRPr="00FC77BA">
        <w:tab/>
        <w:t>uzimajući u obzir preporuku Vijeća od 22. veljače 2024. o razrješnici koju Institut treba dobiti za izvršenje proračuna za</w:t>
      </w:r>
      <w:r w:rsidR="00F00182">
        <w:t xml:space="preserve"> financijsku godinu 2022. (06180/2024 – C9</w:t>
      </w:r>
      <w:r w:rsidR="00F00182">
        <w:noBreakHyphen/>
        <w:t>0090</w:t>
      </w:r>
      <w:r w:rsidRPr="00FC77BA">
        <w:t>/2024),</w:t>
      </w:r>
    </w:p>
    <w:p w:rsidR="006B3F04" w:rsidRPr="00FC77BA" w:rsidRDefault="006B3F04" w:rsidP="006B3F04">
      <w:pPr>
        <w:pStyle w:val="NormalHanging12a"/>
      </w:pPr>
      <w:r w:rsidRPr="00FC77BA">
        <w:t>–</w:t>
      </w:r>
      <w:r w:rsidRPr="00FC77BA">
        <w:tab/>
        <w:t>uzimajući u obzir članak 319. Ugovora o funkcioniranju Europske unije,</w:t>
      </w:r>
    </w:p>
    <w:p w:rsidR="006B3F04" w:rsidRPr="00FC77BA" w:rsidRDefault="006B3F04" w:rsidP="006B3F04">
      <w:pPr>
        <w:pStyle w:val="NormalHanging12a"/>
      </w:pPr>
      <w:r w:rsidRPr="00FC77BA">
        <w:t>–</w:t>
      </w:r>
      <w:r w:rsidRPr="00FC77BA">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FC77BA">
        <w:rPr>
          <w:rStyle w:val="FootnoteReference"/>
        </w:rPr>
        <w:footnoteReference w:id="8"/>
      </w:r>
      <w:r w:rsidRPr="00FC77BA">
        <w:t>, a posebno njezin članak 70.,</w:t>
      </w:r>
    </w:p>
    <w:p w:rsidR="006B3F04" w:rsidRPr="00FC77BA" w:rsidRDefault="006B3F04" w:rsidP="006B3F04">
      <w:pPr>
        <w:pStyle w:val="NormalHanging12a"/>
      </w:pPr>
      <w:r w:rsidRPr="00FC77BA">
        <w:t>–</w:t>
      </w:r>
      <w:r w:rsidRPr="00FC77BA">
        <w:tab/>
        <w:t>uzimajući u obzir Uredbu (EZ) br. 1922/2006 Europskog parlamenta i Vijeća od 20. prosinca 2006. o osnivanju Europskog instituta za ravnopravnost spolova</w:t>
      </w:r>
      <w:r w:rsidRPr="00FC77BA">
        <w:rPr>
          <w:rStyle w:val="FootnoteReference"/>
        </w:rPr>
        <w:footnoteReference w:id="9"/>
      </w:r>
      <w:r w:rsidRPr="00FC77BA">
        <w:t>, a posebno njezin članak 15.,</w:t>
      </w:r>
    </w:p>
    <w:p w:rsidR="006B3F04" w:rsidRPr="00FC77BA" w:rsidRDefault="006B3F04" w:rsidP="006B3F04">
      <w:pPr>
        <w:pStyle w:val="NormalHanging12a"/>
      </w:pPr>
      <w:r w:rsidRPr="00FC77BA">
        <w:t>–</w:t>
      </w:r>
      <w:r w:rsidRPr="00FC77BA">
        <w:tab/>
        <w:t xml:space="preserve">uzimajući u obzir Delegiranu uredbu Komisije (EU) 2019/715 od 18. prosinca 2018. o okvirnoj financijskoj uredbi za tijela osnovana na temelju Ugovora o funkcioniranju Europske unije i Ugovora o </w:t>
      </w:r>
      <w:proofErr w:type="spellStart"/>
      <w:r w:rsidRPr="00FC77BA">
        <w:t>Euratomu</w:t>
      </w:r>
      <w:proofErr w:type="spellEnd"/>
      <w:r w:rsidRPr="00FC77BA">
        <w:t xml:space="preserve"> na koja se upućuje u članku 70. Uredbe (EU, Euratom) 2018/1046 Europskog parlamenta i Vijeća</w:t>
      </w:r>
      <w:r w:rsidRPr="00FC77BA">
        <w:rPr>
          <w:rStyle w:val="FootnoteReference"/>
        </w:rPr>
        <w:footnoteReference w:id="10"/>
      </w:r>
      <w:r w:rsidRPr="00FC77BA">
        <w:t>, a posebno njezin članak 105.,</w:t>
      </w:r>
    </w:p>
    <w:p w:rsidR="006B3F04" w:rsidRPr="00FC77BA" w:rsidRDefault="006B3F04" w:rsidP="006B3F04">
      <w:pPr>
        <w:pStyle w:val="NormalHanging12a"/>
      </w:pPr>
      <w:r w:rsidRPr="00FC77BA">
        <w:t>–</w:t>
      </w:r>
      <w:r w:rsidRPr="00FC77BA">
        <w:tab/>
        <w:t>uzimajući u obzir članak 100. Poslovnika i Prilog V. Poslovniku,</w:t>
      </w:r>
    </w:p>
    <w:p w:rsidR="006B3F04" w:rsidRPr="00FC77BA" w:rsidRDefault="006B3F04" w:rsidP="006B3F04">
      <w:pPr>
        <w:pStyle w:val="NormalHanging12a"/>
      </w:pPr>
      <w:r w:rsidRPr="00FC77BA">
        <w:t>–</w:t>
      </w:r>
      <w:r w:rsidRPr="00FC77BA">
        <w:tab/>
        <w:t>uzimajući u obzir mišljenje Odbora za prava žena i rodnu ravnopravnost,</w:t>
      </w:r>
    </w:p>
    <w:p w:rsidR="006B3F04" w:rsidRPr="00FC77BA" w:rsidRDefault="006B3F04" w:rsidP="006B3F04">
      <w:pPr>
        <w:pStyle w:val="NormalHanging12a"/>
      </w:pPr>
      <w:r w:rsidRPr="00FC77BA">
        <w:t>–</w:t>
      </w:r>
      <w:r w:rsidRPr="00FC77BA">
        <w:tab/>
        <w:t>uzimajući u obzir izvješće Odbora za proračunski nadzor (A9</w:t>
      </w:r>
      <w:r w:rsidRPr="00FC77BA">
        <w:noBreakHyphen/>
        <w:t>0096/2024),</w:t>
      </w:r>
    </w:p>
    <w:p w:rsidR="006B3F04" w:rsidRPr="00FC77BA" w:rsidRDefault="006B3F04" w:rsidP="006B3F04">
      <w:pPr>
        <w:pStyle w:val="NormalHanging12a"/>
      </w:pPr>
      <w:r w:rsidRPr="00FC77BA">
        <w:t>1.</w:t>
      </w:r>
      <w:r w:rsidRPr="00FC77BA">
        <w:tab/>
        <w:t xml:space="preserve">odobrava zaključenje poslovnih knjiga Europskog instituta za ravnopravnost spolova za </w:t>
      </w:r>
      <w:r w:rsidRPr="00FC77BA">
        <w:lastRenderedPageBreak/>
        <w:t>financijsku godinu 2022.</w:t>
      </w:r>
      <w:r w:rsidR="00F21870">
        <w:t>;</w:t>
      </w:r>
    </w:p>
    <w:p w:rsidR="006B3F04" w:rsidRPr="00FC77BA" w:rsidRDefault="006B3F04" w:rsidP="006B3F04">
      <w:pPr>
        <w:pStyle w:val="NormalHanging12a"/>
      </w:pPr>
      <w:r w:rsidRPr="00FC77BA">
        <w:t>2.</w:t>
      </w:r>
      <w:r w:rsidRPr="00FC77BA">
        <w:tab/>
        <w:t xml:space="preserve">nalaže svojoj predsjednici da ovu Odluku proslijedi direktorici Europskog instituta za ravnopravnost spolova, Vijeću, Komisiji i Revizorskom sudu te da je da na objavu u </w:t>
      </w:r>
      <w:r w:rsidRPr="00FC77BA">
        <w:rPr>
          <w:i/>
        </w:rPr>
        <w:t>Službenom listu Europske unije</w:t>
      </w:r>
      <w:r w:rsidRPr="00FC77BA">
        <w:t xml:space="preserve"> (serija L).</w:t>
      </w:r>
    </w:p>
    <w:p w:rsidR="006B3F04" w:rsidRPr="00FC77BA" w:rsidRDefault="006B3F04" w:rsidP="006B3F04"/>
    <w:p w:rsidR="006B3F04" w:rsidRPr="00FC77BA" w:rsidRDefault="006B3F04" w:rsidP="006B3F04">
      <w:pPr>
        <w:pStyle w:val="PageHeading"/>
        <w:sectPr w:rsidR="006B3F04" w:rsidRPr="00FC77BA" w:rsidSect="00FC77BA">
          <w:footnotePr>
            <w:numRestart w:val="eachPage"/>
          </w:footnotePr>
          <w:endnotePr>
            <w:numFmt w:val="decimal"/>
          </w:endnotePr>
          <w:pgSz w:w="11906" w:h="16838" w:code="9"/>
          <w:pgMar w:top="1134" w:right="1418" w:bottom="1418" w:left="1418" w:header="567" w:footer="567" w:gutter="0"/>
          <w:cols w:space="720"/>
          <w:noEndnote/>
          <w:docGrid w:linePitch="326"/>
        </w:sectPr>
      </w:pPr>
    </w:p>
    <w:p w:rsidR="006B3F04" w:rsidRPr="00F00182" w:rsidRDefault="00F00182" w:rsidP="00F00182">
      <w:pPr>
        <w:pStyle w:val="PageHeading"/>
        <w:jc w:val="left"/>
        <w:rPr>
          <w:rFonts w:ascii="Times New Roman" w:hAnsi="Times New Roman" w:cs="Times New Roman"/>
        </w:rPr>
      </w:pPr>
      <w:bookmarkStart w:id="10" w:name="_Toc161926754"/>
      <w:r w:rsidRPr="00F00182">
        <w:rPr>
          <w:rFonts w:ascii="Times New Roman" w:hAnsi="Times New Roman" w:cs="Times New Roman"/>
        </w:rPr>
        <w:lastRenderedPageBreak/>
        <w:t>3. Rezolucija Europskog parlamenta</w:t>
      </w:r>
      <w:bookmarkEnd w:id="10"/>
      <w:r w:rsidRPr="00F00182">
        <w:rPr>
          <w:rFonts w:ascii="Times New Roman" w:hAnsi="Times New Roman" w:cs="Times New Roman"/>
        </w:rPr>
        <w:t xml:space="preserve"> </w:t>
      </w:r>
      <w:r>
        <w:rPr>
          <w:rFonts w:ascii="Times New Roman" w:hAnsi="Times New Roman" w:cs="Times New Roman"/>
        </w:rPr>
        <w:t xml:space="preserve">od 11. travnja 2024. </w:t>
      </w:r>
      <w:r w:rsidR="006B3F04" w:rsidRPr="00F00182">
        <w:rPr>
          <w:rFonts w:ascii="Times New Roman" w:hAnsi="Times New Roman" w:cs="Times New Roman"/>
        </w:rPr>
        <w:t>s primjedbama koje su sastavni dio Odluke o razrješnici za izvršenje proračuna Europskog instituta za ravnopravnost spolova za financijsku godinu 2022.</w:t>
      </w:r>
      <w:r>
        <w:rPr>
          <w:rFonts w:ascii="Times New Roman" w:hAnsi="Times New Roman" w:cs="Times New Roman"/>
        </w:rPr>
        <w:t xml:space="preserve"> </w:t>
      </w:r>
      <w:r w:rsidR="006B3F04" w:rsidRPr="00F00182">
        <w:rPr>
          <w:rFonts w:ascii="Times New Roman" w:hAnsi="Times New Roman" w:cs="Times New Roman"/>
        </w:rPr>
        <w:t>(2023/2152(DEC))</w:t>
      </w:r>
    </w:p>
    <w:p w:rsidR="006B3F04" w:rsidRPr="00FC77BA" w:rsidRDefault="006B3F04" w:rsidP="006B3F04">
      <w:pPr>
        <w:pStyle w:val="EPComma"/>
      </w:pPr>
      <w:r w:rsidRPr="00FC77BA">
        <w:rPr>
          <w:i/>
        </w:rPr>
        <w:t>Europski parlament</w:t>
      </w:r>
      <w:r w:rsidRPr="00FC77BA">
        <w:t>,</w:t>
      </w:r>
    </w:p>
    <w:p w:rsidR="006B3F04" w:rsidRPr="00FC77BA" w:rsidRDefault="006B3F04" w:rsidP="006B3F04">
      <w:pPr>
        <w:pStyle w:val="NormalHanging12a"/>
      </w:pPr>
      <w:r w:rsidRPr="00FC77BA">
        <w:t>–</w:t>
      </w:r>
      <w:r w:rsidRPr="00FC77BA">
        <w:tab/>
        <w:t>uzimajući u obzir svoju Odluku o razrješnici za izvršenje proračuna Europskog instituta za ravnopravnost spolova za financijsku godinu 2022.,</w:t>
      </w:r>
    </w:p>
    <w:p w:rsidR="006B3F04" w:rsidRPr="00FC77BA" w:rsidRDefault="006B3F04" w:rsidP="006B3F04">
      <w:pPr>
        <w:pStyle w:val="NormalHanging12a"/>
      </w:pPr>
      <w:r w:rsidRPr="00FC77BA">
        <w:t>–</w:t>
      </w:r>
      <w:r w:rsidRPr="00FC77BA">
        <w:tab/>
        <w:t>uzimajući u obzir članak 100. Poslovnika i Prilog V. Poslovniku,</w:t>
      </w:r>
    </w:p>
    <w:p w:rsidR="006B3F04" w:rsidRPr="00FC77BA" w:rsidRDefault="006B3F04" w:rsidP="006B3F04">
      <w:pPr>
        <w:pStyle w:val="NormalHanging12a"/>
      </w:pPr>
      <w:r w:rsidRPr="00FC77BA">
        <w:t>–</w:t>
      </w:r>
      <w:r w:rsidRPr="00FC77BA">
        <w:tab/>
        <w:t>uzimajući u obzir mišljenje Odbora za prava žena i rodnu ravnopravnost,</w:t>
      </w:r>
    </w:p>
    <w:p w:rsidR="006B3F04" w:rsidRPr="00FC77BA" w:rsidRDefault="006B3F04" w:rsidP="006B3F04">
      <w:pPr>
        <w:pStyle w:val="NormalHanging12a"/>
      </w:pPr>
      <w:r w:rsidRPr="00FC77BA">
        <w:t>–</w:t>
      </w:r>
      <w:r w:rsidRPr="00FC77BA">
        <w:tab/>
        <w:t>uzimajući u obzir izvješće Odbora za proračunski nadzor (A9</w:t>
      </w:r>
      <w:r w:rsidRPr="00FC77BA">
        <w:noBreakHyphen/>
        <w:t>0096/2024),</w:t>
      </w:r>
    </w:p>
    <w:p w:rsidR="006B3F04" w:rsidRPr="00FC77BA" w:rsidRDefault="006B3F04" w:rsidP="006B3F04">
      <w:pPr>
        <w:pStyle w:val="Normal12Hanging"/>
        <w:rPr>
          <w:szCs w:val="24"/>
          <w:lang w:val="hr-HR"/>
        </w:rPr>
      </w:pPr>
      <w:r w:rsidRPr="00FC77BA">
        <w:rPr>
          <w:lang w:val="hr-HR"/>
        </w:rPr>
        <w:t>A.</w:t>
      </w:r>
      <w:r w:rsidRPr="00FC77BA">
        <w:rPr>
          <w:lang w:val="hr-HR"/>
        </w:rPr>
        <w:tab/>
        <w:t>budući da je, prema njegovu Izvještaju o prihodima i rashodima</w:t>
      </w:r>
      <w:r w:rsidRPr="00FC77BA">
        <w:rPr>
          <w:rStyle w:val="FootnoteReference"/>
          <w:szCs w:val="24"/>
          <w:lang w:val="hr-HR"/>
        </w:rPr>
        <w:footnoteReference w:id="11"/>
      </w:r>
      <w:r w:rsidRPr="00FC77BA">
        <w:rPr>
          <w:lang w:val="hr-HR"/>
        </w:rPr>
        <w:t>, konačni proračun Europskog instituta za ravnopravnost spolova („Institut”) za financijsku godinu 2022. iznosio 8 432 919,91 EUR, što je smanjenje od 2,99 % u odnosu na 2021. godinu;</w:t>
      </w:r>
    </w:p>
    <w:p w:rsidR="006B3F04" w:rsidRPr="00FC77BA" w:rsidRDefault="006B3F04" w:rsidP="006B3F04">
      <w:pPr>
        <w:pStyle w:val="Normal12Hanging"/>
        <w:rPr>
          <w:szCs w:val="24"/>
          <w:lang w:val="hr-HR"/>
        </w:rPr>
      </w:pPr>
      <w:r w:rsidRPr="00FC77BA">
        <w:rPr>
          <w:lang w:val="hr-HR"/>
        </w:rPr>
        <w:t>B.</w:t>
      </w:r>
      <w:r w:rsidRPr="00FC77BA">
        <w:rPr>
          <w:lang w:val="hr-HR"/>
        </w:rPr>
        <w:tab/>
        <w:t>budući da je Revizorski sud u svojem izvješću o godišnjoj računovodstvenoj dokumentaciji Europskog instituta za ravnopravnost spolova za financijsku godinu 2022. („izvješće Revizorskog suda”) izrazio razumno jamstvo da je godišnja računovodstvena dokumentacija pouzdana te da su temeljne transakcije zakonite i pravilne;</w:t>
      </w:r>
    </w:p>
    <w:p w:rsidR="006B3F04" w:rsidRPr="00FC77BA" w:rsidRDefault="006B3F04" w:rsidP="006B3F04">
      <w:pPr>
        <w:pStyle w:val="NormalHanging12a"/>
        <w:rPr>
          <w:szCs w:val="24"/>
        </w:rPr>
      </w:pPr>
      <w:r w:rsidRPr="00FC77BA">
        <w:t>C.</w:t>
      </w:r>
      <w:r w:rsidRPr="00FC77BA">
        <w:tab/>
        <w:t>budući da se u članku 8. Ugovora o funkcioniranju Europske unije (UFEU) navodi da Unija u svim svojim aktivnostima teži uklanjanju nejednakosti, čime se uspostavlja načelo rodno osviještene politike, te promicanju rodne ravnopravnosti između muškaraca i žena; budući da rodna ravnopravnost mora biti uvrštena u sve politike Unije, među ostalim preko donošenja rodno osjetljivog proračuna na svim razinama proračunskog postupka;</w:t>
      </w:r>
    </w:p>
    <w:p w:rsidR="006B3F04" w:rsidRPr="00FC77BA" w:rsidRDefault="006B3F04" w:rsidP="006B3F04">
      <w:pPr>
        <w:pStyle w:val="NormalHanging12a"/>
        <w:rPr>
          <w:szCs w:val="24"/>
        </w:rPr>
      </w:pPr>
      <w:r w:rsidRPr="00FC77BA">
        <w:t>D.</w:t>
      </w:r>
      <w:r w:rsidRPr="00FC77BA">
        <w:tab/>
        <w:t>budući da indeks rodne ravnopravnosti za 2023. pokazuje da su države članice ostvarile skromno povećanje od samo 1,6 bodova do razine od 70,2 boda te da su u nekim područjima vidljivi znakovi nazadovanja, posebno u gospodarskim parametrima i parametrima prihoda</w:t>
      </w:r>
      <w:r w:rsidRPr="00FC77BA">
        <w:rPr>
          <w:vertAlign w:val="superscript"/>
        </w:rPr>
        <w:footnoteReference w:id="12"/>
      </w:r>
      <w:r w:rsidRPr="00FC77BA">
        <w:t>; budući da je Institut osnovan radi promicanja i jačanja rodne ravnopravnosti u Uniji, što se odnosi na poticanje rodne osviještenosti u svim politikama Unije i nacionalnim politikama koje iz njih proizlaze, borbu protiv diskriminacije na temelju roda te podizanje razine osviještenosti građana Unije o rodnoj ravnopravnosti;</w:t>
      </w:r>
    </w:p>
    <w:p w:rsidR="006B3F04" w:rsidRPr="00FC77BA" w:rsidRDefault="006B3F04" w:rsidP="006B3F04">
      <w:pPr>
        <w:pStyle w:val="Normal12Hanging"/>
        <w:rPr>
          <w:b/>
          <w:i/>
          <w:szCs w:val="24"/>
          <w:lang w:val="hr-HR"/>
        </w:rPr>
      </w:pPr>
      <w:r w:rsidRPr="00FC77BA">
        <w:rPr>
          <w:b/>
          <w:i/>
          <w:lang w:val="hr-HR"/>
        </w:rPr>
        <w:t>Upravljanje proračunom i financijama</w:t>
      </w:r>
    </w:p>
    <w:p w:rsidR="006B3F04" w:rsidRPr="00FC77BA" w:rsidRDefault="006B3F04" w:rsidP="006B3F04">
      <w:pPr>
        <w:pStyle w:val="Normal12Hanging"/>
        <w:rPr>
          <w:szCs w:val="24"/>
          <w:lang w:val="hr-HR"/>
        </w:rPr>
      </w:pPr>
      <w:r w:rsidRPr="00FC77BA">
        <w:rPr>
          <w:lang w:val="hr-HR"/>
        </w:rPr>
        <w:t>1.</w:t>
      </w:r>
      <w:r w:rsidRPr="00FC77BA">
        <w:rPr>
          <w:lang w:val="hr-HR"/>
        </w:rPr>
        <w:tab/>
        <w:t xml:space="preserve">prima na znanje da je praćenje proračuna tijekom financijske godine 2022. rezultiralo stopom izvršenja proračuna od 97,91 % za odobrena sredstva za preuzimanje obveza, što je povećanje od 1,01 % u odnosu na 2021.; prima na znanje da je stopa izvršenja odobrenih sredstava za plaćanje za tu godinu iznosila 81,10 %, što predstavlja povećanje od 9,72 % u odnosu na 2021.; pohvaljuje Institut za pomno praćenje </w:t>
      </w:r>
      <w:r w:rsidRPr="00FC77BA">
        <w:rPr>
          <w:lang w:val="hr-HR"/>
        </w:rPr>
        <w:lastRenderedPageBreak/>
        <w:t>izvršenja proračuna i zadovoljavajuće stope izvršenja proračuna 2022., unatoč izazovima te godine povezanima s ratnom agresijom na Ukrajinu i gospodarskom nestabilnošću u Uniji; prima na znanje smanjenje prenesenih operativnih rashoda Instituta na 42,28 % u 2023., u odnosu na 54,79 % u 2022.;</w:t>
      </w:r>
    </w:p>
    <w:p w:rsidR="006B3F04" w:rsidRPr="00FC77BA" w:rsidRDefault="006B3F04" w:rsidP="006B3F04">
      <w:pPr>
        <w:pStyle w:val="Normal12Hanging"/>
        <w:rPr>
          <w:szCs w:val="24"/>
          <w:lang w:val="hr-HR"/>
        </w:rPr>
      </w:pPr>
      <w:r w:rsidRPr="00FC77BA">
        <w:rPr>
          <w:lang w:val="hr-HR"/>
        </w:rPr>
        <w:t>2.</w:t>
      </w:r>
      <w:r w:rsidRPr="00FC77BA">
        <w:rPr>
          <w:lang w:val="hr-HR"/>
        </w:rPr>
        <w:tab/>
        <w:t xml:space="preserve">napominje da je iznos konačnog proračuna Instituta rezultat izmjena proračuna u ukupnom iznosu od 175 000 EUR koje je usvojio Upravni odbor Instituta zbog naglog porasta stope inflacije u Uniji, a posebno u Litvi tijekom 2022., </w:t>
      </w:r>
      <w:proofErr w:type="spellStart"/>
      <w:r w:rsidRPr="00FC77BA">
        <w:rPr>
          <w:lang w:val="hr-HR"/>
        </w:rPr>
        <w:t>indeksacije</w:t>
      </w:r>
      <w:proofErr w:type="spellEnd"/>
      <w:r w:rsidRPr="00FC77BA">
        <w:rPr>
          <w:lang w:val="hr-HR"/>
        </w:rPr>
        <w:t xml:space="preserve"> plaća od 6,9 % i povećanja korekcijskog koeficijenta primjenjivog na Litvu od 7,3 %;</w:t>
      </w:r>
    </w:p>
    <w:p w:rsidR="006B3F04" w:rsidRPr="00FC77BA" w:rsidRDefault="006B3F04" w:rsidP="006B3F04">
      <w:pPr>
        <w:pStyle w:val="Normal12Hanging"/>
        <w:rPr>
          <w:szCs w:val="24"/>
          <w:lang w:val="hr-HR"/>
        </w:rPr>
      </w:pPr>
      <w:r w:rsidRPr="00FC77BA">
        <w:rPr>
          <w:lang w:val="hr-HR"/>
        </w:rPr>
        <w:t>3.</w:t>
      </w:r>
      <w:r w:rsidRPr="00FC77BA">
        <w:rPr>
          <w:lang w:val="hr-HR"/>
        </w:rPr>
        <w:tab/>
        <w:t>sa zabrinutošću prima na znanje da prema izvješću Revizorskog suda Institut u svojim jedinstvenim programskim dokumentima nije objavio povezana izdvojena odobrena proračunska sredstva u iznosu od 3,7 milijuna EUR za okvirni ugovor za usluge organizacije događanja, čime se ugrožava proračunska transparentnost prema odboru Instituta i drugim dionicima; poziva Institut da sve operativne okvirne ugovore uvrsti u svoje jedinstvene programske dokumente;</w:t>
      </w:r>
    </w:p>
    <w:p w:rsidR="006B3F04" w:rsidRPr="00FC77BA" w:rsidRDefault="006B3F04" w:rsidP="006B3F04">
      <w:pPr>
        <w:pStyle w:val="Normal12Hanging"/>
        <w:rPr>
          <w:b/>
          <w:i/>
          <w:szCs w:val="24"/>
          <w:lang w:val="hr-HR"/>
        </w:rPr>
      </w:pPr>
      <w:r w:rsidRPr="00FC77BA">
        <w:rPr>
          <w:b/>
          <w:i/>
          <w:lang w:val="hr-HR"/>
        </w:rPr>
        <w:t>Uspješnost</w:t>
      </w:r>
    </w:p>
    <w:p w:rsidR="006B3F04" w:rsidRPr="00FC77BA" w:rsidRDefault="006B3F04" w:rsidP="006B3F04">
      <w:pPr>
        <w:spacing w:after="240"/>
        <w:ind w:left="567" w:hanging="567"/>
        <w:rPr>
          <w:szCs w:val="24"/>
        </w:rPr>
      </w:pPr>
      <w:r w:rsidRPr="00FC77BA">
        <w:t>4.</w:t>
      </w:r>
      <w:r w:rsidRPr="00FC77BA">
        <w:tab/>
        <w:t>primjećuje da Institut upotrebljava određene ključne pokazatelje uspješnosti koji se odnose na operativne ciljeve za procjenu dodane vrijednosti njegovih aktivnosti; sa zadovoljstvom primjećuje da je Institut 2022. ostvario 96,1 % svojeg programa rada, i tako ispunio ciljeve utvrđene u izmijenjenom jedinstvenom programskom dokumentu za razdoblje od 2022. do 2024.;</w:t>
      </w:r>
    </w:p>
    <w:p w:rsidR="006B3F04" w:rsidRPr="00FC77BA" w:rsidRDefault="006B3F04" w:rsidP="006B3F04">
      <w:pPr>
        <w:pStyle w:val="NormalHanging12a"/>
      </w:pPr>
      <w:r w:rsidRPr="00FC77BA">
        <w:t>5.</w:t>
      </w:r>
      <w:r w:rsidRPr="00FC77BA">
        <w:tab/>
        <w:t xml:space="preserve">pozdravlja činjenicu da je Institut 2022. podupro oblikovanje politika Unije praćenjem razlika i trendova u rodnoj ravnopravnosti pokretanjem indeksa rodne ravnopravnosti te je organizirao svoj prvi Forum o rodnoj ravnopravnosti na kojem su donositelji političkih odluka na visokoj razini i članovi civilnog društva održali razne panel-rasprave, radionice i sastanke o iskustvima; nadalje napominje da je Institut izradio izvješće o politici na temu utjecaja </w:t>
      </w:r>
      <w:proofErr w:type="spellStart"/>
      <w:r w:rsidRPr="00FC77BA">
        <w:t>pandemije</w:t>
      </w:r>
      <w:proofErr w:type="spellEnd"/>
      <w:r w:rsidRPr="00FC77BA">
        <w:t xml:space="preserve"> bolesti COVID-19 na mlade žene i muškarce u kojem je dao preporuke za uključivanje i osnaživanje mladih; usto napominje da je Institut objavio izvješće naslovljeno „Umjetna inteligencija, rad putem platformi i rodna ravnopravnost” koje pokazuje da umjetna inteligencija i rad putem platformi imaju potencijal za poboljšanje rodne ravnopravnosti u gospodarstvu;</w:t>
      </w:r>
    </w:p>
    <w:p w:rsidR="006B3F04" w:rsidRPr="00FC77BA" w:rsidRDefault="006B3F04" w:rsidP="006B3F04">
      <w:pPr>
        <w:pStyle w:val="NormalHanging12a"/>
      </w:pPr>
      <w:r w:rsidRPr="00FC77BA">
        <w:t>6.</w:t>
      </w:r>
      <w:r w:rsidRPr="00FC77BA">
        <w:tab/>
        <w:t>podsjeća da je Institut osnovan kako bi podupro i ojačao promicanje rodne ravnopravnosti u Uniji stavljanjem na raspolaganje kvalitetnih istraživanja i usporedivih podataka, s ciljem da se institucijama Unije i državama članicama pomogne da uključe rodnu ravnopravnost u sve svoje politike i da se bore protiv rodno uvjetovane diskriminacije; stoga naglašava činjenicu da Institut ima ključnu ulogu za tvorce politika i politike Unije i država članica kada je riječ o prikupljanju, analizi, obradi i širenju podataka i potrebnih informacija;</w:t>
      </w:r>
    </w:p>
    <w:p w:rsidR="006B3F04" w:rsidRPr="00FC77BA" w:rsidRDefault="006B3F04" w:rsidP="006B3F04">
      <w:pPr>
        <w:pStyle w:val="NormalHanging12a"/>
      </w:pPr>
      <w:r w:rsidRPr="00FC77BA">
        <w:t>7.</w:t>
      </w:r>
      <w:r w:rsidRPr="00FC77BA">
        <w:tab/>
        <w:t xml:space="preserve">naglašava važnost borbe protiv neravnopravnosti i nepravde prema ženama; poziva Komisiju i države članice da poduzmu hitne mjere za rješavanje problema siromaštva i sve većih nejednakosti kada je riječ o ženama, posebno iz skupina u ranjivom položaju, uključujući samohrane majke, žene s invaliditetom, rasno diskriminirane žene, pripadnice skupine LGBTIQ+, migrantice i izbjeglice, starije žene te žene u ruralnim ili rijetko naseljenim područjima; konstatira da bi se to moglo postići tako da se ispuni potreba za povećanim financiranjem mjera rodne ravnopravnosti u pogledu </w:t>
      </w:r>
      <w:r w:rsidRPr="00FC77BA">
        <w:lastRenderedPageBreak/>
        <w:t>zapošljavanja i rasta, kao i borbom protiv rodno uvjetovanog nasilja i razlike u plaćama između muškaraca i žena, razlike u mirovinama između muškaraca i žena, učinka kriza na žene, te rodno osviještenom politikom i donošenjem rodno osjetljivog proračuna uz uzimanje u obzir sve veće stope siromaštva među ženama, kao i u pogledu prava, demokracije i vladavine prava;</w:t>
      </w:r>
    </w:p>
    <w:p w:rsidR="006B3F04" w:rsidRPr="00FC77BA" w:rsidRDefault="006B3F04" w:rsidP="006B3F04">
      <w:pPr>
        <w:spacing w:after="240"/>
        <w:ind w:left="567" w:hanging="567"/>
        <w:rPr>
          <w:b/>
          <w:i/>
          <w:szCs w:val="24"/>
        </w:rPr>
      </w:pPr>
      <w:r w:rsidRPr="00FC77BA">
        <w:rPr>
          <w:b/>
          <w:i/>
        </w:rPr>
        <w:t>Učinkovitost i rezultati</w:t>
      </w:r>
    </w:p>
    <w:p w:rsidR="006B3F04" w:rsidRPr="00FC77BA" w:rsidRDefault="006B3F04" w:rsidP="006B3F04">
      <w:pPr>
        <w:pStyle w:val="Normal12Hanging"/>
        <w:rPr>
          <w:szCs w:val="24"/>
          <w:lang w:val="hr-HR"/>
        </w:rPr>
      </w:pPr>
      <w:r w:rsidRPr="00FC77BA">
        <w:rPr>
          <w:lang w:val="hr-HR"/>
        </w:rPr>
        <w:t>8.</w:t>
      </w:r>
      <w:r w:rsidRPr="00FC77BA">
        <w:rPr>
          <w:lang w:val="hr-HR"/>
        </w:rPr>
        <w:tab/>
        <w:t>prima na znanje sinergije Instituta s, među ostalim, Europskom zakladom za poboljšanje životnih i radnih uvjeta (</w:t>
      </w:r>
      <w:proofErr w:type="spellStart"/>
      <w:r w:rsidRPr="00FC77BA">
        <w:rPr>
          <w:lang w:val="hr-HR"/>
        </w:rPr>
        <w:t>Eurofound</w:t>
      </w:r>
      <w:proofErr w:type="spellEnd"/>
      <w:r w:rsidRPr="00FC77BA">
        <w:rPr>
          <w:lang w:val="hr-HR"/>
        </w:rPr>
        <w:t xml:space="preserve">), Agencijom Europske unije za temeljna prava (FRA) i Europskom agencijom za sigurnost i zdravlje na radu; primjećuje u njegovim odgovorima da je Institut aktivan član mreže agencija za pravosuđe i unutarnje poslove (PUP), da održava redovite kontakte sa svim drugim agencijama za pravosuđe i unutarnje poslove i da aktivno sudjeluje u aktivnostima Mreže agencija EU-a za znanstveno savjetovanje; nadalje prima na znanje suradnju Instituta s pružateljima podataka kao što su </w:t>
      </w:r>
      <w:proofErr w:type="spellStart"/>
      <w:r w:rsidRPr="00FC77BA">
        <w:rPr>
          <w:lang w:val="hr-HR"/>
        </w:rPr>
        <w:t>Eurostat</w:t>
      </w:r>
      <w:proofErr w:type="spellEnd"/>
      <w:r w:rsidRPr="00FC77BA">
        <w:rPr>
          <w:lang w:val="hr-HR"/>
        </w:rPr>
        <w:t xml:space="preserve">, FRA, </w:t>
      </w:r>
      <w:proofErr w:type="spellStart"/>
      <w:r w:rsidRPr="00FC77BA">
        <w:rPr>
          <w:lang w:val="hr-HR"/>
        </w:rPr>
        <w:t>Eurofound</w:t>
      </w:r>
      <w:proofErr w:type="spellEnd"/>
      <w:r w:rsidRPr="00FC77BA">
        <w:rPr>
          <w:lang w:val="hr-HR"/>
        </w:rPr>
        <w:t xml:space="preserve"> ili </w:t>
      </w:r>
      <w:proofErr w:type="spellStart"/>
      <w:r w:rsidRPr="00FC77BA">
        <w:rPr>
          <w:lang w:val="hr-HR"/>
        </w:rPr>
        <w:t>Eurojust</w:t>
      </w:r>
      <w:proofErr w:type="spellEnd"/>
      <w:r w:rsidRPr="00FC77BA">
        <w:rPr>
          <w:lang w:val="hr-HR"/>
        </w:rPr>
        <w:t>;</w:t>
      </w:r>
    </w:p>
    <w:p w:rsidR="006B3F04" w:rsidRPr="00FC77BA" w:rsidRDefault="006B3F04" w:rsidP="006B3F04">
      <w:pPr>
        <w:pStyle w:val="Normal12Hanging"/>
        <w:rPr>
          <w:szCs w:val="24"/>
          <w:lang w:val="hr-HR"/>
        </w:rPr>
      </w:pPr>
      <w:r w:rsidRPr="00FC77BA">
        <w:rPr>
          <w:lang w:val="hr-HR"/>
        </w:rPr>
        <w:t>9.</w:t>
      </w:r>
      <w:r w:rsidRPr="00FC77BA">
        <w:rPr>
          <w:lang w:val="hr-HR"/>
        </w:rPr>
        <w:tab/>
        <w:t>pohvaljuje Institut za napredak ostvaren u poboljšanju unutarnje učinkovitosti 2022. daljnjom digitalizacijom njegovih radnih procesa, kao i maksimalnom upotrebom internetske komunikacije i virtualnog sudjelovanja na sastancima i događanjima; posebno napominje da je Institut 2022. razvio ili uveo nekoliko alata, kao što su alat za elektronički potpis, Sysper2 (alat Komisije za upravljanje ljudskim resursima), alat za e-zapošljavanje i alat za upravljanje projektima koji doprinose automatizaciji i digitalizaciji ključnih procesa (upravljanje ljudskim resursima, projektima i financijama); primjećuje da je Institut podijelio svoje ljudske i financijske resurse kako bi se koristio međuagencijskim ugovorom za pružanje usluga za evaluaciju projekata; nadalje primjećuje da je Institut definirao nekoliko mjera za smanjenje emisija CO</w:t>
      </w:r>
      <w:r w:rsidRPr="00FC77BA">
        <w:rPr>
          <w:vertAlign w:val="subscript"/>
          <w:lang w:val="hr-HR"/>
        </w:rPr>
        <w:t>2</w:t>
      </w:r>
      <w:r w:rsidRPr="00FC77BA">
        <w:rPr>
          <w:lang w:val="hr-HR"/>
        </w:rPr>
        <w:t xml:space="preserve"> i usvajanje ekološki prihvatljivih radnih praksi (klauzule o okolišnoj održivosti u ugovorima Instituta, recikliranje papira i plastike, elektronički radni postupci i prikupljanje podataka o emisijama CO</w:t>
      </w:r>
      <w:r w:rsidRPr="00FC77BA">
        <w:rPr>
          <w:vertAlign w:val="subscript"/>
          <w:lang w:val="hr-HR"/>
        </w:rPr>
        <w:t>2</w:t>
      </w:r>
      <w:r w:rsidRPr="00FC77BA">
        <w:rPr>
          <w:lang w:val="hr-HR"/>
        </w:rPr>
        <w:t xml:space="preserve"> prouzročenima poslovnim putovanjima Instituta);</w:t>
      </w:r>
    </w:p>
    <w:p w:rsidR="006B3F04" w:rsidRPr="00FC77BA" w:rsidRDefault="006B3F04" w:rsidP="006B3F04">
      <w:pPr>
        <w:pStyle w:val="Normal12Hanging"/>
        <w:rPr>
          <w:b/>
          <w:i/>
          <w:szCs w:val="24"/>
          <w:lang w:val="hr-HR"/>
        </w:rPr>
      </w:pPr>
      <w:r w:rsidRPr="00FC77BA">
        <w:rPr>
          <w:b/>
          <w:i/>
          <w:lang w:val="hr-HR"/>
        </w:rPr>
        <w:t>Kadrovska politika</w:t>
      </w:r>
    </w:p>
    <w:p w:rsidR="006B3F04" w:rsidRPr="00FC77BA" w:rsidRDefault="006B3F04" w:rsidP="006B3F04">
      <w:pPr>
        <w:spacing w:after="240"/>
        <w:ind w:left="567" w:hanging="567"/>
      </w:pPr>
      <w:r w:rsidRPr="00FC77BA">
        <w:t>10.</w:t>
      </w:r>
      <w:r w:rsidRPr="00FC77BA">
        <w:tab/>
        <w:t>napominje da je 31. prosinca 2022. razina popunjenosti plana radnih mjesta iznosila 100 % i da je imenovano 27 dužnosnika i privremenih djelatnika od 27 privremenih djelatnika i dužnosnika odobrenih u okviru proračuna Unije (isti broj radnih mjesta kao i 2021.); također napominje da je 2022. stopa fluktuacije osoblja Agencije iznosila 11 %, što je jednako stopama za 2021. i 2020.;</w:t>
      </w:r>
    </w:p>
    <w:p w:rsidR="006B3F04" w:rsidRPr="00FC77BA" w:rsidRDefault="006B3F04" w:rsidP="006B3F04">
      <w:pPr>
        <w:pStyle w:val="NormalHanging12a"/>
      </w:pPr>
      <w:r w:rsidRPr="00FC77BA">
        <w:t>11.</w:t>
      </w:r>
      <w:r w:rsidRPr="00FC77BA">
        <w:tab/>
        <w:t>prima na znanje da je Institut dovršio godišnji postupak ocjenjivanja uspješnosti za sva 62 člana osoblja i zajamčio da su članovima osoblja ponuđene odgovarajuće mogućnosti osposobljavanja usmjerene na poboljšanje njihovih vještina i kompetencija; pozdravlja činjenicu da je, kako bi se promicao i olakšao profesionalni razvoj u Institutu, 2022. organizirano 19 različitih grupnih programa osposobljavanja s 414 sudionika, dok je 20 članova statutarnog osoblja pohađalo 42 pojedinačna tečaja osposobljavanja; napominje da je Institut nastavio promicati jezično osposobljavanje za svoje privremene djelatnike, ugovorno osoblje, upućene nacionalne stručnjake i stažiste, uz financiranje do 500 EUR po članu osoblja; potiče Institut da se i dalje usredotočuje na razvoj karijere osmišljanjem dugoročne politike ljudskih resursa, uključujući ponudu posebnih mogućnosti osposobljavanja za razvoj karijere;</w:t>
      </w:r>
    </w:p>
    <w:p w:rsidR="006B3F04" w:rsidRPr="00FC77BA" w:rsidRDefault="006B3F04" w:rsidP="006B3F04">
      <w:pPr>
        <w:pStyle w:val="NormalHanging12a"/>
      </w:pPr>
      <w:r w:rsidRPr="00FC77BA">
        <w:lastRenderedPageBreak/>
        <w:t>12.</w:t>
      </w:r>
      <w:r w:rsidRPr="00FC77BA">
        <w:tab/>
        <w:t xml:space="preserve">pozdravlja činjenicu da je 2021. postignuta, a 2022. održana uravnotežena rodna raspodjela u višem i srednjem rukovodstvu (2 muškarca (50 %) i 2 žene (50 %)) te prima na znanje opetovano neuravnoteženu rodnu raspodjelu u upravnom odboru (8 muškaraca (21,62 %) i 29 žena (78,38 %)) i među osobljem općenito (14 muškaraca (29,17 %) i 34 žene (70,83 %)); ponavlja poziv Institutu da u budućnosti zajamči rodnu ravnotežu; ipak, iz pisanih odgovora Instituta uviđa da je, kako bi postigao rodnu ravnotežu među svojim osobljem, poduzeo konkretne </w:t>
      </w:r>
      <w:proofErr w:type="spellStart"/>
      <w:r w:rsidRPr="00FC77BA">
        <w:t>proaktivne</w:t>
      </w:r>
      <w:proofErr w:type="spellEnd"/>
      <w:r w:rsidRPr="00FC77BA">
        <w:t xml:space="preserve"> korake i mjere kao što su povećanje dosega oglasa za slobodna radna mjesta kako bi se privukla raznolikija baza talenata ili upotreba rodno osjetljive formulacije u objavama slobodnih radnih mjesta kako bi se privukla pozornost i žena i muškaraca; traži od Komisije i država članica da pri imenovanju članova u upravni odbor Instituta uzmu u obzir važnost osiguravanja rodne ravnoteže;</w:t>
      </w:r>
    </w:p>
    <w:p w:rsidR="006B3F04" w:rsidRPr="00FC77BA" w:rsidRDefault="006B3F04" w:rsidP="006B3F04">
      <w:pPr>
        <w:pStyle w:val="Normal12Hanging"/>
        <w:rPr>
          <w:szCs w:val="24"/>
          <w:lang w:val="hr-HR"/>
        </w:rPr>
      </w:pPr>
      <w:r w:rsidRPr="00FC77BA">
        <w:rPr>
          <w:lang w:val="hr-HR"/>
        </w:rPr>
        <w:t>13.</w:t>
      </w:r>
      <w:r w:rsidRPr="00FC77BA">
        <w:rPr>
          <w:lang w:val="hr-HR"/>
        </w:rPr>
        <w:tab/>
        <w:t>prima na znanje iz odgovora Instituta da 2022. nije bilo slučajeva uznemirivanja koji su prijavljeni, istraženi, interno zaključeni ili pokrenuti pred sudovima; no ističe da to ne znači automatski da takvih slučajeva nije bilo, posebno zato što uznemirivanje može imati razne oblike i ostati neprijavljeno; poziva Institut da nastavi s radom kako bi se održao taj postojeći trend i istodobno uspostavile sve relevantne zaštitne mjere kako bi se osiguralo da nijedan slučaj ne ostane neprijavljen; pohvaljuje Institut zbog toga što je 2022. i za rukovodstvo i za osoblje organizirao osposobljavanje o sprečavanju uznemirivanja; nadalje napominje da se Institut koristio svojim imenovanim vanjskim odvjetničkim društvom kako bi zakonito postupao u prethodnim slučajevima uznemirivanja; primjećuje da Institut nema vlastiti odjel za pravne usluge ili radno mjesto pravnog savjetnika;</w:t>
      </w:r>
    </w:p>
    <w:p w:rsidR="006B3F04" w:rsidRPr="00FC77BA" w:rsidRDefault="006B3F04" w:rsidP="006B3F04">
      <w:pPr>
        <w:pStyle w:val="Normal12Hanging"/>
        <w:rPr>
          <w:szCs w:val="24"/>
          <w:lang w:val="hr-HR"/>
        </w:rPr>
      </w:pPr>
      <w:r w:rsidRPr="00FC77BA">
        <w:rPr>
          <w:lang w:val="hr-HR"/>
        </w:rPr>
        <w:t>14.</w:t>
      </w:r>
      <w:r w:rsidRPr="00FC77BA">
        <w:rPr>
          <w:lang w:val="hr-HR"/>
        </w:rPr>
        <w:tab/>
        <w:t xml:space="preserve">napominje da je 2022. dovršen predmet koji je bio u tijeku protiv poduzeća UAB </w:t>
      </w:r>
      <w:proofErr w:type="spellStart"/>
      <w:r w:rsidRPr="00FC77BA">
        <w:rPr>
          <w:lang w:val="hr-HR"/>
        </w:rPr>
        <w:t>Manpower</w:t>
      </w:r>
      <w:proofErr w:type="spellEnd"/>
      <w:r w:rsidRPr="00FC77BA">
        <w:rPr>
          <w:lang w:val="hr-HR"/>
        </w:rPr>
        <w:t xml:space="preserve"> Lit, a koji je početkom 2018. pred Okružnim sudom grada Vilniusa pokrenuo niz bivših vanjskih djelatnika; podsjeća da je presudom Suda od 11. studenoga 2021.</w:t>
      </w:r>
      <w:r w:rsidRPr="00FC77BA">
        <w:rPr>
          <w:rStyle w:val="FootnoteReference"/>
          <w:szCs w:val="24"/>
          <w:lang w:val="hr-HR"/>
        </w:rPr>
        <w:footnoteReference w:id="13"/>
      </w:r>
      <w:r w:rsidRPr="00FC77BA">
        <w:rPr>
          <w:lang w:val="hr-HR"/>
        </w:rPr>
        <w:t xml:space="preserve"> potvrđeno da se Direktiva 2008/104/EZ Europskog parlamenta i Vijeća</w:t>
      </w:r>
      <w:r w:rsidRPr="00FC77BA">
        <w:rPr>
          <w:rStyle w:val="FootnoteReference"/>
          <w:szCs w:val="24"/>
          <w:lang w:val="hr-HR"/>
        </w:rPr>
        <w:footnoteReference w:id="14"/>
      </w:r>
      <w:r w:rsidRPr="00FC77BA">
        <w:rPr>
          <w:lang w:val="hr-HR"/>
        </w:rPr>
        <w:t xml:space="preserve"> primjenjuje na decentralizirane agencije Unije te je potvrđeno načelo jednakog postupanja prema vanjskim djelatnicima i statutarnim članovima osoblja; napominje da je Vrhovni sud Litve potvrdio presudu Suda i donio presudu u korist vanjskih djelatnika; pozdravlja činjenicu da Institut od 1. siječnja 2022. više ne zapošljava vanjske djelatnike;</w:t>
      </w:r>
    </w:p>
    <w:p w:rsidR="006B3F04" w:rsidRPr="00FC77BA" w:rsidRDefault="006B3F04" w:rsidP="006B3F04">
      <w:pPr>
        <w:pStyle w:val="Normal12Hanging"/>
        <w:rPr>
          <w:lang w:val="hr-HR"/>
        </w:rPr>
      </w:pPr>
      <w:r w:rsidRPr="00FC77BA">
        <w:rPr>
          <w:lang w:val="hr-HR"/>
        </w:rPr>
        <w:t>15.</w:t>
      </w:r>
      <w:r w:rsidRPr="00FC77BA">
        <w:rPr>
          <w:lang w:val="hr-HR"/>
        </w:rPr>
        <w:tab/>
        <w:t>pozdravlja sveobuhvatnu politiku dobrobiti Instituta, koja obuhvaća niz mjera za podupiranje ravnoteže između poslovnog i privatnog života, rada na daljinu i zdravog načina života njegovih članova osoblja; prima na znanje stalne napore Instituta da 2022. poboljša radno okružje kombinacijom poštovanja i integriteta, timskog duha i suradnje među odjelima kako bi osoblje bolje razumjelo i podržalo nultu toleranciju Instituta na psihičko i seksualno uznemirivanje; nadalje prima na znanje mjere Instituta za potporu osoblju, kao što su proširenje mogućnosti rada na daljinu u slučaju dokumentiranih osobnih situacija ili nadoknada troškova nestatutarnog osoblja za psihoterapeutske sesije;</w:t>
      </w:r>
    </w:p>
    <w:p w:rsidR="006B3F04" w:rsidRPr="00FC77BA" w:rsidRDefault="006B3F04" w:rsidP="006B3F04">
      <w:pPr>
        <w:pStyle w:val="Normal12Hanging"/>
        <w:rPr>
          <w:b/>
          <w:i/>
          <w:szCs w:val="24"/>
          <w:lang w:val="hr-HR"/>
        </w:rPr>
      </w:pPr>
      <w:r w:rsidRPr="00FC77BA">
        <w:rPr>
          <w:b/>
          <w:i/>
          <w:lang w:val="hr-HR"/>
        </w:rPr>
        <w:lastRenderedPageBreak/>
        <w:t>Javna nabava</w:t>
      </w:r>
    </w:p>
    <w:p w:rsidR="006B3F04" w:rsidRPr="00FC77BA" w:rsidRDefault="006B3F04" w:rsidP="006B3F04">
      <w:pPr>
        <w:spacing w:after="240"/>
        <w:ind w:left="567" w:hanging="567"/>
        <w:rPr>
          <w:szCs w:val="24"/>
        </w:rPr>
      </w:pPr>
      <w:r w:rsidRPr="00FC77BA">
        <w:t>16.</w:t>
      </w:r>
      <w:r w:rsidRPr="00FC77BA">
        <w:tab/>
        <w:t>sa zabrinutošću prima na znanje primjedbu iz izvješća Revizorskog suda u vezi s okvirnim ugovorom, za koji je utvrđeno da je iznos od 25 571,18 EUR (od ukupnog iznosa od 511 296 EUR isplaćenog na temelju tog ugovora) koji je Institut 2022. uplatio za troškovnu kategoriju „nepredviđeni rashodi” isplaćen nepravilno jer ta kategorija troškova nije bila uvrštena u okvirni ugovor; pozdravlja činjenicu da je Institut uveo formalnu izmjenu okvirnog ugovora kojom se utvrđuje postotak proračuna i svrha korištenja nepredviđenih rashoda;</w:t>
      </w:r>
    </w:p>
    <w:p w:rsidR="006B3F04" w:rsidRPr="00FC77BA" w:rsidRDefault="006B3F04" w:rsidP="006B3F04">
      <w:pPr>
        <w:spacing w:after="240"/>
        <w:ind w:left="567" w:hanging="567"/>
        <w:rPr>
          <w:szCs w:val="24"/>
        </w:rPr>
      </w:pPr>
      <w:r w:rsidRPr="00FC77BA">
        <w:t>17.</w:t>
      </w:r>
      <w:r w:rsidRPr="00FC77BA">
        <w:tab/>
        <w:t>prima na znanje još jednu primjedbu iz izvješća Revizorskog suda o nepravilnosti postupka i posljedičnom ugovoru u vezi s revidiranim pregovaračkim postupkom s najmanje troje kandidata u vrijednosti manjoj od 60 000 EUR; ipak uviđa da u vezi s potonjom primjedbom 2022. nisu bila izvršena plaćanja u okviru tog ugovora; poziva Institut da riješi nedostatke koji proizlaze iz mana u njegovoj unutarnjoj kontroli u području javne nabave;</w:t>
      </w:r>
    </w:p>
    <w:p w:rsidR="006B3F04" w:rsidRPr="00FC77BA" w:rsidRDefault="006B3F04" w:rsidP="006B3F04">
      <w:pPr>
        <w:pStyle w:val="Normal12Hanging"/>
        <w:rPr>
          <w:b/>
          <w:i/>
          <w:szCs w:val="24"/>
          <w:lang w:val="hr-HR"/>
        </w:rPr>
      </w:pPr>
      <w:r w:rsidRPr="00FC77BA">
        <w:rPr>
          <w:b/>
          <w:i/>
          <w:lang w:val="hr-HR"/>
        </w:rPr>
        <w:t>Postupanje u slučaju sukoba interesa i njihovo sprečavanje te transparentnost</w:t>
      </w:r>
    </w:p>
    <w:p w:rsidR="006B3F04" w:rsidRPr="00FC77BA" w:rsidRDefault="006B3F04" w:rsidP="006B3F04">
      <w:pPr>
        <w:spacing w:after="240"/>
        <w:ind w:left="567" w:hanging="567"/>
        <w:rPr>
          <w:szCs w:val="24"/>
        </w:rPr>
      </w:pPr>
      <w:r w:rsidRPr="00FC77BA">
        <w:t>18.</w:t>
      </w:r>
      <w:r w:rsidRPr="00FC77BA">
        <w:tab/>
        <w:t xml:space="preserve">prima na znanje postojeće mjere Instituta i njegove stalne napore u području osiguravanja transparentnosti, sprečavanja sukoba interesa i postupanja u slučaju sukoba interesa te zaštite zviždača; posebno napominje da Institut sprečava sukobe interesa i postupa u njihovu slučaju podizanjem razine osviještenosti i praćenjem valjanosti izjava o financijskim interesima koje su potpisali upravni odbor, više rukovodstvo i osoblje uključeno u postupke zapošljavanja i javne nabave; nadalje napominje da je Institut 2023. ažurirao svoju politiku u pogledu sukoba interesa kako bi se uzele u obzir preporuke o „rotirajućim vratima” koje je Revizorski sud objavio u svojem izvješću o reviziji decentraliziranih agencija Unije za 2021. i drugim relevantnim izvješćima ili studijama koje su objavili tijelo nadležno za davanje razrješnice i Europski </w:t>
      </w:r>
      <w:proofErr w:type="spellStart"/>
      <w:r w:rsidRPr="00FC77BA">
        <w:t>ombudsman</w:t>
      </w:r>
      <w:proofErr w:type="spellEnd"/>
      <w:r w:rsidRPr="00FC77BA">
        <w:t>; poziva Revizorski sud da u buduće revizijske planove Revizorskog suda uvrsti novu politiku Instituta u pogledu sukoba interesa;</w:t>
      </w:r>
    </w:p>
    <w:p w:rsidR="006B3F04" w:rsidRPr="00FC77BA" w:rsidRDefault="006B3F04" w:rsidP="006B3F04">
      <w:pPr>
        <w:pStyle w:val="Normal12Hanging"/>
        <w:rPr>
          <w:b/>
          <w:i/>
          <w:szCs w:val="24"/>
          <w:lang w:val="hr-HR"/>
        </w:rPr>
      </w:pPr>
      <w:r w:rsidRPr="00FC77BA">
        <w:rPr>
          <w:lang w:val="hr-HR"/>
        </w:rPr>
        <w:t>19.</w:t>
      </w:r>
      <w:r w:rsidRPr="00FC77BA">
        <w:rPr>
          <w:lang w:val="hr-HR"/>
        </w:rPr>
        <w:tab/>
        <w:t>prima na znanje da je Institut na svojim internetskim stranicama objavio životopise i izjave o financijskim interesima svoje direktorice i članova upravnog odbora; podsjeća na važnost objavljivanja životopisa i izjava o financijskim interesima; poziva Institut da bez odgode objavljuje svoje sastanke s predstavnicima interesnih skupina i da tijelu nadležnom za davanje razrješnice dostavi informacije o internetskoj stranici na kojoj se takvi sastanci objavljuju;</w:t>
      </w:r>
    </w:p>
    <w:p w:rsidR="006B3F04" w:rsidRPr="00FC77BA" w:rsidRDefault="006B3F04" w:rsidP="006B3F04">
      <w:pPr>
        <w:pStyle w:val="Normal12Hanging"/>
        <w:rPr>
          <w:b/>
          <w:i/>
          <w:szCs w:val="24"/>
          <w:lang w:val="hr-HR"/>
        </w:rPr>
      </w:pPr>
      <w:r w:rsidRPr="00FC77BA">
        <w:rPr>
          <w:b/>
          <w:i/>
          <w:lang w:val="hr-HR"/>
        </w:rPr>
        <w:t>Unutarnja kontrola</w:t>
      </w:r>
    </w:p>
    <w:p w:rsidR="006B3F04" w:rsidRPr="00FC77BA" w:rsidRDefault="006B3F04" w:rsidP="006B3F04">
      <w:pPr>
        <w:pStyle w:val="Normal12Hanging"/>
        <w:rPr>
          <w:szCs w:val="24"/>
          <w:lang w:val="hr-HR"/>
        </w:rPr>
      </w:pPr>
      <w:r w:rsidRPr="00FC77BA">
        <w:rPr>
          <w:lang w:val="hr-HR"/>
        </w:rPr>
        <w:t>20.</w:t>
      </w:r>
      <w:r w:rsidRPr="00FC77BA">
        <w:rPr>
          <w:lang w:val="hr-HR"/>
        </w:rPr>
        <w:tab/>
        <w:t>pozdravlja mjere koje je Institut poduzeo 2022. kako bi ojačao svoj sustav unutarnje kontrole; u tom kontekstu prima na znanje da je Institut na dobrom putu u pogledu napretka u svojim aktivnostima povezanima s unutarnjom kontrolom i revizijom, kao što je provedba preporuka ili primjedbi koje su Revizorski sud i Služba za unutarnju reviziju iznijeli u svojim revizijskim izvješćima iz 2021. te djelovanja i mjera utvrđenih u strategiji Instituta za borbu protiv prijevara za razdoblje 2021. – 2023.; pozdravlja činjenicu da te aktivnosti i mjere uključuju osposobljavanje za sprečavanje prijevara, podizanje razine osviještenosti s pomoću posebne intranetske stranice za borbu protiv prijevara te posebne kontrole i procjene rizika od prijevara;</w:t>
      </w:r>
    </w:p>
    <w:p w:rsidR="006B3F04" w:rsidRPr="00FC77BA" w:rsidRDefault="006B3F04" w:rsidP="006B3F04">
      <w:pPr>
        <w:pStyle w:val="Normal12Hanging"/>
        <w:rPr>
          <w:szCs w:val="24"/>
          <w:lang w:val="hr-HR"/>
        </w:rPr>
      </w:pPr>
      <w:r w:rsidRPr="00FC77BA">
        <w:rPr>
          <w:lang w:val="hr-HR"/>
        </w:rPr>
        <w:lastRenderedPageBreak/>
        <w:t>21.</w:t>
      </w:r>
      <w:r w:rsidRPr="00FC77BA">
        <w:rPr>
          <w:lang w:val="hr-HR"/>
        </w:rPr>
        <w:tab/>
        <w:t>napominje da je Služba za unutarnju reviziju 2022. provela posebnu procjenu sustava unutarnje kontrole Instituta; nadalje prima na znanje rezultate te procjene u kojoj su utvrđena četiri umjerena nedostatka povezana s komponentom I. (kontrolno okruženje), III. (kontrolne aktivnosti) i IV. (informacije i komunikacija) i jedan veliki nedostatak povezan s komponentom III. te potreba za poboljšanjem ili znatnim poboljšanjem raznih načela (4., 10., 11. i 13.); poziva Institut da tijelo nadležno za davanje razrješnice izvijesti o napretku postignutom u rješavanju nalaza Službe za unutarnju reviziju;</w:t>
      </w:r>
    </w:p>
    <w:p w:rsidR="006B3F04" w:rsidRPr="00FC77BA" w:rsidRDefault="006B3F04" w:rsidP="006B3F04">
      <w:pPr>
        <w:pStyle w:val="Normal12Hanging"/>
        <w:rPr>
          <w:szCs w:val="24"/>
          <w:lang w:val="hr-HR"/>
        </w:rPr>
      </w:pPr>
      <w:r w:rsidRPr="00FC77BA">
        <w:rPr>
          <w:lang w:val="hr-HR"/>
        </w:rPr>
        <w:t>22.</w:t>
      </w:r>
      <w:r w:rsidRPr="00FC77BA">
        <w:rPr>
          <w:lang w:val="hr-HR"/>
        </w:rPr>
        <w:tab/>
        <w:t>primjećuje da je 2022. objavljena druga neovisna vanjska evaluacija Instituta; u tom kontekstu napominje da je upravni odbor Instituta Komisiji uputio pismo s preporukama u vezi s forumom stručnjaka Instituta, funkcioniranjem upravnog odbora i pitanjima u vezi s osobljem; iz tog pisma razumije da bi za rješavanje tih preporuka mogla biti potrebna izmjena Uredbe (EZ) br. 1922/2006</w:t>
      </w:r>
      <w:r w:rsidRPr="00FC77BA">
        <w:rPr>
          <w:rStyle w:val="FootnoteReference"/>
          <w:lang w:val="hr-HR"/>
        </w:rPr>
        <w:footnoteReference w:id="15"/>
      </w:r>
      <w:r w:rsidRPr="00FC77BA">
        <w:rPr>
          <w:lang w:val="hr-HR"/>
        </w:rPr>
        <w:t xml:space="preserve"> kojom je osnovan Institut; poziva Komisiju da podupre Institut u naknadnoj analizi i raspravama o ishodu te vanjske evaluacije;</w:t>
      </w:r>
    </w:p>
    <w:p w:rsidR="006B3F04" w:rsidRPr="00FC77BA" w:rsidRDefault="006B3F04" w:rsidP="006B3F04">
      <w:pPr>
        <w:spacing w:after="240"/>
        <w:ind w:left="567" w:hanging="567"/>
        <w:rPr>
          <w:szCs w:val="24"/>
        </w:rPr>
      </w:pPr>
      <w:r w:rsidRPr="00FC77BA">
        <w:t>23.</w:t>
      </w:r>
      <w:r w:rsidRPr="00FC77BA">
        <w:tab/>
        <w:t>pohvaljuje Institut zbog poduzimanja potrebnih mjera u pogledu primjedbi Revizorskog suda iz 2021. koje Revizorski sud sve smatra zaključenima;</w:t>
      </w:r>
    </w:p>
    <w:p w:rsidR="006B3F04" w:rsidRPr="00FC77BA" w:rsidRDefault="006B3F04" w:rsidP="006B3F04">
      <w:pPr>
        <w:pStyle w:val="Normal12Hanging"/>
        <w:ind w:left="0" w:firstLine="0"/>
        <w:rPr>
          <w:b/>
          <w:i/>
          <w:szCs w:val="24"/>
          <w:lang w:val="hr-HR"/>
        </w:rPr>
      </w:pPr>
      <w:r w:rsidRPr="00FC77BA">
        <w:rPr>
          <w:b/>
          <w:i/>
          <w:lang w:val="hr-HR"/>
        </w:rPr>
        <w:t>Ostalo</w:t>
      </w:r>
    </w:p>
    <w:p w:rsidR="006B3F04" w:rsidRPr="00FC77BA" w:rsidRDefault="006B3F04" w:rsidP="006B3F04">
      <w:pPr>
        <w:pStyle w:val="Normal12Hanging"/>
        <w:rPr>
          <w:szCs w:val="24"/>
          <w:lang w:val="hr-HR"/>
        </w:rPr>
      </w:pPr>
      <w:r w:rsidRPr="00FC77BA">
        <w:rPr>
          <w:lang w:val="hr-HR"/>
        </w:rPr>
        <w:t>24.</w:t>
      </w:r>
      <w:r w:rsidRPr="00FC77BA">
        <w:rPr>
          <w:lang w:val="hr-HR"/>
        </w:rPr>
        <w:tab/>
        <w:t>napominje da je Institut 2022. potpisao novi ugovor o najmu svojih prostora u Vilniusu na razdoblje od 10 godina; nadalje napominje da je ured za vezu u Bruxellesu započeo s aktivnostima 2022. i pomogao u jačanju vidljivosti Instituta kao dionika;</w:t>
      </w:r>
    </w:p>
    <w:p w:rsidR="006B3F04" w:rsidRPr="00FC77BA" w:rsidRDefault="006B3F04" w:rsidP="006B3F04">
      <w:pPr>
        <w:pStyle w:val="NormalHanging12a"/>
      </w:pPr>
      <w:r w:rsidRPr="00FC77BA">
        <w:t>25.</w:t>
      </w:r>
      <w:r w:rsidRPr="00FC77BA">
        <w:tab/>
        <w:t xml:space="preserve">pozdravlja predanost Instituta digitalizaciji svojih postupaka javne nabave uvođenjem alata za upravljanje javnom nabavom, za koju se očekuje da će biti dovršena u četvrtom tromjesečju 2023.; prima na znanje iz odgovora Instituta na pitanja Odbora Parlamenta za proračunski nadzor da je 2022. ažurirao svoju politiku </w:t>
      </w:r>
      <w:proofErr w:type="spellStart"/>
      <w:r w:rsidRPr="00FC77BA">
        <w:t>kibernetičke</w:t>
      </w:r>
      <w:proofErr w:type="spellEnd"/>
      <w:r w:rsidRPr="00FC77BA">
        <w:t xml:space="preserve"> sigurnosti kako bi poboljšao sigurnosne mjere; podsjeća na važnost redovitog ažuriranja mehanizama za revizije, testiranja i procjene informatičkih rizika u području </w:t>
      </w:r>
      <w:proofErr w:type="spellStart"/>
      <w:r w:rsidRPr="00FC77BA">
        <w:t>kibernetičke</w:t>
      </w:r>
      <w:proofErr w:type="spellEnd"/>
      <w:r w:rsidRPr="00FC77BA">
        <w:t xml:space="preserve"> sigurnosti;</w:t>
      </w:r>
    </w:p>
    <w:p w:rsidR="006B3F04" w:rsidRPr="00FC77BA" w:rsidRDefault="006B3F04" w:rsidP="006B3F04">
      <w:pPr>
        <w:spacing w:after="240"/>
        <w:ind w:left="567" w:hanging="567"/>
      </w:pPr>
      <w:r w:rsidRPr="00FC77BA">
        <w:t>26.</w:t>
      </w:r>
      <w:r w:rsidRPr="00FC77BA">
        <w:tab/>
        <w:t>napominje da je Institut dodatno povećao svoju vidljivost u javnosti i prisutnost na internetu pokretanjem ili organiziranjem nekoliko kampanja ili događanja kao što su kampanja #</w:t>
      </w:r>
      <w:proofErr w:type="spellStart"/>
      <w:r w:rsidRPr="00FC77BA">
        <w:t>SafeSpaces</w:t>
      </w:r>
      <w:proofErr w:type="spellEnd"/>
      <w:r w:rsidRPr="00FC77BA">
        <w:t xml:space="preserve"> kako bi se, među ostalim, pokazalo kako nasilje na internetu ugrožava sigurnost</w:t>
      </w:r>
      <w:r w:rsidRPr="00FC77BA">
        <w:rPr>
          <w:color w:val="000000" w:themeColor="text1"/>
        </w:rPr>
        <w:t xml:space="preserve"> žena i djevojčica te prvi Forum za rodnu ravnopravnost u organizaciji Instituta s raspravama otvorenima za javnost putem prijenosa uživo i snimki;</w:t>
      </w:r>
    </w:p>
    <w:p w:rsidR="006B3F04" w:rsidRPr="00FC77BA" w:rsidRDefault="006B3F04" w:rsidP="006B3F04">
      <w:pPr>
        <w:pStyle w:val="NormalHanging12a"/>
        <w:rPr>
          <w:b/>
          <w:i/>
        </w:rPr>
      </w:pPr>
      <w:r w:rsidRPr="00FC77BA">
        <w:t>27.</w:t>
      </w:r>
      <w:r w:rsidRPr="00FC77BA">
        <w:tab/>
        <w:t xml:space="preserve">ustraje u važnosti njegova izvješća o </w:t>
      </w:r>
      <w:proofErr w:type="spellStart"/>
      <w:r w:rsidRPr="00FC77BA">
        <w:t>femicidu</w:t>
      </w:r>
      <w:proofErr w:type="spellEnd"/>
      <w:r w:rsidRPr="00FC77BA">
        <w:t xml:space="preserve"> objavljenog 2022. pod naslovom „Pokazatelji </w:t>
      </w:r>
      <w:proofErr w:type="spellStart"/>
      <w:r w:rsidRPr="00FC77BA">
        <w:t>femicida</w:t>
      </w:r>
      <w:proofErr w:type="spellEnd"/>
      <w:r w:rsidRPr="00FC77BA">
        <w:t xml:space="preserve">: pilot-studija o dostupnosti podataka i procjeni izvedivosti” i potiče Institut da nastavi s kampanjom za povećanje vidljivosti </w:t>
      </w:r>
      <w:proofErr w:type="spellStart"/>
      <w:r w:rsidRPr="00FC77BA">
        <w:t>femicida</w:t>
      </w:r>
      <w:proofErr w:type="spellEnd"/>
      <w:r w:rsidRPr="00FC77BA">
        <w:t xml:space="preserve"> u nacionalnim politikama i istakne potencijalne koristi od njegova priznavanja kao zasebnog kaznenog djela;</w:t>
      </w:r>
    </w:p>
    <w:p w:rsidR="006B3F04" w:rsidRPr="00FC77BA" w:rsidRDefault="006B3F04" w:rsidP="006B3F04">
      <w:pPr>
        <w:pStyle w:val="NormalCenter12a"/>
      </w:pPr>
      <w:r w:rsidRPr="00FC77BA">
        <w:t>°</w:t>
      </w:r>
    </w:p>
    <w:p w:rsidR="006B3F04" w:rsidRPr="00FC77BA" w:rsidRDefault="006B3F04" w:rsidP="006B3F04">
      <w:pPr>
        <w:pStyle w:val="NormalCenter12a"/>
      </w:pPr>
      <w:r w:rsidRPr="00FC77BA">
        <w:t>°</w:t>
      </w:r>
      <w:r w:rsidRPr="00FC77BA">
        <w:tab/>
        <w:t>°</w:t>
      </w:r>
    </w:p>
    <w:p w:rsidR="006B3F04" w:rsidRPr="00FC77BA" w:rsidRDefault="006B3F04" w:rsidP="006B3F04">
      <w:pPr>
        <w:pStyle w:val="NormalHanging12a"/>
      </w:pPr>
      <w:r w:rsidRPr="00FC77BA">
        <w:lastRenderedPageBreak/>
        <w:t>28.</w:t>
      </w:r>
      <w:r w:rsidRPr="00FC77BA">
        <w:tab/>
        <w:t xml:space="preserve">u vezi s drugim primjedbama koje su priložene Odluci o razrješnici i horizontalne su naravi upućuje na svoju Rezoluciju od </w:t>
      </w:r>
      <w:r w:rsidR="00F00182">
        <w:t>11. travnja</w:t>
      </w:r>
      <w:r w:rsidRPr="00FC77BA">
        <w:t xml:space="preserve"> 2024.</w:t>
      </w:r>
      <w:r w:rsidRPr="00FC77BA">
        <w:rPr>
          <w:rStyle w:val="FootnoteReference"/>
        </w:rPr>
        <w:footnoteReference w:id="16"/>
      </w:r>
      <w:r w:rsidRPr="00FC77BA">
        <w:t xml:space="preserve"> o uspješnosti, financijskom upravljanju i nadzoru agencija.</w:t>
      </w:r>
    </w:p>
    <w:p w:rsidR="00E365E1" w:rsidRPr="00FC77BA" w:rsidRDefault="00E365E1" w:rsidP="00F00182">
      <w:pPr>
        <w:pStyle w:val="Normal24a"/>
      </w:pPr>
    </w:p>
    <w:sectPr w:rsidR="00E365E1" w:rsidRPr="00FC77BA" w:rsidSect="00FC77B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622A" w:rsidRPr="00FC77BA" w:rsidRDefault="0008622A">
      <w:r w:rsidRPr="00FC77BA">
        <w:separator/>
      </w:r>
    </w:p>
  </w:endnote>
  <w:endnote w:type="continuationSeparator" w:id="0">
    <w:p w:rsidR="0008622A" w:rsidRPr="00FC77BA" w:rsidRDefault="0008622A">
      <w:r w:rsidRPr="00FC77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F04" w:rsidRPr="00FC77BA" w:rsidRDefault="006B3F04" w:rsidP="00B64DA0">
    <w:pPr>
      <w:pStyle w:val="EPFooter"/>
    </w:pPr>
    <w:r w:rsidRPr="00FC77BA">
      <w:t>PE</w:t>
    </w:r>
    <w:r w:rsidRPr="00FC77BA">
      <w:rPr>
        <w:rStyle w:val="HideTWBExt"/>
      </w:rPr>
      <w:t>&lt;NoPE&gt;</w:t>
    </w:r>
    <w:r w:rsidRPr="00FC77BA">
      <w:t>753.520</w:t>
    </w:r>
    <w:r w:rsidRPr="00FC77BA">
      <w:rPr>
        <w:rStyle w:val="HideTWBExt"/>
      </w:rPr>
      <w:t>&lt;/NoPE&gt;&lt;Version&gt;</w:t>
    </w:r>
    <w:r w:rsidRPr="00FC77BA">
      <w:t>v02-00</w:t>
    </w:r>
    <w:r w:rsidRPr="00FC77BA">
      <w:rPr>
        <w:rStyle w:val="HideTWBExt"/>
      </w:rPr>
      <w:t>&lt;/Version&gt;</w:t>
    </w:r>
    <w:r w:rsidRPr="00FC77BA">
      <w:tab/>
    </w:r>
    <w:r w:rsidRPr="00FC77BA">
      <w:fldChar w:fldCharType="begin"/>
    </w:r>
    <w:r w:rsidRPr="00FC77BA">
      <w:instrText xml:space="preserve"> PAGE  \* MERGEFORMAT </w:instrText>
    </w:r>
    <w:r w:rsidRPr="00FC77BA">
      <w:fldChar w:fldCharType="separate"/>
    </w:r>
    <w:r w:rsidRPr="00FC77BA">
      <w:rPr>
        <w:noProof/>
      </w:rPr>
      <w:t>12</w:t>
    </w:r>
    <w:r w:rsidRPr="00FC77BA">
      <w:fldChar w:fldCharType="end"/>
    </w:r>
    <w:r w:rsidRPr="00FC77BA">
      <w:t>/</w:t>
    </w:r>
    <w:fldSimple w:instr=" NUMPAGES  \* MERGEFORMAT ">
      <w:r w:rsidRPr="00FC77BA">
        <w:rPr>
          <w:noProof/>
        </w:rPr>
        <w:t>12</w:t>
      </w:r>
    </w:fldSimple>
    <w:r w:rsidRPr="00FC77BA">
      <w:tab/>
    </w:r>
    <w:r w:rsidRPr="00FC77BA">
      <w:rPr>
        <w:rStyle w:val="HideTWBExt"/>
      </w:rPr>
      <w:t>&lt;PathFdR&gt;</w:t>
    </w:r>
    <w:r w:rsidRPr="00FC77BA">
      <w:t>RR\1298746HR.docx</w:t>
    </w:r>
    <w:r w:rsidRPr="00FC77BA">
      <w:rPr>
        <w:rStyle w:val="HideTWBExt"/>
      </w:rPr>
      <w:t>&lt;/PathFdR&gt;</w:t>
    </w:r>
  </w:p>
  <w:p w:rsidR="006B3F04" w:rsidRPr="00FC77BA" w:rsidRDefault="006B3F04" w:rsidP="00B64DA0">
    <w:pPr>
      <w:pStyle w:val="EPFooter2"/>
    </w:pPr>
    <w:r w:rsidRPr="00FC77BA">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F04" w:rsidRPr="00FC77BA" w:rsidRDefault="006B3F04" w:rsidP="00B64DA0">
    <w:pPr>
      <w:pStyle w:val="EPFooter"/>
    </w:pPr>
    <w:r w:rsidRPr="00FC77BA">
      <w:rPr>
        <w:rStyle w:val="HideTWBExt"/>
      </w:rPr>
      <w:t>&lt;PathFdR&gt;</w:t>
    </w:r>
    <w:r w:rsidRPr="00FC77BA">
      <w:t>RR\1298746HR.docx</w:t>
    </w:r>
    <w:r w:rsidRPr="00FC77BA">
      <w:rPr>
        <w:rStyle w:val="HideTWBExt"/>
      </w:rPr>
      <w:t>&lt;/PathFdR&gt;</w:t>
    </w:r>
    <w:r w:rsidRPr="00FC77BA">
      <w:tab/>
    </w:r>
    <w:r w:rsidRPr="00FC77BA">
      <w:tab/>
      <w:t>PE</w:t>
    </w:r>
    <w:r w:rsidRPr="00FC77BA">
      <w:rPr>
        <w:rStyle w:val="HideTWBExt"/>
      </w:rPr>
      <w:t>&lt;NoPE&gt;</w:t>
    </w:r>
    <w:r w:rsidRPr="00FC77BA">
      <w:t>753.520</w:t>
    </w:r>
    <w:r w:rsidRPr="00FC77BA">
      <w:rPr>
        <w:rStyle w:val="HideTWBExt"/>
      </w:rPr>
      <w:t>&lt;/NoPE&gt;&lt;Version&gt;</w:t>
    </w:r>
    <w:r w:rsidRPr="00FC77BA">
      <w:t>v02-00</w:t>
    </w:r>
    <w:r w:rsidRPr="00FC77BA">
      <w:rPr>
        <w:rStyle w:val="HideTWBExt"/>
      </w:rPr>
      <w:t>&lt;/Version&gt;</w:t>
    </w:r>
  </w:p>
  <w:p w:rsidR="006B3F04" w:rsidRPr="00FC77BA" w:rsidRDefault="006B3F04" w:rsidP="00B64DA0">
    <w:pPr>
      <w:pStyle w:val="EPFooter2"/>
    </w:pPr>
    <w:r w:rsidRPr="00FC77BA">
      <w:t>HR</w:t>
    </w:r>
    <w:r w:rsidRPr="00FC77BA">
      <w:tab/>
    </w:r>
    <w:r w:rsidRPr="00FC77BA">
      <w:rPr>
        <w:b w:val="0"/>
        <w:i/>
        <w:color w:val="C0C0C0"/>
        <w:sz w:val="22"/>
      </w:rPr>
      <w:t>Ujedinjena u raznolikosti</w:t>
    </w:r>
    <w:r w:rsidRPr="00FC77BA">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77B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77B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77B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622A" w:rsidRPr="00FC77BA" w:rsidRDefault="0008622A">
      <w:r w:rsidRPr="00FC77BA">
        <w:separator/>
      </w:r>
    </w:p>
  </w:footnote>
  <w:footnote w:type="continuationSeparator" w:id="0">
    <w:p w:rsidR="0008622A" w:rsidRPr="00FC77BA" w:rsidRDefault="0008622A">
      <w:r w:rsidRPr="00FC77BA">
        <w:continuationSeparator/>
      </w:r>
    </w:p>
  </w:footnote>
  <w:footnote w:id="1">
    <w:p w:rsidR="006B3F04" w:rsidRPr="00FC77BA" w:rsidRDefault="006B3F04" w:rsidP="00FC77BA">
      <w:pPr>
        <w:pStyle w:val="FootnoteText"/>
        <w:ind w:left="567" w:hanging="567"/>
        <w:rPr>
          <w:sz w:val="24"/>
          <w:lang w:val="hr-HR"/>
        </w:rPr>
      </w:pPr>
      <w:r w:rsidRPr="00FC77BA">
        <w:rPr>
          <w:rStyle w:val="FootnoteReference"/>
          <w:sz w:val="24"/>
          <w:lang w:val="hr-HR"/>
        </w:rPr>
        <w:footnoteRef/>
      </w:r>
      <w:r w:rsidR="00FC77BA" w:rsidRPr="00FC77BA">
        <w:rPr>
          <w:sz w:val="24"/>
          <w:lang w:val="hr-HR"/>
        </w:rPr>
        <w:t xml:space="preserve"> </w:t>
      </w:r>
      <w:r w:rsidR="00FC77BA" w:rsidRPr="00FC77BA">
        <w:rPr>
          <w:sz w:val="24"/>
          <w:lang w:val="hr-HR"/>
        </w:rPr>
        <w:tab/>
      </w:r>
      <w:r w:rsidRPr="00FC77BA">
        <w:rPr>
          <w:sz w:val="24"/>
          <w:lang w:val="hr-HR"/>
        </w:rPr>
        <w:t>SL C</w:t>
      </w:r>
      <w:r w:rsidR="009C2DC3">
        <w:rPr>
          <w:sz w:val="24"/>
          <w:lang w:val="hr-HR"/>
        </w:rPr>
        <w:t>,</w:t>
      </w:r>
      <w:r w:rsidRPr="00FC77BA">
        <w:rPr>
          <w:sz w:val="24"/>
          <w:lang w:val="hr-HR"/>
        </w:rPr>
        <w:t xml:space="preserve"> C/2023/594, 27.10.2023.</w:t>
      </w:r>
    </w:p>
  </w:footnote>
  <w:footnote w:id="2">
    <w:p w:rsidR="006B3F04" w:rsidRPr="00FC77BA" w:rsidRDefault="006B3F04" w:rsidP="00FC77BA">
      <w:pPr>
        <w:pStyle w:val="FootnoteText"/>
        <w:ind w:left="567" w:hanging="567"/>
        <w:rPr>
          <w:sz w:val="24"/>
          <w:lang w:val="hr-HR"/>
        </w:rPr>
      </w:pPr>
      <w:r w:rsidRPr="00FC77BA">
        <w:rPr>
          <w:rStyle w:val="FootnoteReference"/>
          <w:sz w:val="24"/>
          <w:lang w:val="hr-HR"/>
        </w:rPr>
        <w:footnoteRef/>
      </w:r>
      <w:r w:rsidR="00FC77BA" w:rsidRPr="00FC77BA">
        <w:rPr>
          <w:sz w:val="24"/>
          <w:lang w:val="hr-HR"/>
        </w:rPr>
        <w:t xml:space="preserve"> </w:t>
      </w:r>
      <w:r w:rsidR="00FC77BA" w:rsidRPr="00FC77BA">
        <w:rPr>
          <w:sz w:val="24"/>
          <w:lang w:val="hr-HR"/>
        </w:rPr>
        <w:tab/>
      </w:r>
      <w:r w:rsidRPr="00FC77BA">
        <w:rPr>
          <w:sz w:val="24"/>
          <w:lang w:val="hr-HR"/>
        </w:rPr>
        <w:t>SL C</w:t>
      </w:r>
      <w:r w:rsidR="009C2DC3">
        <w:rPr>
          <w:sz w:val="24"/>
          <w:lang w:val="hr-HR"/>
        </w:rPr>
        <w:t>,</w:t>
      </w:r>
      <w:r w:rsidRPr="00FC77BA">
        <w:rPr>
          <w:sz w:val="24"/>
          <w:lang w:val="hr-HR"/>
        </w:rPr>
        <w:t xml:space="preserve"> C/2023/112, 12.10.2023.</w:t>
      </w:r>
    </w:p>
  </w:footnote>
  <w:footnote w:id="3">
    <w:p w:rsidR="006B3F04" w:rsidRPr="00FC77BA" w:rsidRDefault="006B3F04" w:rsidP="00FC77BA">
      <w:pPr>
        <w:pStyle w:val="FootnoteText"/>
        <w:ind w:left="567" w:hanging="567"/>
        <w:rPr>
          <w:sz w:val="24"/>
          <w:lang w:val="hr-HR"/>
        </w:rPr>
      </w:pPr>
      <w:r w:rsidRPr="00FC77BA">
        <w:rPr>
          <w:rStyle w:val="FootnoteReference"/>
          <w:sz w:val="24"/>
          <w:lang w:val="hr-HR"/>
        </w:rPr>
        <w:footnoteRef/>
      </w:r>
      <w:r w:rsidR="00FC77BA" w:rsidRPr="00FC77BA">
        <w:rPr>
          <w:sz w:val="24"/>
          <w:lang w:val="hr-HR"/>
        </w:rPr>
        <w:t xml:space="preserve"> </w:t>
      </w:r>
      <w:r w:rsidR="00FC77BA" w:rsidRPr="00FC77BA">
        <w:rPr>
          <w:sz w:val="24"/>
          <w:lang w:val="hr-HR"/>
        </w:rPr>
        <w:tab/>
      </w:r>
      <w:r w:rsidRPr="00FC77BA">
        <w:rPr>
          <w:sz w:val="24"/>
          <w:lang w:val="hr-HR"/>
        </w:rPr>
        <w:t>SL L 193, 30.7.2018., str. 1.</w:t>
      </w:r>
    </w:p>
  </w:footnote>
  <w:footnote w:id="4">
    <w:p w:rsidR="006B3F04" w:rsidRPr="00FC77BA" w:rsidRDefault="006B3F04" w:rsidP="00FC77BA">
      <w:pPr>
        <w:pStyle w:val="FootnoteText"/>
        <w:ind w:left="567" w:hanging="567"/>
        <w:rPr>
          <w:sz w:val="24"/>
          <w:lang w:val="hr-HR"/>
        </w:rPr>
      </w:pPr>
      <w:r w:rsidRPr="00FC77BA">
        <w:rPr>
          <w:rStyle w:val="FootnoteReference"/>
          <w:sz w:val="24"/>
          <w:lang w:val="hr-HR"/>
        </w:rPr>
        <w:footnoteRef/>
      </w:r>
      <w:r w:rsidR="00FC77BA" w:rsidRPr="00FC77BA">
        <w:rPr>
          <w:sz w:val="24"/>
          <w:lang w:val="hr-HR"/>
        </w:rPr>
        <w:t xml:space="preserve"> </w:t>
      </w:r>
      <w:r w:rsidR="00FC77BA" w:rsidRPr="00FC77BA">
        <w:rPr>
          <w:sz w:val="24"/>
          <w:lang w:val="hr-HR"/>
        </w:rPr>
        <w:tab/>
      </w:r>
      <w:r w:rsidRPr="00FC77BA">
        <w:rPr>
          <w:sz w:val="24"/>
          <w:lang w:val="hr-HR"/>
        </w:rPr>
        <w:t>SL L 403, 30.12.2006., str. 9.</w:t>
      </w:r>
    </w:p>
  </w:footnote>
  <w:footnote w:id="5">
    <w:p w:rsidR="006B3F04" w:rsidRPr="00FC77BA" w:rsidRDefault="006B3F04" w:rsidP="00FC77BA">
      <w:pPr>
        <w:pStyle w:val="FootnoteText"/>
        <w:ind w:left="567" w:hanging="567"/>
        <w:rPr>
          <w:sz w:val="24"/>
          <w:lang w:val="hr-HR"/>
        </w:rPr>
      </w:pPr>
      <w:r w:rsidRPr="00FC77BA">
        <w:rPr>
          <w:rStyle w:val="FootnoteReference"/>
          <w:sz w:val="24"/>
          <w:lang w:val="hr-HR"/>
        </w:rPr>
        <w:footnoteRef/>
      </w:r>
      <w:r w:rsidR="00FC77BA" w:rsidRPr="00FC77BA">
        <w:rPr>
          <w:sz w:val="24"/>
          <w:lang w:val="hr-HR"/>
        </w:rPr>
        <w:t xml:space="preserve"> </w:t>
      </w:r>
      <w:r w:rsidR="00FC77BA" w:rsidRPr="00FC77BA">
        <w:rPr>
          <w:sz w:val="24"/>
          <w:lang w:val="hr-HR"/>
        </w:rPr>
        <w:tab/>
      </w:r>
      <w:r w:rsidRPr="00FC77BA">
        <w:rPr>
          <w:sz w:val="24"/>
          <w:lang w:val="hr-HR"/>
        </w:rPr>
        <w:t>SL L 122, 10.5.2019., str. 1.</w:t>
      </w:r>
    </w:p>
  </w:footnote>
  <w:footnote w:id="6">
    <w:p w:rsidR="006B3F04" w:rsidRPr="00FC77BA" w:rsidRDefault="006B3F04" w:rsidP="00FC77BA">
      <w:pPr>
        <w:pStyle w:val="FootnoteText"/>
        <w:ind w:left="567" w:hanging="567"/>
        <w:rPr>
          <w:sz w:val="24"/>
          <w:lang w:val="hr-HR"/>
        </w:rPr>
      </w:pPr>
      <w:r w:rsidRPr="00FC77BA">
        <w:rPr>
          <w:rStyle w:val="FootnoteReference"/>
          <w:sz w:val="24"/>
          <w:lang w:val="hr-HR"/>
        </w:rPr>
        <w:footnoteRef/>
      </w:r>
      <w:r w:rsidR="00FC77BA" w:rsidRPr="00FC77BA">
        <w:rPr>
          <w:sz w:val="24"/>
          <w:lang w:val="hr-HR"/>
        </w:rPr>
        <w:t xml:space="preserve"> </w:t>
      </w:r>
      <w:r w:rsidR="00FC77BA" w:rsidRPr="00FC77BA">
        <w:rPr>
          <w:sz w:val="24"/>
          <w:lang w:val="hr-HR"/>
        </w:rPr>
        <w:tab/>
      </w:r>
      <w:r w:rsidRPr="00FC77BA">
        <w:rPr>
          <w:sz w:val="24"/>
          <w:lang w:val="hr-HR"/>
        </w:rPr>
        <w:t>SL C</w:t>
      </w:r>
      <w:r w:rsidR="009C2DC3">
        <w:rPr>
          <w:sz w:val="24"/>
          <w:lang w:val="hr-HR"/>
        </w:rPr>
        <w:t>,</w:t>
      </w:r>
      <w:r w:rsidRPr="00FC77BA">
        <w:rPr>
          <w:sz w:val="24"/>
          <w:lang w:val="hr-HR"/>
        </w:rPr>
        <w:t xml:space="preserve"> C/2023/594, 27.10.2023.</w:t>
      </w:r>
    </w:p>
  </w:footnote>
  <w:footnote w:id="7">
    <w:p w:rsidR="006B3F04" w:rsidRPr="00FC77BA" w:rsidRDefault="006B3F04" w:rsidP="00FC77BA">
      <w:pPr>
        <w:pStyle w:val="FootnoteText"/>
        <w:ind w:left="567" w:hanging="567"/>
        <w:rPr>
          <w:sz w:val="24"/>
          <w:lang w:val="hr-HR"/>
        </w:rPr>
      </w:pPr>
      <w:r w:rsidRPr="00FC77BA">
        <w:rPr>
          <w:rStyle w:val="FootnoteReference"/>
          <w:sz w:val="24"/>
          <w:lang w:val="hr-HR"/>
        </w:rPr>
        <w:footnoteRef/>
      </w:r>
      <w:r w:rsidR="00FC77BA" w:rsidRPr="00FC77BA">
        <w:rPr>
          <w:sz w:val="24"/>
          <w:lang w:val="hr-HR"/>
        </w:rPr>
        <w:t xml:space="preserve"> </w:t>
      </w:r>
      <w:r w:rsidR="00FC77BA" w:rsidRPr="00FC77BA">
        <w:rPr>
          <w:sz w:val="24"/>
          <w:lang w:val="hr-HR"/>
        </w:rPr>
        <w:tab/>
      </w:r>
      <w:r w:rsidRPr="00FC77BA">
        <w:rPr>
          <w:sz w:val="24"/>
          <w:lang w:val="hr-HR"/>
        </w:rPr>
        <w:t xml:space="preserve">SL </w:t>
      </w:r>
      <w:r w:rsidRPr="00FC77BA">
        <w:rPr>
          <w:sz w:val="24"/>
          <w:lang w:val="hr-HR"/>
        </w:rPr>
        <w:t>C</w:t>
      </w:r>
      <w:r w:rsidR="009C2DC3">
        <w:rPr>
          <w:sz w:val="24"/>
          <w:lang w:val="hr-HR"/>
        </w:rPr>
        <w:t>,</w:t>
      </w:r>
      <w:bookmarkStart w:id="9" w:name="_GoBack"/>
      <w:bookmarkEnd w:id="9"/>
      <w:r w:rsidRPr="00FC77BA">
        <w:rPr>
          <w:sz w:val="24"/>
          <w:lang w:val="hr-HR"/>
        </w:rPr>
        <w:t xml:space="preserve"> C/2023/112, 12.10.2023.</w:t>
      </w:r>
    </w:p>
  </w:footnote>
  <w:footnote w:id="8">
    <w:p w:rsidR="006B3F04" w:rsidRPr="00FC77BA" w:rsidRDefault="006B3F04" w:rsidP="00FC77BA">
      <w:pPr>
        <w:pStyle w:val="FootnoteText"/>
        <w:ind w:left="567" w:hanging="567"/>
        <w:rPr>
          <w:sz w:val="24"/>
          <w:lang w:val="hr-HR"/>
        </w:rPr>
      </w:pPr>
      <w:r w:rsidRPr="00FC77BA">
        <w:rPr>
          <w:rStyle w:val="FootnoteReference"/>
          <w:sz w:val="24"/>
          <w:lang w:val="hr-HR"/>
        </w:rPr>
        <w:footnoteRef/>
      </w:r>
      <w:r w:rsidR="00FC77BA" w:rsidRPr="00FC77BA">
        <w:rPr>
          <w:sz w:val="24"/>
          <w:lang w:val="hr-HR"/>
        </w:rPr>
        <w:t xml:space="preserve"> </w:t>
      </w:r>
      <w:r w:rsidR="00FC77BA" w:rsidRPr="00FC77BA">
        <w:rPr>
          <w:sz w:val="24"/>
          <w:lang w:val="hr-HR"/>
        </w:rPr>
        <w:tab/>
      </w:r>
      <w:r w:rsidRPr="00FC77BA">
        <w:rPr>
          <w:sz w:val="24"/>
          <w:lang w:val="hr-HR"/>
        </w:rPr>
        <w:t>SL L 193, 30.7.2018., str. 1.</w:t>
      </w:r>
    </w:p>
  </w:footnote>
  <w:footnote w:id="9">
    <w:p w:rsidR="006B3F04" w:rsidRPr="00FC77BA" w:rsidRDefault="006B3F04" w:rsidP="00FC77BA">
      <w:pPr>
        <w:pStyle w:val="FootnoteText"/>
        <w:ind w:left="567" w:hanging="567"/>
        <w:rPr>
          <w:sz w:val="24"/>
          <w:lang w:val="hr-HR"/>
        </w:rPr>
      </w:pPr>
      <w:r w:rsidRPr="00FC77BA">
        <w:rPr>
          <w:rStyle w:val="FootnoteReference"/>
          <w:sz w:val="24"/>
          <w:lang w:val="hr-HR"/>
        </w:rPr>
        <w:footnoteRef/>
      </w:r>
      <w:r w:rsidR="00FC77BA" w:rsidRPr="00FC77BA">
        <w:rPr>
          <w:sz w:val="24"/>
          <w:lang w:val="hr-HR"/>
        </w:rPr>
        <w:t xml:space="preserve"> </w:t>
      </w:r>
      <w:r w:rsidR="00FC77BA" w:rsidRPr="00FC77BA">
        <w:rPr>
          <w:sz w:val="24"/>
          <w:lang w:val="hr-HR"/>
        </w:rPr>
        <w:tab/>
      </w:r>
      <w:r w:rsidRPr="00FC77BA">
        <w:rPr>
          <w:sz w:val="24"/>
          <w:lang w:val="hr-HR"/>
        </w:rPr>
        <w:t>SL L 403, 30.12.2006., str. 9.</w:t>
      </w:r>
    </w:p>
  </w:footnote>
  <w:footnote w:id="10">
    <w:p w:rsidR="006B3F04" w:rsidRPr="00FC77BA" w:rsidRDefault="006B3F04" w:rsidP="00FC77BA">
      <w:pPr>
        <w:pStyle w:val="FootnoteText"/>
        <w:ind w:left="567" w:hanging="567"/>
        <w:rPr>
          <w:sz w:val="24"/>
          <w:lang w:val="hr-HR"/>
        </w:rPr>
      </w:pPr>
      <w:r w:rsidRPr="00FC77BA">
        <w:rPr>
          <w:rStyle w:val="FootnoteReference"/>
          <w:sz w:val="24"/>
          <w:lang w:val="hr-HR"/>
        </w:rPr>
        <w:footnoteRef/>
      </w:r>
      <w:r w:rsidR="00FC77BA" w:rsidRPr="00FC77BA">
        <w:rPr>
          <w:sz w:val="24"/>
          <w:lang w:val="hr-HR"/>
        </w:rPr>
        <w:t xml:space="preserve"> </w:t>
      </w:r>
      <w:r w:rsidR="00FC77BA" w:rsidRPr="00FC77BA">
        <w:rPr>
          <w:sz w:val="24"/>
          <w:lang w:val="hr-HR"/>
        </w:rPr>
        <w:tab/>
      </w:r>
      <w:r w:rsidRPr="00FC77BA">
        <w:rPr>
          <w:sz w:val="24"/>
          <w:lang w:val="hr-HR"/>
        </w:rPr>
        <w:t>SL L 122, 10.5.2019., str. 1.</w:t>
      </w:r>
    </w:p>
  </w:footnote>
  <w:footnote w:id="11">
    <w:p w:rsidR="006B3F04" w:rsidRPr="00FC77BA" w:rsidRDefault="006B3F04" w:rsidP="00FC77BA">
      <w:pPr>
        <w:pStyle w:val="FootnoteText"/>
        <w:ind w:left="567" w:hanging="567"/>
        <w:rPr>
          <w:sz w:val="24"/>
          <w:lang w:val="hr-HR"/>
        </w:rPr>
      </w:pPr>
      <w:r w:rsidRPr="00FC77BA">
        <w:rPr>
          <w:rStyle w:val="FootnoteReference"/>
          <w:sz w:val="24"/>
          <w:lang w:val="hr-HR"/>
        </w:rPr>
        <w:footnoteRef/>
      </w:r>
      <w:r w:rsidR="00FC77BA" w:rsidRPr="00FC77BA">
        <w:rPr>
          <w:sz w:val="24"/>
          <w:lang w:val="hr-HR"/>
        </w:rPr>
        <w:t xml:space="preserve"> </w:t>
      </w:r>
      <w:r w:rsidR="00FC77BA" w:rsidRPr="00FC77BA">
        <w:rPr>
          <w:sz w:val="24"/>
          <w:lang w:val="hr-HR"/>
        </w:rPr>
        <w:tab/>
      </w:r>
      <w:r w:rsidRPr="00FC77BA">
        <w:rPr>
          <w:sz w:val="24"/>
          <w:lang w:val="hr-HR"/>
        </w:rPr>
        <w:t>SL C 38, 31.1.2023., str. 63.</w:t>
      </w:r>
    </w:p>
  </w:footnote>
  <w:footnote w:id="12">
    <w:p w:rsidR="006B3F04" w:rsidRPr="00FC77BA" w:rsidRDefault="006B3F04" w:rsidP="00FC77BA">
      <w:pPr>
        <w:pStyle w:val="FootnoteText"/>
        <w:ind w:left="567" w:hanging="567"/>
        <w:rPr>
          <w:sz w:val="24"/>
          <w:lang w:val="hr-HR"/>
        </w:rPr>
      </w:pPr>
      <w:r w:rsidRPr="00FC77BA">
        <w:rPr>
          <w:rStyle w:val="FootnoteReference"/>
          <w:sz w:val="24"/>
          <w:lang w:val="hr-HR"/>
        </w:rPr>
        <w:footnoteRef/>
      </w:r>
      <w:r w:rsidR="00FC77BA" w:rsidRPr="00FC77BA">
        <w:rPr>
          <w:sz w:val="24"/>
          <w:lang w:val="hr-HR"/>
        </w:rPr>
        <w:t xml:space="preserve"> </w:t>
      </w:r>
      <w:r w:rsidR="00FC77BA" w:rsidRPr="00FC77BA">
        <w:rPr>
          <w:sz w:val="24"/>
          <w:lang w:val="hr-HR"/>
        </w:rPr>
        <w:tab/>
      </w:r>
      <w:r w:rsidRPr="00FC77BA">
        <w:rPr>
          <w:sz w:val="24"/>
          <w:lang w:val="hr-HR"/>
        </w:rPr>
        <w:t>https://eige.europa.eu/gender-equality-index/2023</w:t>
      </w:r>
    </w:p>
  </w:footnote>
  <w:footnote w:id="13">
    <w:p w:rsidR="006B3F04" w:rsidRPr="00FC77BA" w:rsidRDefault="006B3F04" w:rsidP="00FC77BA">
      <w:pPr>
        <w:pStyle w:val="FootnoteText"/>
        <w:ind w:left="567" w:hanging="567"/>
        <w:rPr>
          <w:sz w:val="24"/>
          <w:lang w:val="hr-HR"/>
        </w:rPr>
      </w:pPr>
      <w:r w:rsidRPr="00FC77BA">
        <w:rPr>
          <w:rStyle w:val="FootnoteReference"/>
          <w:sz w:val="24"/>
          <w:lang w:val="hr-HR"/>
        </w:rPr>
        <w:footnoteRef/>
      </w:r>
      <w:r w:rsidR="00FC77BA" w:rsidRPr="00FC77BA">
        <w:rPr>
          <w:sz w:val="24"/>
          <w:lang w:val="hr-HR"/>
        </w:rPr>
        <w:t xml:space="preserve"> </w:t>
      </w:r>
      <w:r w:rsidR="00FC77BA" w:rsidRPr="00FC77BA">
        <w:rPr>
          <w:sz w:val="24"/>
          <w:lang w:val="hr-HR"/>
        </w:rPr>
        <w:tab/>
      </w:r>
      <w:r w:rsidRPr="00FC77BA">
        <w:rPr>
          <w:sz w:val="24"/>
          <w:lang w:val="hr-HR"/>
        </w:rPr>
        <w:t xml:space="preserve">Presuda Suda (drugo vijeće) od 11. studenoga 2021., </w:t>
      </w:r>
      <w:r w:rsidRPr="00FC77BA">
        <w:rPr>
          <w:i/>
          <w:sz w:val="24"/>
          <w:lang w:val="hr-HR"/>
        </w:rPr>
        <w:t>UAB „</w:t>
      </w:r>
      <w:proofErr w:type="spellStart"/>
      <w:r w:rsidRPr="00FC77BA">
        <w:rPr>
          <w:i/>
          <w:sz w:val="24"/>
          <w:lang w:val="hr-HR"/>
        </w:rPr>
        <w:t>Manpower</w:t>
      </w:r>
      <w:proofErr w:type="spellEnd"/>
      <w:r w:rsidRPr="00FC77BA">
        <w:rPr>
          <w:i/>
          <w:sz w:val="24"/>
          <w:lang w:val="hr-HR"/>
        </w:rPr>
        <w:t xml:space="preserve"> Lit”</w:t>
      </w:r>
      <w:r w:rsidRPr="00FC77BA">
        <w:rPr>
          <w:sz w:val="24"/>
          <w:lang w:val="hr-HR"/>
        </w:rPr>
        <w:t>/</w:t>
      </w:r>
      <w:r w:rsidRPr="00FC77BA">
        <w:rPr>
          <w:i/>
          <w:sz w:val="24"/>
          <w:lang w:val="hr-HR"/>
        </w:rPr>
        <w:t>E.S. i dr.</w:t>
      </w:r>
      <w:r w:rsidRPr="00FC77BA">
        <w:rPr>
          <w:sz w:val="24"/>
          <w:lang w:val="hr-HR"/>
        </w:rPr>
        <w:t>, ECLI:EU:C:2021:624.</w:t>
      </w:r>
    </w:p>
  </w:footnote>
  <w:footnote w:id="14">
    <w:p w:rsidR="006B3F04" w:rsidRPr="00FC77BA" w:rsidRDefault="006B3F04" w:rsidP="00FC77BA">
      <w:pPr>
        <w:pStyle w:val="FootnoteText"/>
        <w:ind w:left="567" w:hanging="567"/>
        <w:rPr>
          <w:sz w:val="24"/>
          <w:lang w:val="hr-HR"/>
        </w:rPr>
      </w:pPr>
      <w:r w:rsidRPr="00FC77BA">
        <w:rPr>
          <w:rStyle w:val="FootnoteReference"/>
          <w:sz w:val="24"/>
          <w:lang w:val="hr-HR"/>
        </w:rPr>
        <w:footnoteRef/>
      </w:r>
      <w:r w:rsidR="00FC77BA" w:rsidRPr="00FC77BA">
        <w:rPr>
          <w:sz w:val="24"/>
          <w:lang w:val="hr-HR"/>
        </w:rPr>
        <w:t xml:space="preserve"> </w:t>
      </w:r>
      <w:r w:rsidR="00FC77BA" w:rsidRPr="00FC77BA">
        <w:rPr>
          <w:sz w:val="24"/>
          <w:lang w:val="hr-HR"/>
        </w:rPr>
        <w:tab/>
      </w:r>
      <w:r w:rsidRPr="00FC77BA">
        <w:rPr>
          <w:sz w:val="24"/>
          <w:lang w:val="hr-HR"/>
        </w:rPr>
        <w:t>Direktiva 2008/104/EZ Europskog parlamenta i Vijeća od 19. studenoga 2008. o radu preko poduzeća za privremeno zapošljavanje (SL L 327, 5.12.2008., str. 9.).</w:t>
      </w:r>
    </w:p>
  </w:footnote>
  <w:footnote w:id="15">
    <w:p w:rsidR="006B3F04" w:rsidRPr="00FC77BA" w:rsidRDefault="006B3F04" w:rsidP="00FC77BA">
      <w:pPr>
        <w:pStyle w:val="FootnoteText"/>
        <w:ind w:left="567" w:hanging="567"/>
        <w:rPr>
          <w:sz w:val="24"/>
          <w:lang w:val="hr-HR"/>
        </w:rPr>
      </w:pPr>
      <w:r w:rsidRPr="00FC77BA">
        <w:rPr>
          <w:rStyle w:val="FootnoteReference"/>
          <w:sz w:val="24"/>
          <w:lang w:val="hr-HR"/>
        </w:rPr>
        <w:footnoteRef/>
      </w:r>
      <w:r w:rsidR="00FC77BA" w:rsidRPr="00FC77BA">
        <w:rPr>
          <w:sz w:val="24"/>
          <w:lang w:val="hr-HR"/>
        </w:rPr>
        <w:t xml:space="preserve"> </w:t>
      </w:r>
      <w:r w:rsidR="00FC77BA" w:rsidRPr="00FC77BA">
        <w:rPr>
          <w:sz w:val="24"/>
          <w:lang w:val="hr-HR"/>
        </w:rPr>
        <w:tab/>
      </w:r>
      <w:r w:rsidRPr="00FC77BA">
        <w:rPr>
          <w:sz w:val="24"/>
          <w:lang w:val="hr-HR"/>
        </w:rPr>
        <w:t>Uredba (EZ) br. 1922/2006 Europskog parlamenta i Vijeća od 20. prosinca 2006. o osnivanju Europskog instituta za ravnopravnost spolova (SL L 403, 30.12.2006., str. 9.).</w:t>
      </w:r>
    </w:p>
  </w:footnote>
  <w:footnote w:id="16">
    <w:p w:rsidR="006B3F04" w:rsidRPr="00FC77BA" w:rsidRDefault="006B3F04" w:rsidP="00FC77BA">
      <w:pPr>
        <w:pStyle w:val="FootnoteText"/>
        <w:ind w:left="567" w:hanging="567"/>
        <w:rPr>
          <w:sz w:val="24"/>
          <w:lang w:val="hr-HR"/>
        </w:rPr>
      </w:pPr>
      <w:r w:rsidRPr="00FC77BA">
        <w:rPr>
          <w:rStyle w:val="FootnoteReference"/>
          <w:sz w:val="24"/>
          <w:lang w:val="hr-HR"/>
        </w:rPr>
        <w:footnoteRef/>
      </w:r>
      <w:r w:rsidR="00FC77BA" w:rsidRPr="00FC77BA">
        <w:rPr>
          <w:sz w:val="24"/>
          <w:lang w:val="hr-HR"/>
        </w:rPr>
        <w:t xml:space="preserve"> </w:t>
      </w:r>
      <w:r w:rsidR="00FC77BA" w:rsidRPr="00FC77BA">
        <w:rPr>
          <w:sz w:val="24"/>
          <w:lang w:val="hr-HR"/>
        </w:rPr>
        <w:tab/>
      </w:r>
      <w:r w:rsidRPr="00FC77BA">
        <w:rPr>
          <w:sz w:val="24"/>
          <w:lang w:val="hr-HR"/>
        </w:rPr>
        <w:t>Us</w:t>
      </w:r>
      <w:r w:rsidR="00D8144C">
        <w:rPr>
          <w:sz w:val="24"/>
          <w:lang w:val="hr-HR"/>
        </w:rPr>
        <w:t>vojeni tekstovi, P9_TA(2024)0280</w:t>
      </w:r>
      <w:r w:rsidRPr="00FC77BA">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77B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77B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77B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6/2024"/>
    <w:docVar w:name="dvlangue" w:val="HR"/>
    <w:docVar w:name="dvnumam" w:val="0"/>
    <w:docVar w:name="dvpe" w:val="753.520"/>
    <w:docVar w:name="dvrapporteur" w:val="Izvjestitelj: "/>
    <w:docVar w:name="dvtitre" w:val="Odluka Europskog parlamenta od .... 2024. o razrješnici za izvršenje proračuna Europskog instituta za ravnopravnost spolova za financijsku godinu 2022.(2023/2152(DEC))"/>
  </w:docVars>
  <w:rsids>
    <w:rsidRoot w:val="0008622A"/>
    <w:rsid w:val="00002272"/>
    <w:rsid w:val="00064002"/>
    <w:rsid w:val="000677B9"/>
    <w:rsid w:val="000831BA"/>
    <w:rsid w:val="0008622A"/>
    <w:rsid w:val="000A42CC"/>
    <w:rsid w:val="000E7DD9"/>
    <w:rsid w:val="0010095E"/>
    <w:rsid w:val="00125B37"/>
    <w:rsid w:val="00187494"/>
    <w:rsid w:val="001F32AE"/>
    <w:rsid w:val="002767FF"/>
    <w:rsid w:val="002B18FE"/>
    <w:rsid w:val="002B5493"/>
    <w:rsid w:val="00343214"/>
    <w:rsid w:val="00361C00"/>
    <w:rsid w:val="00395FA1"/>
    <w:rsid w:val="003A403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3F0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2DC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144C"/>
    <w:rsid w:val="00D834A0"/>
    <w:rsid w:val="00D872DF"/>
    <w:rsid w:val="00D91E21"/>
    <w:rsid w:val="00DA7FCD"/>
    <w:rsid w:val="00E365E1"/>
    <w:rsid w:val="00E820A4"/>
    <w:rsid w:val="00EB006A"/>
    <w:rsid w:val="00EB4772"/>
    <w:rsid w:val="00ED169E"/>
    <w:rsid w:val="00ED4235"/>
    <w:rsid w:val="00F00182"/>
    <w:rsid w:val="00F04346"/>
    <w:rsid w:val="00F075DC"/>
    <w:rsid w:val="00F149E9"/>
    <w:rsid w:val="00F21870"/>
    <w:rsid w:val="00F5134D"/>
    <w:rsid w:val="00F74202"/>
    <w:rsid w:val="00F87713"/>
    <w:rsid w:val="00FB4360"/>
    <w:rsid w:val="00FC77BA"/>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EDE16"/>
  <w15:chartTrackingRefBased/>
  <w15:docId w15:val="{952E325E-15B3-45A8-8041-EB6D90B0B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B3F0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B3F04"/>
    <w:pPr>
      <w:spacing w:before="480" w:after="240"/>
    </w:pPr>
  </w:style>
  <w:style w:type="paragraph" w:customStyle="1" w:styleId="PageHeading">
    <w:name w:val="PageHeading"/>
    <w:basedOn w:val="Normal"/>
    <w:rsid w:val="006B3F04"/>
    <w:pPr>
      <w:keepNext/>
      <w:spacing w:after="480"/>
      <w:jc w:val="center"/>
    </w:pPr>
    <w:rPr>
      <w:rFonts w:ascii="Arial" w:hAnsi="Arial" w:cs="Arial"/>
      <w:b/>
    </w:rPr>
  </w:style>
  <w:style w:type="paragraph" w:customStyle="1" w:styleId="NormalBold">
    <w:name w:val="NormalBold"/>
    <w:basedOn w:val="Normal"/>
    <w:rsid w:val="006B3F04"/>
    <w:rPr>
      <w:b/>
    </w:rPr>
  </w:style>
  <w:style w:type="paragraph" w:customStyle="1" w:styleId="NormalHanging12a">
    <w:name w:val="NormalHanging12a"/>
    <w:basedOn w:val="Normal"/>
    <w:link w:val="NormalHanging12aChar"/>
    <w:rsid w:val="006B3F04"/>
    <w:pPr>
      <w:spacing w:after="240"/>
      <w:ind w:left="567" w:hanging="567"/>
    </w:pPr>
  </w:style>
  <w:style w:type="paragraph" w:customStyle="1" w:styleId="NormalCenter12a">
    <w:name w:val="NormalCenter12a"/>
    <w:basedOn w:val="Normal"/>
    <w:rsid w:val="006B3F04"/>
    <w:pPr>
      <w:spacing w:after="240"/>
      <w:jc w:val="center"/>
    </w:pPr>
  </w:style>
  <w:style w:type="paragraph" w:styleId="Header">
    <w:name w:val="header"/>
    <w:basedOn w:val="Normal"/>
    <w:link w:val="HeaderChar"/>
    <w:rsid w:val="006B3F04"/>
    <w:pPr>
      <w:tabs>
        <w:tab w:val="center" w:pos="4513"/>
        <w:tab w:val="right" w:pos="9026"/>
      </w:tabs>
    </w:pPr>
  </w:style>
  <w:style w:type="character" w:customStyle="1" w:styleId="HeaderChar">
    <w:name w:val="Header Char"/>
    <w:basedOn w:val="DefaultParagraphFont"/>
    <w:link w:val="Header"/>
    <w:rsid w:val="006B3F04"/>
    <w:rPr>
      <w:sz w:val="24"/>
      <w:lang w:val="hr-HR"/>
    </w:rPr>
  </w:style>
  <w:style w:type="paragraph" w:customStyle="1" w:styleId="EPFooter">
    <w:name w:val="EPFooter"/>
    <w:basedOn w:val="Normal"/>
    <w:rsid w:val="006B3F04"/>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6B3F04"/>
    <w:rPr>
      <w:sz w:val="24"/>
    </w:rPr>
  </w:style>
  <w:style w:type="paragraph" w:customStyle="1" w:styleId="Normal12Hanging">
    <w:name w:val="Normal12Hanging"/>
    <w:basedOn w:val="Normal"/>
    <w:link w:val="Normal12HangingChar"/>
    <w:rsid w:val="006B3F04"/>
    <w:pPr>
      <w:spacing w:after="240"/>
      <w:ind w:left="567" w:hanging="567"/>
    </w:pPr>
    <w:rPr>
      <w:lang w:val="en-GB"/>
    </w:rPr>
  </w:style>
  <w:style w:type="character" w:customStyle="1" w:styleId="NormalHanging12aChar">
    <w:name w:val="NormalHanging12a Char"/>
    <w:basedOn w:val="DefaultParagraphFont"/>
    <w:link w:val="NormalHanging12a"/>
    <w:rsid w:val="006B3F04"/>
    <w:rPr>
      <w:sz w:val="24"/>
      <w:lang w:val="hr-HR"/>
    </w:rPr>
  </w:style>
  <w:style w:type="paragraph" w:customStyle="1" w:styleId="Normal24a">
    <w:name w:val="Normal24a"/>
    <w:basedOn w:val="Normal"/>
    <w:rsid w:val="006B3F04"/>
    <w:pPr>
      <w:spacing w:after="480"/>
    </w:pPr>
  </w:style>
  <w:style w:type="paragraph" w:customStyle="1" w:styleId="Normal12a">
    <w:name w:val="Normal12a"/>
    <w:basedOn w:val="Normal"/>
    <w:rsid w:val="006B3F04"/>
    <w:pPr>
      <w:spacing w:after="240"/>
    </w:pPr>
  </w:style>
  <w:style w:type="paragraph" w:customStyle="1" w:styleId="PageHeadingNotTOC">
    <w:name w:val="PageHeadingNotTOC"/>
    <w:basedOn w:val="Normal"/>
    <w:rsid w:val="006B3F04"/>
    <w:pPr>
      <w:keepNext/>
      <w:spacing w:after="480"/>
      <w:jc w:val="center"/>
    </w:pPr>
    <w:rPr>
      <w:rFonts w:ascii="Arial" w:hAnsi="Arial" w:cs="Arial"/>
      <w:b/>
    </w:rPr>
  </w:style>
  <w:style w:type="paragraph" w:styleId="Footer">
    <w:name w:val="footer"/>
    <w:basedOn w:val="Normal"/>
    <w:link w:val="FooterChar"/>
    <w:rsid w:val="00F21870"/>
    <w:pPr>
      <w:tabs>
        <w:tab w:val="center" w:pos="4513"/>
        <w:tab w:val="right" w:pos="9026"/>
      </w:tabs>
    </w:pPr>
  </w:style>
  <w:style w:type="character" w:customStyle="1" w:styleId="FooterChar">
    <w:name w:val="Footer Char"/>
    <w:basedOn w:val="DefaultParagraphFont"/>
    <w:link w:val="Footer"/>
    <w:rsid w:val="00F21870"/>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3C6CBF-561B-4CC9-98F6-364FFC8AF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3466</Words>
  <Characters>20963</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Karina Pesa</cp:lastModifiedBy>
  <cp:revision>3</cp:revision>
  <cp:lastPrinted>2004-11-19T15:42:00Z</cp:lastPrinted>
  <dcterms:created xsi:type="dcterms:W3CDTF">2024-05-23T10:10:00Z</dcterms:created>
  <dcterms:modified xsi:type="dcterms:W3CDTF">2024-10-30T17:02:00Z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P9_TA(2024)0261_</vt:lpwstr>
  </property>
  <property fmtid="{D5CDD505-2E9C-101B-9397-08002B2CF9AE}" pid="4" name="&lt;Type&gt;">
    <vt:lpwstr>RR</vt:lpwstr>
  </property>
</Properties>
</file>