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6B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6BD9" w:rsidRDefault="005C31AC" w:rsidP="0010095E">
            <w:pPr>
              <w:pStyle w:val="EPName"/>
            </w:pPr>
            <w:r w:rsidRPr="00386BD9">
              <w:t>Parlament Europejski</w:t>
            </w:r>
          </w:p>
          <w:p w:rsidR="00751A4A" w:rsidRPr="00386B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6B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86BD9" w:rsidRDefault="00187494" w:rsidP="0010095E">
            <w:pPr>
              <w:pStyle w:val="EPLogo"/>
            </w:pPr>
            <w:r w:rsidRPr="00386B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6BD9" w:rsidRDefault="00D058B8" w:rsidP="004C5D52">
      <w:pPr>
        <w:pStyle w:val="LineTop"/>
      </w:pPr>
    </w:p>
    <w:p w:rsidR="00680577" w:rsidRPr="00386BD9" w:rsidRDefault="005C31AC" w:rsidP="00680577">
      <w:pPr>
        <w:pStyle w:val="EPBodyTA1"/>
      </w:pPr>
      <w:r w:rsidRPr="00386BD9">
        <w:t>TEKSTY PRZYJĘTE</w:t>
      </w:r>
    </w:p>
    <w:p w:rsidR="00D058B8" w:rsidRPr="00386BD9" w:rsidRDefault="00D058B8" w:rsidP="00D058B8">
      <w:pPr>
        <w:pStyle w:val="LineBottom"/>
      </w:pPr>
    </w:p>
    <w:p w:rsidR="005C31AC" w:rsidRPr="00386BD9" w:rsidRDefault="005C31AC" w:rsidP="005C31AC">
      <w:pPr>
        <w:pStyle w:val="ATHeading1"/>
      </w:pPr>
      <w:bookmarkStart w:id="0" w:name="TANumber"/>
      <w:r w:rsidRPr="00386BD9">
        <w:t>P9_TA(2024)0</w:t>
      </w:r>
      <w:bookmarkEnd w:id="0"/>
      <w:r w:rsidR="007103E4">
        <w:t>2</w:t>
      </w:r>
      <w:bookmarkStart w:id="1" w:name="_GoBack"/>
      <w:bookmarkEnd w:id="1"/>
      <w:r w:rsidR="00D57349">
        <w:t>61</w:t>
      </w:r>
    </w:p>
    <w:p w:rsidR="005C31AC" w:rsidRPr="00386BD9" w:rsidRDefault="005C31AC" w:rsidP="005C31AC">
      <w:pPr>
        <w:pStyle w:val="ATHeading2"/>
      </w:pPr>
      <w:bookmarkStart w:id="2" w:name="title"/>
      <w:r w:rsidRPr="00386BD9">
        <w:t>Absolutorium za rok 2022: Europejski Instytut ds. Równości Kobiet i Mężczyzn</w:t>
      </w:r>
      <w:bookmarkEnd w:id="2"/>
    </w:p>
    <w:p w:rsidR="005C31AC" w:rsidRPr="00386BD9" w:rsidRDefault="005C31AC" w:rsidP="005C31AC">
      <w:pPr>
        <w:rPr>
          <w:i/>
          <w:vanish/>
        </w:rPr>
      </w:pPr>
      <w:r w:rsidRPr="00386BD9">
        <w:rPr>
          <w:i/>
        </w:rPr>
        <w:fldChar w:fldCharType="begin"/>
      </w:r>
      <w:r w:rsidRPr="00386BD9">
        <w:rPr>
          <w:i/>
        </w:rPr>
        <w:instrText xml:space="preserve"> TC"(</w:instrText>
      </w:r>
      <w:bookmarkStart w:id="3" w:name="DocNumber"/>
      <w:r w:rsidRPr="00386BD9">
        <w:rPr>
          <w:i/>
        </w:rPr>
        <w:instrText>A9-0096/2024</w:instrText>
      </w:r>
      <w:bookmarkEnd w:id="3"/>
      <w:r w:rsidRPr="00386BD9">
        <w:rPr>
          <w:i/>
        </w:rPr>
        <w:instrText xml:space="preserve"> - Sprawozdawca: Petri Sarvamaa)"\l3 \n&gt; \* MERGEFORMAT </w:instrText>
      </w:r>
      <w:r w:rsidRPr="00386BD9">
        <w:rPr>
          <w:i/>
        </w:rPr>
        <w:fldChar w:fldCharType="end"/>
      </w:r>
    </w:p>
    <w:p w:rsidR="005C31AC" w:rsidRPr="00386BD9" w:rsidRDefault="005C31AC" w:rsidP="005C31AC">
      <w:pPr>
        <w:rPr>
          <w:vanish/>
        </w:rPr>
      </w:pPr>
      <w:bookmarkStart w:id="4" w:name="Commission"/>
      <w:r w:rsidRPr="00386BD9">
        <w:rPr>
          <w:vanish/>
        </w:rPr>
        <w:t>Komisja Kontroli Budżetowej</w:t>
      </w:r>
      <w:bookmarkEnd w:id="4"/>
    </w:p>
    <w:p w:rsidR="005C31AC" w:rsidRPr="00386BD9" w:rsidRDefault="005C31AC" w:rsidP="005C31AC">
      <w:pPr>
        <w:rPr>
          <w:vanish/>
        </w:rPr>
      </w:pPr>
      <w:bookmarkStart w:id="5" w:name="PE"/>
      <w:r w:rsidRPr="00386BD9">
        <w:rPr>
          <w:vanish/>
        </w:rPr>
        <w:t>PE753.520</w:t>
      </w:r>
      <w:bookmarkEnd w:id="5"/>
    </w:p>
    <w:p w:rsidR="005C31AC" w:rsidRPr="00386BD9" w:rsidRDefault="00845BCE" w:rsidP="005C31AC">
      <w:pPr>
        <w:pStyle w:val="ATHeading3"/>
      </w:pPr>
      <w:bookmarkStart w:id="6" w:name="Sujet"/>
      <w:r>
        <w:t xml:space="preserve">1. </w:t>
      </w:r>
      <w:r w:rsidR="005C31AC" w:rsidRPr="00386BD9">
        <w:t xml:space="preserve">Decyzja Parlamentu Europejskiego z dnia </w:t>
      </w:r>
      <w:r>
        <w:t>11 kwietnia</w:t>
      </w:r>
      <w:r w:rsidR="005C31AC" w:rsidRPr="00386BD9">
        <w:t xml:space="preserve"> 2024 r. w sprawie absolutorium z wykonania budżetu Europejskiego Instytutu ds. Równości Kobiet i Mężczyzn za rok budżetowy 2022</w:t>
      </w:r>
      <w:bookmarkEnd w:id="6"/>
      <w:r w:rsidR="005C31AC" w:rsidRPr="00386BD9">
        <w:t xml:space="preserve"> </w:t>
      </w:r>
      <w:bookmarkStart w:id="7" w:name="References"/>
      <w:r w:rsidR="005C31AC" w:rsidRPr="00386BD9">
        <w:t>(2023/2152(DEC))</w:t>
      </w:r>
      <w:bookmarkEnd w:id="7"/>
    </w:p>
    <w:p w:rsidR="008246D0" w:rsidRPr="00386BD9" w:rsidRDefault="008246D0" w:rsidP="008246D0">
      <w:pPr>
        <w:pStyle w:val="EPComma"/>
      </w:pPr>
      <w:bookmarkStart w:id="8" w:name="TextBodyBegin"/>
      <w:bookmarkEnd w:id="8"/>
      <w:r w:rsidRPr="00386BD9">
        <w:rPr>
          <w:i/>
        </w:rPr>
        <w:t>Parlament Europejski</w:t>
      </w:r>
      <w:r w:rsidRPr="00386BD9">
        <w:t>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końcowe roczne sprawozdanie finansowe Europejskiego Instytutu ds. Równości Kobiet i Mężczyzn za rok budżetowy 2022,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sprawozdanie roczne Trybunału Obrachunkowego dotyczące agencji UE za rok budżetowy 2022 wraz z odpowiedziami agencji</w:t>
      </w:r>
      <w:r w:rsidRPr="00386BD9">
        <w:rPr>
          <w:rStyle w:val="FootnoteReference"/>
        </w:rPr>
        <w:footnoteReference w:id="1"/>
      </w:r>
      <w:r w:rsidRPr="00386BD9">
        <w:t>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poświadczenie wiarygodności</w:t>
      </w:r>
      <w:r w:rsidRPr="00386BD9">
        <w:rPr>
          <w:rStyle w:val="FootnoteReference"/>
        </w:rPr>
        <w:footnoteReference w:id="2"/>
      </w:r>
      <w:r w:rsidRPr="00386BD9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zalecenie Rady z dnia 22 lutego 2024 r. w sprawie udzielenia Instytutowi </w:t>
      </w:r>
      <w:r w:rsidRPr="00013423">
        <w:t>absolutorium z wykonania budżetu za rok budżetowy 2022 (</w:t>
      </w:r>
      <w:r w:rsidR="00013423" w:rsidRPr="00013423">
        <w:t>06180/2024 – C9</w:t>
      </w:r>
      <w:r w:rsidR="00013423" w:rsidRPr="00013423">
        <w:noBreakHyphen/>
        <w:t>0090/2024</w:t>
      </w:r>
      <w:r w:rsidRPr="00013423">
        <w:t>),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art. 319 Traktatu o funkcjonowaniu Unii Europejskiej,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rozporządzenie Parlamentu Europejskiego i Rady (UE, </w:t>
      </w:r>
      <w:proofErr w:type="spellStart"/>
      <w:r w:rsidRPr="00386BD9">
        <w:t>Euratom</w:t>
      </w:r>
      <w:proofErr w:type="spellEnd"/>
      <w:r w:rsidRPr="00386BD9">
        <w:t xml:space="preserve">) 2018/1046 z dnia 18 lipca 2018 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386BD9">
        <w:lastRenderedPageBreak/>
        <w:t xml:space="preserve">uchylające rozporządzenie (UE, </w:t>
      </w:r>
      <w:proofErr w:type="spellStart"/>
      <w:r w:rsidRPr="00386BD9">
        <w:t>Euratom</w:t>
      </w:r>
      <w:proofErr w:type="spellEnd"/>
      <w:r w:rsidRPr="00386BD9">
        <w:t>) nr 966/2012</w:t>
      </w:r>
      <w:r w:rsidRPr="00386BD9">
        <w:rPr>
          <w:rStyle w:val="FootnoteReference"/>
        </w:rPr>
        <w:footnoteReference w:id="3"/>
      </w:r>
      <w:r w:rsidRPr="00386BD9">
        <w:t>, w szczególności jego art. 70,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rozporządzenie (WE) nr 1922/2006 Parlamentu Europejskiego i Rady z dnia 20 grudnia 2006 r. ustanawiające Europejski Instytut ds. Równości Kobiet i Mężczyzn</w:t>
      </w:r>
      <w:r w:rsidRPr="00386BD9">
        <w:rPr>
          <w:rStyle w:val="FootnoteReference"/>
        </w:rPr>
        <w:footnoteReference w:id="4"/>
      </w:r>
      <w:r w:rsidRPr="00386BD9">
        <w:t>, w szczególności jego art. 15,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386BD9">
        <w:t>Euratom</w:t>
      </w:r>
      <w:proofErr w:type="spellEnd"/>
      <w:r w:rsidRPr="00386BD9">
        <w:t xml:space="preserve">, o których mowa w art. 70 rozporządzenia Parlamentu Europejskiego i Rady (UE, </w:t>
      </w:r>
      <w:proofErr w:type="spellStart"/>
      <w:r w:rsidRPr="00386BD9">
        <w:t>Euratom</w:t>
      </w:r>
      <w:proofErr w:type="spellEnd"/>
      <w:r w:rsidRPr="00386BD9">
        <w:t>) 2018/1046</w:t>
      </w:r>
      <w:r w:rsidRPr="00386BD9">
        <w:rPr>
          <w:rStyle w:val="FootnoteReference"/>
        </w:rPr>
        <w:footnoteReference w:id="5"/>
      </w:r>
      <w:r w:rsidRPr="00386BD9">
        <w:t>, w szczególności jego art. 105,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art. 100 Regulaminu i załącznik V do Regulaminu,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opinię przedstawioną przez Komisję Praw Kobiet i Równouprawnienia,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sprawozdanie Komisji Kontroli Budżetowej (A9-0096/2024),</w:t>
      </w:r>
    </w:p>
    <w:p w:rsidR="008246D0" w:rsidRPr="00386BD9" w:rsidRDefault="008246D0" w:rsidP="008246D0">
      <w:pPr>
        <w:pStyle w:val="NormalHanging12a"/>
      </w:pPr>
      <w:r w:rsidRPr="00386BD9">
        <w:t>1.</w:t>
      </w:r>
      <w:r w:rsidRPr="00386BD9">
        <w:tab/>
      </w:r>
      <w:proofErr w:type="gramStart"/>
      <w:r w:rsidRPr="00386BD9">
        <w:t>udziela</w:t>
      </w:r>
      <w:proofErr w:type="gramEnd"/>
      <w:r w:rsidRPr="00386BD9">
        <w:t xml:space="preserve"> dyrektor Europejskiego Instytutu ds. Równości Kobiet i Mężczyzn absolutorium z wykonania budżetu Instytutu za rok budżetowy 2022;</w:t>
      </w:r>
    </w:p>
    <w:p w:rsidR="008246D0" w:rsidRPr="00386BD9" w:rsidRDefault="008246D0" w:rsidP="008246D0">
      <w:pPr>
        <w:pStyle w:val="NormalHanging12a"/>
      </w:pPr>
      <w:r w:rsidRPr="00386BD9">
        <w:t>2.</w:t>
      </w:r>
      <w:r w:rsidRPr="00386BD9">
        <w:tab/>
      </w:r>
      <w:proofErr w:type="gramStart"/>
      <w:r w:rsidRPr="00386BD9">
        <w:t>przedstawia</w:t>
      </w:r>
      <w:proofErr w:type="gramEnd"/>
      <w:r w:rsidRPr="00386BD9">
        <w:t xml:space="preserve"> swoje uwagi w poniższej rezolucji;</w:t>
      </w:r>
    </w:p>
    <w:p w:rsidR="008246D0" w:rsidRPr="00386BD9" w:rsidRDefault="008246D0" w:rsidP="008246D0">
      <w:pPr>
        <w:pStyle w:val="NormalHanging12a"/>
      </w:pPr>
      <w:r w:rsidRPr="00386BD9">
        <w:t>3.</w:t>
      </w:r>
      <w:r w:rsidRPr="00386BD9">
        <w:tab/>
      </w:r>
      <w:proofErr w:type="gramStart"/>
      <w:r w:rsidRPr="00386BD9">
        <w:t>zobowiązuje</w:t>
      </w:r>
      <w:proofErr w:type="gramEnd"/>
      <w:r w:rsidRPr="00386BD9">
        <w:t xml:space="preserve"> swoją przewodniczącą do przekazania niniejszej decyzji wraz z rezolucją, która stanowi jej integralną część, dyrektor Europejskiego Instytutu ds. Równości Kobiet i Mężczyzn, Radzie, Komisji i Trybunałowi Obrachunkowemu oraz do zarządzenia jej publikacji w </w:t>
      </w:r>
      <w:r w:rsidRPr="00386BD9">
        <w:rPr>
          <w:i/>
        </w:rPr>
        <w:t>Dzienniku Urzędowym Unii Europejskiej</w:t>
      </w:r>
      <w:r w:rsidRPr="00386BD9">
        <w:t xml:space="preserve"> (seria L).</w:t>
      </w:r>
    </w:p>
    <w:p w:rsidR="008246D0" w:rsidRPr="00386BD9" w:rsidRDefault="008246D0" w:rsidP="008246D0"/>
    <w:p w:rsidR="008246D0" w:rsidRPr="00386BD9" w:rsidRDefault="008246D0" w:rsidP="008246D0">
      <w:pPr>
        <w:widowControl/>
        <w:rPr>
          <w:rFonts w:ascii="Arial" w:hAnsi="Arial" w:cs="Arial"/>
          <w:b/>
        </w:rPr>
        <w:sectPr w:rsidR="008246D0" w:rsidRPr="00386BD9" w:rsidSect="00386B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8246D0" w:rsidRPr="00386BD9" w:rsidRDefault="00845BCE" w:rsidP="00845BCE">
      <w:pPr>
        <w:pStyle w:val="ATHeading3"/>
      </w:pPr>
      <w:bookmarkStart w:id="9" w:name="_Toc146789301"/>
      <w:bookmarkStart w:id="10" w:name="_Toc161932141"/>
      <w:r>
        <w:lastRenderedPageBreak/>
        <w:t>2. Decyzja</w:t>
      </w:r>
      <w:r w:rsidR="008246D0" w:rsidRPr="00386BD9">
        <w:t xml:space="preserve"> P</w:t>
      </w:r>
      <w:r>
        <w:t>arlamentu</w:t>
      </w:r>
      <w:r w:rsidR="008246D0" w:rsidRPr="00386BD9">
        <w:t xml:space="preserve"> E</w:t>
      </w:r>
      <w:bookmarkEnd w:id="9"/>
      <w:bookmarkEnd w:id="10"/>
      <w:r>
        <w:t xml:space="preserve">uropejskiego z dnia 11 kwietnia 2024 r. </w:t>
      </w:r>
      <w:r w:rsidR="008246D0" w:rsidRPr="00386BD9">
        <w:t>w sprawie zamknięcia ksiąg dochodów i wydatków Europejskiego Instytutu ds. Równości Kobiet i Mężczyzn za rok budżetowy 2022</w:t>
      </w:r>
      <w:r>
        <w:t xml:space="preserve"> </w:t>
      </w:r>
      <w:r w:rsidR="008246D0" w:rsidRPr="00386BD9">
        <w:t>(2023/2152(DEC))</w:t>
      </w:r>
    </w:p>
    <w:p w:rsidR="008246D0" w:rsidRPr="00386BD9" w:rsidRDefault="008246D0" w:rsidP="008246D0">
      <w:pPr>
        <w:pStyle w:val="EPComma"/>
      </w:pPr>
      <w:r w:rsidRPr="00386BD9">
        <w:rPr>
          <w:i/>
        </w:rPr>
        <w:t>Parlament Europejski</w:t>
      </w:r>
      <w:r w:rsidRPr="00386BD9">
        <w:t>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końcowe roczne sprawozdanie finansowe Europejskiego Instytutu ds. Równości Kobiet i Mężczyzn za rok budżetowy 2022,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sprawozdanie roczne Trybunału Obrachunkowego dotyczące agencji UE za rok budżetowy 2022 wraz z odpowiedziami agencji</w:t>
      </w:r>
      <w:r w:rsidRPr="00386BD9">
        <w:rPr>
          <w:rStyle w:val="FootnoteReference"/>
        </w:rPr>
        <w:footnoteReference w:id="6"/>
      </w:r>
      <w:r w:rsidRPr="00386BD9">
        <w:t>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poświadczenie wiarygodności</w:t>
      </w:r>
      <w:r w:rsidRPr="00386BD9">
        <w:rPr>
          <w:rStyle w:val="FootnoteReference"/>
        </w:rPr>
        <w:footnoteReference w:id="7"/>
      </w:r>
      <w:r w:rsidRPr="00386BD9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zalecenie Rady z dnia 22 lutego 2024 r. w sprawie udzielenia Instytutowi </w:t>
      </w:r>
      <w:r w:rsidRPr="00013423">
        <w:t>absolutorium z wykonania budżetu za rok budżetowy 2022 (</w:t>
      </w:r>
      <w:r w:rsidR="00013423" w:rsidRPr="00013423">
        <w:t>06180/2024 – C9</w:t>
      </w:r>
      <w:r w:rsidR="00013423" w:rsidRPr="00013423">
        <w:noBreakHyphen/>
        <w:t>0090/2024</w:t>
      </w:r>
      <w:r w:rsidRPr="00013423">
        <w:t>),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art. 319 Traktatu o funkcjonowaniu Unii Europejskiej,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rozporządzenie Parlamentu Europejskiego i Rady (UE, </w:t>
      </w:r>
      <w:proofErr w:type="spellStart"/>
      <w:r w:rsidRPr="00386BD9">
        <w:t>Euratom</w:t>
      </w:r>
      <w:proofErr w:type="spellEnd"/>
      <w:r w:rsidRPr="00386BD9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386BD9">
        <w:t>Euratom</w:t>
      </w:r>
      <w:proofErr w:type="spellEnd"/>
      <w:r w:rsidRPr="00386BD9">
        <w:t>) nr 966/2012</w:t>
      </w:r>
      <w:r w:rsidRPr="00386BD9">
        <w:rPr>
          <w:rStyle w:val="FootnoteReference"/>
        </w:rPr>
        <w:footnoteReference w:id="8"/>
      </w:r>
      <w:r w:rsidRPr="00386BD9">
        <w:t>, w szczególności jego art. 70,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rozporządzenie (WE) nr 1922/2006 Parlamentu Europejskiego i Rady z dnia 20 grudnia 2006 r. ustanawiające Europejski Instytut ds. Równości Kobiet i Mężczyzn</w:t>
      </w:r>
      <w:r w:rsidRPr="00386BD9">
        <w:rPr>
          <w:rStyle w:val="FootnoteReference"/>
        </w:rPr>
        <w:footnoteReference w:id="9"/>
      </w:r>
      <w:r w:rsidRPr="00386BD9">
        <w:t>, w szczególności jego art. 15,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 xml:space="preserve">uwzględniając rozporządzenie delegowane Komisji (UE) 2019/715 z dnia 18 grudnia 2018 r. w sprawie ramowego rozporządzenia finansowego dotyczącego organów utworzonych na podstawie TFUE oraz Traktatu </w:t>
      </w:r>
      <w:proofErr w:type="spellStart"/>
      <w:r w:rsidRPr="00386BD9">
        <w:t>Euratom</w:t>
      </w:r>
      <w:proofErr w:type="spellEnd"/>
      <w:r w:rsidRPr="00386BD9">
        <w:t xml:space="preserve">, o których mowa w art. 70 rozporządzenia Parlamentu Europejskiego i Rady (UE, </w:t>
      </w:r>
      <w:proofErr w:type="spellStart"/>
      <w:r w:rsidRPr="00386BD9">
        <w:t>Euratom</w:t>
      </w:r>
      <w:proofErr w:type="spellEnd"/>
      <w:r w:rsidRPr="00386BD9">
        <w:t>) 2018/1046</w:t>
      </w:r>
      <w:r w:rsidRPr="00386BD9">
        <w:rPr>
          <w:rStyle w:val="FootnoteReference"/>
        </w:rPr>
        <w:footnoteReference w:id="10"/>
      </w:r>
      <w:r w:rsidRPr="00386BD9">
        <w:t>, w szczególności jego art. 105,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art. 100 Regulaminu i załącznik V do Regulaminu,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opinię przedstawioną przez Komisję Praw Kobiet i Równouprawnienia,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sprawozdanie Komisji Kontroli Budżetowej (A9-0096/2024),</w:t>
      </w:r>
    </w:p>
    <w:p w:rsidR="008246D0" w:rsidRPr="00386BD9" w:rsidRDefault="008246D0" w:rsidP="008246D0">
      <w:pPr>
        <w:pStyle w:val="NormalHanging12a"/>
      </w:pPr>
      <w:r w:rsidRPr="00386BD9">
        <w:lastRenderedPageBreak/>
        <w:t>1.</w:t>
      </w:r>
      <w:r w:rsidRPr="00386BD9">
        <w:tab/>
      </w:r>
      <w:proofErr w:type="gramStart"/>
      <w:r w:rsidRPr="00386BD9">
        <w:t>zatwierdza</w:t>
      </w:r>
      <w:proofErr w:type="gramEnd"/>
      <w:r w:rsidRPr="00386BD9">
        <w:t xml:space="preserve"> zamknięcie ksiąg dochodów i wydatków Europejskiego Instytutu ds. Równości Kobiet i Mężczyzn za rok budżetowy 2022;</w:t>
      </w:r>
    </w:p>
    <w:p w:rsidR="008246D0" w:rsidRPr="00386BD9" w:rsidRDefault="008246D0" w:rsidP="008246D0">
      <w:pPr>
        <w:pStyle w:val="NormalHanging12a"/>
      </w:pPr>
      <w:r w:rsidRPr="00386BD9">
        <w:t>2.</w:t>
      </w:r>
      <w:r w:rsidRPr="00386BD9">
        <w:tab/>
      </w:r>
      <w:proofErr w:type="gramStart"/>
      <w:r w:rsidRPr="00386BD9">
        <w:t>zobowiązuje</w:t>
      </w:r>
      <w:proofErr w:type="gramEnd"/>
      <w:r w:rsidRPr="00386BD9">
        <w:t xml:space="preserve"> swoją przewodniczącą do przekazania niniejszej decyzji dyrektor Europejskiego Instytutu ds. Równości Kobiet i Mężczyzn, Radzie, Komisji i Trybunałowi Obrachunkowemu oraz do zarządzenia jej publikacji w </w:t>
      </w:r>
      <w:r w:rsidRPr="00386BD9">
        <w:rPr>
          <w:i/>
        </w:rPr>
        <w:t>Dzienniku Urzędowym Unii Europejskiej</w:t>
      </w:r>
      <w:r w:rsidRPr="00386BD9">
        <w:t xml:space="preserve"> (seria L).</w:t>
      </w:r>
    </w:p>
    <w:p w:rsidR="008246D0" w:rsidRPr="00386BD9" w:rsidRDefault="008246D0" w:rsidP="008246D0"/>
    <w:p w:rsidR="008246D0" w:rsidRPr="00386BD9" w:rsidRDefault="008246D0" w:rsidP="008246D0">
      <w:pPr>
        <w:widowControl/>
        <w:rPr>
          <w:rFonts w:ascii="Arial" w:hAnsi="Arial" w:cs="Arial"/>
          <w:b/>
        </w:rPr>
        <w:sectPr w:rsidR="008246D0" w:rsidRPr="00386BD9" w:rsidSect="00386BD9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8246D0" w:rsidRPr="00386BD9" w:rsidRDefault="00845BCE" w:rsidP="00845BCE">
      <w:pPr>
        <w:pStyle w:val="ATHeading3"/>
      </w:pPr>
      <w:bookmarkStart w:id="11" w:name="_Toc146789302"/>
      <w:bookmarkStart w:id="12" w:name="_Toc161932142"/>
      <w:r>
        <w:lastRenderedPageBreak/>
        <w:t>3. Rezolucja Parlamentu</w:t>
      </w:r>
      <w:r w:rsidR="008246D0" w:rsidRPr="00386BD9">
        <w:t xml:space="preserve"> E</w:t>
      </w:r>
      <w:bookmarkEnd w:id="11"/>
      <w:bookmarkEnd w:id="12"/>
      <w:r>
        <w:t>uropejskiego z dnia 11 kwietnia 2024 r. zawierająca</w:t>
      </w:r>
      <w:r w:rsidR="008246D0" w:rsidRPr="00386BD9">
        <w:t xml:space="preserve"> uwagi stanowiące integralną część decyzji w sprawie absolutorium z wykonania budżetu Europejskiego Instytutu ds. Równości Kobiet i Mężczyzn za rok budżetowy 2022</w:t>
      </w:r>
      <w:r>
        <w:t xml:space="preserve"> </w:t>
      </w:r>
      <w:r w:rsidR="008246D0" w:rsidRPr="00386BD9">
        <w:t>(2023/2152(DEC))</w:t>
      </w:r>
    </w:p>
    <w:p w:rsidR="008246D0" w:rsidRPr="00386BD9" w:rsidRDefault="008246D0" w:rsidP="008246D0">
      <w:pPr>
        <w:pStyle w:val="EPComma"/>
      </w:pPr>
      <w:r w:rsidRPr="00386BD9">
        <w:rPr>
          <w:i/>
        </w:rPr>
        <w:t>Parlament Europejski</w:t>
      </w:r>
      <w:r w:rsidRPr="00386BD9">
        <w:t>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swoją decyzję w sprawie absolutorium z wykonania budżetu Europejskiego Instytutu ds. Równości Kobiet i Mężczyzn za rok budżetowy 2022,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art. 100 Regulaminu i załącznik V do Regulaminu,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opinię przedstawioną przez Komisję Praw Kobiet i Równouprawnienia,</w:t>
      </w:r>
    </w:p>
    <w:p w:rsidR="008246D0" w:rsidRPr="00386BD9" w:rsidRDefault="008246D0" w:rsidP="008246D0">
      <w:pPr>
        <w:pStyle w:val="NormalHanging12a"/>
      </w:pPr>
      <w:r w:rsidRPr="00386BD9">
        <w:t>–</w:t>
      </w:r>
      <w:r w:rsidRPr="00386BD9">
        <w:tab/>
        <w:t>uwzględniając sprawozdanie Komisji Kontroli Budżetowej (A9-0096/2024),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A.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mając</w:t>
      </w:r>
      <w:proofErr w:type="gramEnd"/>
      <w:r w:rsidRPr="00386BD9">
        <w:rPr>
          <w:lang w:val="pl-PL"/>
        </w:rPr>
        <w:t xml:space="preserve"> na uwadze, że zgodnie z zestawieniem dochodów i wydatków</w:t>
      </w:r>
      <w:r w:rsidRPr="00386BD9">
        <w:rPr>
          <w:rStyle w:val="FootnoteReference"/>
          <w:szCs w:val="24"/>
          <w:lang w:val="pl-PL"/>
        </w:rPr>
        <w:footnoteReference w:id="11"/>
      </w:r>
      <w:r w:rsidRPr="00386BD9">
        <w:rPr>
          <w:lang w:val="pl-PL"/>
        </w:rPr>
        <w:t xml:space="preserve"> ostateczny budżet Europejskiego Instytutu ds. Równości Kobiet i Mężczyzn (zwanego dalej „Instytutem”) za rok budżetowy 2022 wyniósł 8 432 919,91 EUR, co oznacza spadek o 2,99 % w porównaniu z rokiem 2021;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B.</w:t>
      </w:r>
      <w:r w:rsidRPr="00386BD9">
        <w:rPr>
          <w:lang w:val="pl-PL"/>
        </w:rPr>
        <w:tab/>
        <w:t>mając na uwadze, że w sprawozdaniu dotyczącym rocznego sprawozdania finansowego Europejskiego Instytutu ds. Równości Kobiet i Mężczyzn za rok budżetowy 2022 (zwanym dalej „sprawozdaniem Trybunału”) Trybunał Obrachunkowy (zwany dalej „Trybunałem”) stwierdza, iż uzyskał wystarczającą pewność, że roczne sprawozdanie finansowe Instytutu jest wiarygodne oraz że operacje leżące u jego podstaw są legalne i prawidłowe;</w:t>
      </w:r>
    </w:p>
    <w:p w:rsidR="008246D0" w:rsidRPr="00386BD9" w:rsidRDefault="008246D0" w:rsidP="008246D0">
      <w:pPr>
        <w:pStyle w:val="NormalHanging12a"/>
        <w:rPr>
          <w:szCs w:val="24"/>
        </w:rPr>
      </w:pPr>
      <w:r w:rsidRPr="00386BD9">
        <w:t>C.</w:t>
      </w:r>
      <w:r w:rsidRPr="00386BD9">
        <w:tab/>
      </w:r>
      <w:proofErr w:type="gramStart"/>
      <w:r w:rsidRPr="00386BD9">
        <w:t>mając</w:t>
      </w:r>
      <w:proofErr w:type="gramEnd"/>
      <w:r w:rsidRPr="00386BD9">
        <w:t xml:space="preserve"> na uwadze, że art. 8 Traktatu o funkcjonowaniu Unii Europejskiej (TFUE) stanowi, iż we wszystkich swoich działaniach Unia zmierza do zniesienia nierówności, ustanawiając zasadę uwzględniania aspektu płci oraz wspierania równości płci mężczyzn i kobiet; mając na uwadze, że równość płci musi zostać włączona do wszystkich strategii politycznych Unii, również za pomocą sporządzania budżetu z uwzględnieniem aspektu płci na wszystkich etapach procedury budżetowej;</w:t>
      </w:r>
    </w:p>
    <w:p w:rsidR="008246D0" w:rsidRPr="00386BD9" w:rsidRDefault="008246D0" w:rsidP="008246D0">
      <w:pPr>
        <w:pStyle w:val="NormalHanging12a"/>
        <w:rPr>
          <w:szCs w:val="24"/>
        </w:rPr>
      </w:pPr>
      <w:r w:rsidRPr="00386BD9">
        <w:t>D.</w:t>
      </w:r>
      <w:r w:rsidRPr="00386BD9">
        <w:tab/>
      </w:r>
      <w:proofErr w:type="gramStart"/>
      <w:r w:rsidRPr="00386BD9">
        <w:t>mając</w:t>
      </w:r>
      <w:proofErr w:type="gramEnd"/>
      <w:r w:rsidRPr="00386BD9">
        <w:t xml:space="preserve"> na uwadze, że wskaźnik równouprawnienia płci z 2023 r. pokazuje, że państwa członkowskie odnotowały niewielki wzrost o zaledwie 1,6 punktu, osiągając 70,2 punktów, zaś w niektórych dziedzinach obserwuje się oznaki regresu, w szczególności pod względem wskaźników gospodarczych i dotyczących dochodów</w:t>
      </w:r>
      <w:r w:rsidRPr="00386BD9">
        <w:rPr>
          <w:vertAlign w:val="superscript"/>
        </w:rPr>
        <w:footnoteReference w:id="12"/>
      </w:r>
      <w:r w:rsidRPr="00386BD9">
        <w:t>; mając na uwadze, że Instytut utworzono, by przyczynił się do równouprawnienia płci i jego lepszego propagowania w Unii, w tym do uwzględniania aspektu płci we wszystkich obszarach polityki Unii oraz w wynikających z nich krajowych strategiach politycznych, by zwalczał dyskryminację ze względu na płeć i podnosił poziom świadomości obywateli Unii co do problematyki równouprawnienia płci;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Zarządzanie budżetem i finansami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1.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zwraca</w:t>
      </w:r>
      <w:proofErr w:type="gramEnd"/>
      <w:r w:rsidRPr="00386BD9">
        <w:rPr>
          <w:lang w:val="pl-PL"/>
        </w:rPr>
        <w:t xml:space="preserve"> uwagę, że wysiłki związane z monitorowaniem budżetu w roku budżetowym </w:t>
      </w:r>
      <w:r w:rsidRPr="00386BD9">
        <w:rPr>
          <w:lang w:val="pl-PL"/>
        </w:rPr>
        <w:lastRenderedPageBreak/>
        <w:t>2022 doprowadziły do osiągnięcia wskaźnika wykonania w odniesieniu do środków na zobowiązania na omawiany rok w wysokości 97,91 %, co oznacza spadek o 1,01 % w porównaniu z rokiem 2021; zwraca uwagę, że wskaźnik wykonania w odniesieniu do środków na płatności na omawiany rok wyniósł 81,10 %, co oznacza wzrost o 9,72 % w porównaniu z rokiem 2021; wyraża uznanie dla Instytutu za ścisłe monitorowanie wykonania budżetu i zadowalające wskaźniki wykonania budżetu w 2022 r. pomimo wyzwań, jakie wystąpiły w tym roku, związanych z wojną napastniczą przeciwko Ukrainie i niestabilnością gospodarczą w Unii; stwierdza spadek przeniesionych wydatków operacyjnych Instytutu do 42,28 % w 2023 </w:t>
      </w:r>
      <w:proofErr w:type="gramStart"/>
      <w:r w:rsidRPr="00386BD9">
        <w:rPr>
          <w:lang w:val="pl-PL"/>
        </w:rPr>
        <w:t>r</w:t>
      </w:r>
      <w:proofErr w:type="gramEnd"/>
      <w:r w:rsidRPr="00386BD9">
        <w:rPr>
          <w:lang w:val="pl-PL"/>
        </w:rPr>
        <w:t>. (w porównaniu z 54,79 % w 2022 r.);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2.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zwraca</w:t>
      </w:r>
      <w:proofErr w:type="gramEnd"/>
      <w:r w:rsidRPr="00386BD9">
        <w:rPr>
          <w:lang w:val="pl-PL"/>
        </w:rPr>
        <w:t xml:space="preserve"> uwagę, że kwota ostatecznego budżetu Instytutu wynika z budżetów korygujących w łącznej wysokości 175 000 EUR przyjętych przez zarząd Instytutu ze względu na gwałtowny wzrost stopy inflacji w Unii, a w szczególności na Litwie w 2022 r., indeksację wynagrodzeń o 6,9 % oraz wzrost współczynnika korygującego mającego zastosowanie do Litwy o 7,3 %;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3.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na</w:t>
      </w:r>
      <w:proofErr w:type="gramEnd"/>
      <w:r w:rsidRPr="00386BD9">
        <w:rPr>
          <w:lang w:val="pl-PL"/>
        </w:rPr>
        <w:t xml:space="preserve"> podstawie sprawozdania Trybunału odnotowuje z zaniepokojeniem, że w przypadku umowy ramowej o świadczenie usług organizacji wydarzeń Instytut nie ujawnił powiązanych środków budżetowych w wysokości 3,7 mln EUR w swoich jednolitych dokumentach programowych, co podważa przejrzystość budżetową wobec zarządu Instytutu i innych zainteresowanych stron; wzywa Instytut do uwzględnienia wszystkich ramowych umów operacyjnych w swoich jednolitych dokumentach programowych;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Wyniki działalności</w:t>
      </w:r>
    </w:p>
    <w:p w:rsidR="008246D0" w:rsidRPr="00386BD9" w:rsidRDefault="008246D0" w:rsidP="008246D0">
      <w:pPr>
        <w:spacing w:after="240"/>
        <w:ind w:left="567" w:hanging="567"/>
        <w:rPr>
          <w:szCs w:val="24"/>
        </w:rPr>
      </w:pPr>
      <w:r w:rsidRPr="00386BD9">
        <w:t>4.</w:t>
      </w:r>
      <w:r w:rsidRPr="00386BD9">
        <w:tab/>
      </w:r>
      <w:proofErr w:type="gramStart"/>
      <w:r w:rsidRPr="00386BD9">
        <w:t>zwraca</w:t>
      </w:r>
      <w:proofErr w:type="gramEnd"/>
      <w:r w:rsidRPr="00386BD9">
        <w:t xml:space="preserve"> uwagę, że Instytut wykorzystuje pewne kluczowe wskaźniki efektywności w odniesieniu do celów operacyjnych, aby ocenić wartość dodaną swojej działalności; odnotowuje z uznaniem, że w 2022 r. Instytut zrealizował 96,1 % swojego programu prac oraz osiągnął cele określone w zmienionym jednolitym dokumencie programowym na lata 2022–2024;</w:t>
      </w:r>
    </w:p>
    <w:p w:rsidR="008246D0" w:rsidRPr="00386BD9" w:rsidRDefault="008246D0" w:rsidP="008246D0">
      <w:pPr>
        <w:pStyle w:val="NormalHanging12a"/>
      </w:pPr>
      <w:r w:rsidRPr="00386BD9">
        <w:t>5.</w:t>
      </w:r>
      <w:r w:rsidRPr="00386BD9">
        <w:tab/>
      </w:r>
      <w:proofErr w:type="gramStart"/>
      <w:r w:rsidRPr="00386BD9">
        <w:t>z</w:t>
      </w:r>
      <w:proofErr w:type="gramEnd"/>
      <w:r w:rsidRPr="00386BD9">
        <w:t xml:space="preserve"> zadowoleniem odnosi się do tego, że w 2022 r. Instytut wspierał kształtowanie polityki Unii, monitorując luki i tendencje w zakresie równouprawnienia płci poprzez uruchomienie wskaźnika równouprawnienia płci, oraz zorganizował swoje pierwsze Forum ds. Równości Płci, na którym decydenci polityczni wysokiego szczebla i członkowie społeczeństwa obywatelskiego prowadzili różne dyskusje panelowe, warsztaty i sesje polegające na wymianie doświadczeń; odnotowuje ponadto, że Instytut opracował dokument orientacyjny dotyczący wpływu pandemii COVID-19 na młode kobiety i młodych mężczyzn, zawierający zalecenia dotyczące zaangażowania i wzmocnienia pozycji młodzieży; zwraca także uwagę, że Instytut opublikował sprawozdanie pt. „Sztuczna inteligencja, praca oparta na modelu platformowym i równość płci”, w </w:t>
      </w:r>
      <w:proofErr w:type="gramStart"/>
      <w:r w:rsidRPr="00386BD9">
        <w:t>którym</w:t>
      </w:r>
      <w:proofErr w:type="gramEnd"/>
      <w:r w:rsidRPr="00386BD9">
        <w:t xml:space="preserve"> wykazano, że sztuczna inteligencja i praca za pośrednictwem platform internetowych mogą przyczynić się do poprawy równouprawnienia płci w gospodarce;</w:t>
      </w:r>
    </w:p>
    <w:p w:rsidR="008246D0" w:rsidRPr="00386BD9" w:rsidRDefault="008246D0" w:rsidP="008246D0">
      <w:pPr>
        <w:pStyle w:val="NormalHanging12a"/>
      </w:pPr>
      <w:r w:rsidRPr="00386BD9">
        <w:t>6.</w:t>
      </w:r>
      <w:r w:rsidRPr="00386BD9">
        <w:tab/>
      </w:r>
      <w:proofErr w:type="gramStart"/>
      <w:r w:rsidRPr="00386BD9">
        <w:t>przypomina</w:t>
      </w:r>
      <w:proofErr w:type="gramEnd"/>
      <w:r w:rsidRPr="00386BD9">
        <w:t xml:space="preserve">, że Instytut został ustanowiony w celu przyczynienia się do równości płci w Unii i wzmocnienia jej promowania przez dostarczanie wysokiej jakości badań naukowych i porównywalnych danych, aby pomóc instytucjom unijnym i państwom członkowskim we włączaniu problematyki równości płci do głównego nurtu wszystkich ich strategii politycznych i zwalczaniu dyskryminacji ze względu na płeć; podkreśla </w:t>
      </w:r>
      <w:r w:rsidRPr="00386BD9">
        <w:lastRenderedPageBreak/>
        <w:t>zatem, że Instytut odgrywa kluczową rolę w gromadzeniu, analizowaniu, przetwarzaniu i rozpowszechnianiu danych i informacji niezbędnych dla decydentów politycznych oraz strategii politycznych Unii Europejskiej i jej państw członkowskich;</w:t>
      </w:r>
    </w:p>
    <w:p w:rsidR="008246D0" w:rsidRPr="00386BD9" w:rsidRDefault="008246D0" w:rsidP="008246D0">
      <w:pPr>
        <w:pStyle w:val="NormalHanging12a"/>
      </w:pPr>
      <w:r w:rsidRPr="00386BD9">
        <w:t>7.</w:t>
      </w:r>
      <w:r w:rsidRPr="00386BD9">
        <w:tab/>
      </w:r>
      <w:proofErr w:type="gramStart"/>
      <w:r w:rsidRPr="00386BD9">
        <w:t>podkreśla</w:t>
      </w:r>
      <w:proofErr w:type="gramEnd"/>
      <w:r w:rsidRPr="00386BD9">
        <w:t xml:space="preserve">, jak ważne jest zwalczanie nierówności wśród kobiet i niesprawiedliwości wobec nich; wzywa Komisję i państwa członkowskie, by podjęły pilne działania w celu rozwiązania problemu ubóstwa i rosnących nierówności wśród kobiet, zwłaszcza wśród grup znajdujących się w trudnej sytuacji, w tym samotnych matek, kobiet z niepełnosprawnościami, kobiet dyskryminowanych na tle rasowym, kobiet LGBTIQ+, migrantek i uchodźczyń, kobiet starszych oraz kobiet mieszkających na obszarach wiejskich lub słabo zaludnionych; zauważa, że można to osiągnąć przez zaspokojenie potrzeby zwiększonego finansowania działań na rzecz równości płci w zakresie zatrudnienia i wzrostu gospodarczego, a także w celu zwalczania przemocy uwarunkowanej płcią i różnic w wynagrodzeniach </w:t>
      </w:r>
      <w:proofErr w:type="gramStart"/>
      <w:r w:rsidRPr="00386BD9">
        <w:t>i</w:t>
      </w:r>
      <w:proofErr w:type="gramEnd"/>
      <w:r w:rsidRPr="00386BD9">
        <w:t xml:space="preserve"> emeryturach ze względu na płeć, przeciwdziałania wpływowi kryzysów na kobiety, uwzględniania aspektu płci i sporządzania budżetu z uwzględnieniem aspektu płci w związku z rosnącym wskaźnikiem ubóstwa wśród kobiet oraz w odniesieniu do praw, demokracji i praworządności;</w:t>
      </w:r>
    </w:p>
    <w:p w:rsidR="008246D0" w:rsidRPr="00386BD9" w:rsidRDefault="008246D0" w:rsidP="008246D0">
      <w:pPr>
        <w:spacing w:after="240"/>
        <w:ind w:left="567" w:hanging="567"/>
        <w:rPr>
          <w:b/>
          <w:i/>
          <w:szCs w:val="24"/>
        </w:rPr>
      </w:pPr>
      <w:r w:rsidRPr="00386BD9">
        <w:rPr>
          <w:b/>
          <w:i/>
        </w:rPr>
        <w:t>Wydajność i poprawa wyników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8.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odnotowuje</w:t>
      </w:r>
      <w:proofErr w:type="gramEnd"/>
      <w:r w:rsidRPr="00386BD9">
        <w:rPr>
          <w:lang w:val="pl-PL"/>
        </w:rPr>
        <w:t xml:space="preserve"> synergię Instytutu między innymi z Europejską Fundacją na rzecz Poprawy Warunków Życia i Pracy (</w:t>
      </w:r>
      <w:proofErr w:type="spellStart"/>
      <w:r w:rsidRPr="00386BD9">
        <w:rPr>
          <w:lang w:val="pl-PL"/>
        </w:rPr>
        <w:t>Eurofound</w:t>
      </w:r>
      <w:proofErr w:type="spellEnd"/>
      <w:r w:rsidRPr="00386BD9">
        <w:rPr>
          <w:lang w:val="pl-PL"/>
        </w:rPr>
        <w:t>), Agencją Praw Podstawowych Unii Europejskiej (FRA) i Europejską Agencją Bezpieczeństwa i Zdrowia w Miejscu Pracy; na podstawie odpowiedzi Instytutu zwraca uwagę, że Instytut jest aktywnym członkiem sieci agencji zajmujących się wymiarem sprawiedliwości i sprawami wewnętrznymi (</w:t>
      </w:r>
      <w:proofErr w:type="spellStart"/>
      <w:r w:rsidRPr="00386BD9">
        <w:rPr>
          <w:lang w:val="pl-PL"/>
        </w:rPr>
        <w:t>WSiSW</w:t>
      </w:r>
      <w:proofErr w:type="spellEnd"/>
      <w:r w:rsidRPr="00386BD9">
        <w:rPr>
          <w:lang w:val="pl-PL"/>
        </w:rPr>
        <w:t xml:space="preserve">), utrzymuje regularne kontakty ze wszystkimi agencjami </w:t>
      </w:r>
      <w:proofErr w:type="spellStart"/>
      <w:r w:rsidRPr="00386BD9">
        <w:rPr>
          <w:lang w:val="pl-PL"/>
        </w:rPr>
        <w:t>WSiSW</w:t>
      </w:r>
      <w:proofErr w:type="spellEnd"/>
      <w:r w:rsidRPr="00386BD9">
        <w:rPr>
          <w:lang w:val="pl-PL"/>
        </w:rPr>
        <w:t xml:space="preserve"> i aktywnie uczestniczy w działaniach sieci agencji UE ds. doradztwa naukowego; odnotowuje ponadto współpracę Instytutu z dostawcami danych, takimi jak Eurostat, FRA, </w:t>
      </w:r>
      <w:proofErr w:type="spellStart"/>
      <w:r w:rsidRPr="00386BD9">
        <w:rPr>
          <w:lang w:val="pl-PL"/>
        </w:rPr>
        <w:t>Eurofound</w:t>
      </w:r>
      <w:proofErr w:type="spellEnd"/>
      <w:r w:rsidRPr="00386BD9">
        <w:rPr>
          <w:lang w:val="pl-PL"/>
        </w:rPr>
        <w:t xml:space="preserve"> lub </w:t>
      </w:r>
      <w:proofErr w:type="spellStart"/>
      <w:r w:rsidRPr="00386BD9">
        <w:rPr>
          <w:lang w:val="pl-PL"/>
        </w:rPr>
        <w:t>Eurojust</w:t>
      </w:r>
      <w:proofErr w:type="spellEnd"/>
      <w:r w:rsidRPr="00386BD9">
        <w:rPr>
          <w:lang w:val="pl-PL"/>
        </w:rPr>
        <w:t>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9.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pochwala</w:t>
      </w:r>
      <w:proofErr w:type="gramEnd"/>
      <w:r w:rsidRPr="00386BD9">
        <w:rPr>
          <w:lang w:val="pl-PL"/>
        </w:rPr>
        <w:t xml:space="preserve"> Instytut za postępy poczynione w 2022 r. w celu poprawy jego wewnętrznej efektywności dzięki dalszej cyfryzacji procedur pracy, a także maksymalizacji wykorzystania komunikacji online i wirtualnego udziału w posiedzeniach i wydarzeniach; odnotowuje w szczególności, że w 2022 r. Instytut opracował lub wdrożył kilka narzędzi, takich jak podpis elektroniczny, Sysper2 (narzędzie Komisji do zarządzania zasobami ludzkimi), narzędzie rekrutacji elektronicznej oraz narzędzie zarządzania projektami przyczyniające się do automatyzacji i cyfryzacji kluczowych procedur (zarządzanie zasobami ludzkimi, projektami i finansami); zwraca uwagę, że Instytut udostępnił swoje zasoby ludzkie i finansowe, aby wykorzystać umowę </w:t>
      </w:r>
      <w:proofErr w:type="spellStart"/>
      <w:r w:rsidRPr="00386BD9">
        <w:rPr>
          <w:lang w:val="pl-PL"/>
        </w:rPr>
        <w:t>międzyagencyjną</w:t>
      </w:r>
      <w:proofErr w:type="spellEnd"/>
      <w:r w:rsidRPr="00386BD9">
        <w:rPr>
          <w:lang w:val="pl-PL"/>
        </w:rPr>
        <w:t xml:space="preserve"> na świadczenie usług do oceny projektów; odnotowuje ponadto, że Instytut określił </w:t>
      </w:r>
      <w:proofErr w:type="gramStart"/>
      <w:r w:rsidRPr="00386BD9">
        <w:rPr>
          <w:lang w:val="pl-PL"/>
        </w:rPr>
        <w:t>szereg</w:t>
      </w:r>
      <w:proofErr w:type="gramEnd"/>
      <w:r w:rsidRPr="00386BD9">
        <w:rPr>
          <w:lang w:val="pl-PL"/>
        </w:rPr>
        <w:t xml:space="preserve"> środków mających na celu ograniczenie emisji CO</w:t>
      </w:r>
      <w:r w:rsidRPr="00386BD9">
        <w:rPr>
          <w:vertAlign w:val="subscript"/>
          <w:lang w:val="pl-PL"/>
        </w:rPr>
        <w:t>2</w:t>
      </w:r>
      <w:r w:rsidRPr="00386BD9">
        <w:rPr>
          <w:lang w:val="pl-PL"/>
        </w:rPr>
        <w:t xml:space="preserve"> i przyjęcie przyjaznych dla środowiska praktyk pracy (klauzule dotyczące zrównoważenia środowiskowego w umowach Instytutu, recykling papieru i tworzyw sztucznych, elektroniczny przepływ pracy oraz gromadzenie danych na temat emisji CO</w:t>
      </w:r>
      <w:r w:rsidRPr="00386BD9">
        <w:rPr>
          <w:vertAlign w:val="subscript"/>
          <w:lang w:val="pl-PL"/>
        </w:rPr>
        <w:t>2</w:t>
      </w:r>
      <w:r w:rsidRPr="00386BD9">
        <w:rPr>
          <w:lang w:val="pl-PL"/>
        </w:rPr>
        <w:t xml:space="preserve"> spowodowanych podróżami służbowymi pracowników Instytutu);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Polityka kadrowa</w:t>
      </w:r>
    </w:p>
    <w:p w:rsidR="008246D0" w:rsidRPr="00386BD9" w:rsidRDefault="008246D0" w:rsidP="008246D0">
      <w:pPr>
        <w:spacing w:after="240"/>
        <w:ind w:left="567" w:hanging="567"/>
      </w:pPr>
      <w:r w:rsidRPr="00386BD9">
        <w:t>10.</w:t>
      </w:r>
      <w:r w:rsidRPr="00386BD9">
        <w:tab/>
      </w:r>
      <w:proofErr w:type="gramStart"/>
      <w:r w:rsidRPr="00386BD9">
        <w:t>stwierdza</w:t>
      </w:r>
      <w:proofErr w:type="gramEnd"/>
      <w:r w:rsidRPr="00386BD9">
        <w:t xml:space="preserve">, że na dzień 31 grudnia 2022 r. plan zatrudnienia zrealizowano w 100 %, przyjmując do pracy 27 urzędników i pracowników na czas określony, podczas gdy </w:t>
      </w:r>
      <w:r w:rsidRPr="00386BD9">
        <w:lastRenderedPageBreak/>
        <w:t>budżet Unii przewidywał 27 stanowiska dla urzędników i pracowników na czas określony (taka sama liczba stanowisk jak w 2021 r.); odnotowuje ponadto, że w 2022 r. wskaźnik rotacji personelu Agencji wyniósł 11 %, czyli był identyczny ze wskaźnikami z lat 2021 i 2020 r.;</w:t>
      </w:r>
    </w:p>
    <w:p w:rsidR="008246D0" w:rsidRPr="00386BD9" w:rsidRDefault="008246D0" w:rsidP="008246D0">
      <w:pPr>
        <w:pStyle w:val="NormalHanging12a"/>
      </w:pPr>
      <w:r w:rsidRPr="00386BD9">
        <w:t>11.</w:t>
      </w:r>
      <w:r w:rsidRPr="00386BD9">
        <w:tab/>
      </w:r>
      <w:proofErr w:type="gramStart"/>
      <w:r w:rsidRPr="00386BD9">
        <w:t>zwraca</w:t>
      </w:r>
      <w:proofErr w:type="gramEnd"/>
      <w:r w:rsidRPr="00386BD9">
        <w:t xml:space="preserve"> uwagę, że Instytut zakończył roczną ocenę wyników w odniesieniu do wszystkich 62 pracowników i zapewnił pracownikom odpowiednie możliwości szkoleniowe mające na celu poprawę ich umiejętności i kompetencji; z zadowoleniem przyjmuje fakt, że w celu promowania i ułatwiania rozwoju zawodowego w Instytucie w 2022 r. zorganizowano 19 różnych grupowych programów szkoleniowych z udziałem 414 uczestników, a 20 pracowników statutowych podjęło 42 indywidualne kursy szkoleniowe; zwraca uwagę, że Instytut nadal promował szkolenia językowe dla pracowników zatrudnionych na czas określony, pracowników kontraktowych, oddelegowanych ekspertów krajowych i stażystów, zwracając koszty do 500 EUR na pracownika; zachęca Instytut do dalszego koncentrowania się na rozwoju kariery zawodowej dzięki opracowaniu długoterminowej polityki kadrowej </w:t>
      </w:r>
      <w:proofErr w:type="gramStart"/>
      <w:r w:rsidRPr="00386BD9">
        <w:t>w</w:t>
      </w:r>
      <w:proofErr w:type="gramEnd"/>
      <w:r w:rsidRPr="00386BD9">
        <w:t xml:space="preserve"> dziedzinie oferowania konkretnych możliwości szkoleniowych w zakresie rozwoju kariery zawodowej;</w:t>
      </w:r>
    </w:p>
    <w:p w:rsidR="008246D0" w:rsidRPr="00386BD9" w:rsidRDefault="008246D0" w:rsidP="008246D0">
      <w:pPr>
        <w:pStyle w:val="NormalHanging12a"/>
      </w:pPr>
      <w:r w:rsidRPr="00386BD9">
        <w:t>12.</w:t>
      </w:r>
      <w:r w:rsidRPr="00386BD9">
        <w:tab/>
      </w:r>
      <w:proofErr w:type="gramStart"/>
      <w:r w:rsidRPr="00386BD9">
        <w:t>wyraża</w:t>
      </w:r>
      <w:proofErr w:type="gramEnd"/>
      <w:r w:rsidRPr="00386BD9">
        <w:t xml:space="preserve"> zadowolenie, że osiągnięty w 2021 r. zrównoważony podział stanowisk według płci w kadrze kierowniczej wyższego i średniego szczebla (2 mężczyzn (50 %) i 2 kobiety (50 %)) utrzymał się w 2022 r., oraz zwraca uwagę na utrzymujący się brak równowagi płci w przypadku stanowisk w zarządzie (8 mężczyzn (21,62 %) i 29 kobiet (78,38 %)) i ogólnie wśród pracowników (14 mężczyzn (29,17 %) i 34 kobiety (70,83 %)); ponawia swój apel do Instytutu, by w przyszłości zapewnił równowagę płci; na podstawie pisemnych odpowiedzi Instytutu stwierdza jednak, że w celu osiągnięcia równowagi płci wśród swoich pracowników Instytut podjął konkretne proaktywne środki i działania, takie jak zwiększenie zasięgu ogłoszeń o naborze w celu przyciągnięcia bardziej zróżnicowanej puli talentów lub stosowanie sformułowań </w:t>
      </w:r>
      <w:proofErr w:type="gramStart"/>
      <w:r w:rsidRPr="00386BD9">
        <w:t>uwzględniających</w:t>
      </w:r>
      <w:proofErr w:type="gramEnd"/>
      <w:r w:rsidRPr="00386BD9">
        <w:t xml:space="preserve"> aspekt płci w ogłoszeniach o naborze, aby przyciągnąć uwagę zarówno kobiet, jak i mężczyzn; apeluje do Komisji i państw członkowskich, by przy wyznaczaniu swoich kandydatów na członków zarządu Instytutu brały pod uwagę znaczenie zapewnienia równowagi płci;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13.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na</w:t>
      </w:r>
      <w:proofErr w:type="gramEnd"/>
      <w:r w:rsidRPr="00386BD9">
        <w:rPr>
          <w:lang w:val="pl-PL"/>
        </w:rPr>
        <w:t xml:space="preserve"> podstawie odpowiedzi Instytutu odnotowuje, że w 2022 r. nie zgłoszono przypadków molestowania, nie prowadzono dochodzenia w sprawie takich przypadków, nie zakończono ich wewnętrznie ani nie wniesiono sprawy do sądu; zwraca jednak uwagę, że nie oznacza to automatycznie braku takich przypadków, zwłaszcza że molestowanie może przybierać różne formy i pozostać niezgłoszone; wzywa Instytut do prowadzenia dalszych prac w celu utrzymania istniejącej tendencji, przy jednoczesnym wprowadzeniu wszystkich odpowiednich zabezpieczeń pozwalających dopilnować, żeby żaden przypadek nie pozostał niezgłoszony; wyraża uznanie dla Instytutu za zorganizowanie w 2022 r. szkoleń na temat zapobiegania molestowaniu, zarówno dla kadry kierowniczej, jak i personelu; zwraca ponadto uwagę, że Instytut </w:t>
      </w:r>
      <w:proofErr w:type="gramStart"/>
      <w:r w:rsidRPr="00386BD9">
        <w:rPr>
          <w:lang w:val="pl-PL"/>
        </w:rPr>
        <w:t>wykorzystał</w:t>
      </w:r>
      <w:proofErr w:type="gramEnd"/>
      <w:r w:rsidRPr="00386BD9">
        <w:rPr>
          <w:lang w:val="pl-PL"/>
        </w:rPr>
        <w:t xml:space="preserve"> swoją wyznaczoną zewnętrzną kancelarię prawną do rozpatrzenia w </w:t>
      </w:r>
      <w:proofErr w:type="spellStart"/>
      <w:r w:rsidRPr="00386BD9">
        <w:rPr>
          <w:lang w:val="pl-PL"/>
        </w:rPr>
        <w:t>w</w:t>
      </w:r>
      <w:proofErr w:type="spellEnd"/>
      <w:r w:rsidRPr="00386BD9">
        <w:rPr>
          <w:lang w:val="pl-PL"/>
        </w:rPr>
        <w:t xml:space="preserve"> świetle prawa wcześniejszych przypadków molestowania; odnotowuje, że Instytut nie posiada własnego działu obsługi prawnej ani stanowiska doradcy prawnego;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14.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zwraca</w:t>
      </w:r>
      <w:proofErr w:type="gramEnd"/>
      <w:r w:rsidRPr="00386BD9">
        <w:rPr>
          <w:lang w:val="pl-PL"/>
        </w:rPr>
        <w:t xml:space="preserve"> uwagę, że w 2022 r. zakończono toczącą się sprawę przeciwko przedsiębiorstwu UAB </w:t>
      </w:r>
      <w:proofErr w:type="spellStart"/>
      <w:r w:rsidRPr="00386BD9">
        <w:rPr>
          <w:lang w:val="pl-PL"/>
        </w:rPr>
        <w:t>Manpower</w:t>
      </w:r>
      <w:proofErr w:type="spellEnd"/>
      <w:r w:rsidRPr="00386BD9">
        <w:rPr>
          <w:lang w:val="pl-PL"/>
        </w:rPr>
        <w:t xml:space="preserve"> Lit., wszczętą przez wielu byłych pracowników tymczasowych w sądzie rejonowym w Wilnie na początku 2018 r.; przypomina, że w wyroku Trybunału </w:t>
      </w:r>
      <w:r w:rsidRPr="00386BD9">
        <w:rPr>
          <w:lang w:val="pl-PL"/>
        </w:rPr>
        <w:lastRenderedPageBreak/>
        <w:t>Sprawiedliwości z 11 listopada 2021 r.</w:t>
      </w:r>
      <w:r w:rsidRPr="00386BD9">
        <w:rPr>
          <w:rStyle w:val="FootnoteReference"/>
          <w:szCs w:val="24"/>
          <w:lang w:val="pl-PL"/>
        </w:rPr>
        <w:footnoteReference w:id="13"/>
      </w:r>
      <w:r w:rsidRPr="00386BD9">
        <w:rPr>
          <w:lang w:val="pl-PL"/>
        </w:rPr>
        <w:t xml:space="preserve"> potwierdzono, iż dyrektywa Parlamentu Europejskiego i Rady 2008/104/WE</w:t>
      </w:r>
      <w:r w:rsidRPr="00386BD9">
        <w:rPr>
          <w:rStyle w:val="FootnoteReference"/>
          <w:szCs w:val="24"/>
          <w:lang w:val="pl-PL"/>
        </w:rPr>
        <w:footnoteReference w:id="14"/>
      </w:r>
      <w:r w:rsidRPr="00386BD9">
        <w:rPr>
          <w:lang w:val="pl-PL"/>
        </w:rPr>
        <w:t xml:space="preserve"> ma zastosowanie do agencji zdecentralizowanych Unii, oraz potwierdzono zasadę równego traktowania pracowników tymczasowych i pracowników statutowych; zwraca uwagę, że Sąd Najwyższy Litwy podtrzymał ten wyrok Trybunału Sprawiedliwości i orzekł na korzyść pracowników tymczasowych; z zadowoleniem przyjmuje fakt, że od 1 stycznia 2022 r. Instytut nie zatrudnia już pracowników tymczasowych;</w:t>
      </w:r>
    </w:p>
    <w:p w:rsidR="008246D0" w:rsidRPr="00386BD9" w:rsidRDefault="008246D0" w:rsidP="008246D0">
      <w:pPr>
        <w:pStyle w:val="Normal12Hanging"/>
        <w:rPr>
          <w:lang w:val="pl-PL"/>
        </w:rPr>
      </w:pPr>
      <w:r w:rsidRPr="00386BD9">
        <w:rPr>
          <w:lang w:val="pl-PL"/>
        </w:rPr>
        <w:t>15.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z</w:t>
      </w:r>
      <w:proofErr w:type="gramEnd"/>
      <w:r w:rsidRPr="00386BD9">
        <w:rPr>
          <w:lang w:val="pl-PL"/>
        </w:rPr>
        <w:t xml:space="preserve"> zadowoleniem przyjmuje kompleksową politykę Instytutu dotyczącą dobrostanu, która obejmuje szereg środków wspierających równowagę między życiem zawodowym a prywatnym, telepracę i zdrowy styl życia jego pracowników; odnotowuje stałe wysiłki Instytutu na rzecz poprawy środowiska pracy w 2022 r. poprzez łączne zapewnienie szacunku i uczciwości, ducha zespołu i współpracy między działami w celu lepszego zrozumienia i poparcia ze strony pracowników dla stosowanej przez Instytut zasady zerowej tolerancji dla molestowania psychicznego i molestowania seksualnego; zwraca ponadto uwagę na środki Instytutu mające na celu wsparcie personelu, takie jak rozszerzenie możliwości telepracy w przypadku udokumentowanych sytuacji osobistych lub zwrot pracownikom </w:t>
      </w:r>
      <w:proofErr w:type="spellStart"/>
      <w:r w:rsidRPr="00386BD9">
        <w:rPr>
          <w:lang w:val="pl-PL"/>
        </w:rPr>
        <w:t>niestatutowym</w:t>
      </w:r>
      <w:proofErr w:type="spellEnd"/>
      <w:r w:rsidRPr="00386BD9">
        <w:rPr>
          <w:lang w:val="pl-PL"/>
        </w:rPr>
        <w:t xml:space="preserve"> kosztów za sesje psychoterapii;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Zamówienia</w:t>
      </w:r>
    </w:p>
    <w:p w:rsidR="008246D0" w:rsidRPr="00386BD9" w:rsidRDefault="008246D0" w:rsidP="008246D0">
      <w:pPr>
        <w:spacing w:after="240"/>
        <w:ind w:left="567" w:hanging="567"/>
        <w:rPr>
          <w:szCs w:val="24"/>
        </w:rPr>
      </w:pPr>
      <w:r w:rsidRPr="00386BD9">
        <w:t>16.</w:t>
      </w:r>
      <w:r w:rsidRPr="00386BD9">
        <w:tab/>
      </w:r>
      <w:proofErr w:type="gramStart"/>
      <w:r w:rsidRPr="00386BD9">
        <w:t>z</w:t>
      </w:r>
      <w:proofErr w:type="gramEnd"/>
      <w:r w:rsidRPr="00386BD9">
        <w:t xml:space="preserve"> niepokojem odnotowuje zawartą w sprawozdaniu Trybunału uwagę dotyczącą umowy ramowej, zgodnie z którą płatność kwoty 25 571,18 EUR (z łącznej kwoty 511 296 EUR wypłaconej w ramach tej umowy) dokonana przez Instytut w 2022 r. w odniesieniu do kategorii kosztów „nieprzewidziane wydatki” została uznana za nieprawidłową, ponieważ tej kategorii kosztów nie ujęto w umowie ramowej; wyraża zadowolenie, że Instytut wprowadził do umowy ramowej formalną zmianę określającą odsetek budżetu przeznaczony na nieprzewidziane wydatki i cel wykorzystania tych środków;</w:t>
      </w:r>
    </w:p>
    <w:p w:rsidR="008246D0" w:rsidRPr="00386BD9" w:rsidRDefault="008246D0" w:rsidP="008246D0">
      <w:pPr>
        <w:spacing w:after="240"/>
        <w:ind w:left="567" w:hanging="567"/>
        <w:rPr>
          <w:szCs w:val="24"/>
        </w:rPr>
      </w:pPr>
      <w:r w:rsidRPr="00386BD9">
        <w:t>17.</w:t>
      </w:r>
      <w:r w:rsidRPr="00386BD9">
        <w:tab/>
      </w:r>
      <w:proofErr w:type="gramStart"/>
      <w:r w:rsidRPr="00386BD9">
        <w:t>odnotowuje</w:t>
      </w:r>
      <w:proofErr w:type="gramEnd"/>
      <w:r w:rsidRPr="00386BD9">
        <w:t xml:space="preserve"> kolejną uwagę zawartą w sprawozdaniu Trybunału dotyczącą nieprawidłowości procedury i wynikającej z niej umowy w związku ze skontrolowaną procedurą negocjacyjną o wartości poniżej 60 000 EUR z udziałem co najmniej trzech kandydatów; w odniesieniu do tej ostatniej uwagi uznaje jednak, że w 2022 r. nie dokonano żadnych płatności w ramach tej umowy; wzywa Instytut do usunięcia niedociągnięć w kontroli wewnętrznej w dziedzinie zamówień publicznych;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Zapobieganie konfliktom interesów i zarządzanie nimi oraz przejrzystość</w:t>
      </w:r>
    </w:p>
    <w:p w:rsidR="008246D0" w:rsidRPr="00386BD9" w:rsidRDefault="008246D0" w:rsidP="008246D0">
      <w:pPr>
        <w:spacing w:after="240"/>
        <w:ind w:left="567" w:hanging="567"/>
        <w:rPr>
          <w:szCs w:val="24"/>
        </w:rPr>
      </w:pPr>
      <w:r w:rsidRPr="00386BD9">
        <w:t>18.</w:t>
      </w:r>
      <w:r w:rsidRPr="00386BD9">
        <w:tab/>
      </w:r>
      <w:proofErr w:type="gramStart"/>
      <w:r w:rsidRPr="00386BD9">
        <w:t>odnotowuje</w:t>
      </w:r>
      <w:proofErr w:type="gramEnd"/>
      <w:r w:rsidRPr="00386BD9">
        <w:t xml:space="preserve"> wprowadzone środki i aktualnie wdrażane działania Instytutu pozwalające zapewnić przejrzystość, zapobiegać konfliktom interesów i zarządzać nimi oraz chronić sygnalistów; zwraca w szczególności uwagę, że Instytut zapobiega konfliktom interesów i zarządza nimi poprzez podnoszenie świadomości i monitorowanie ważności deklaracji interesów podpisanych przez zarząd, kadrę kierowniczą wyższego szczebla i pracowników zaangażowanych w procedury rekrutacji i udzielania zamówień; odnotowuje ponadto, że w 2023 r. Instytut zaktualizował swoją politykę zapobiegania </w:t>
      </w:r>
      <w:r w:rsidRPr="00386BD9">
        <w:lastRenderedPageBreak/>
        <w:t xml:space="preserve">konfliktom interesów i zarządzania nimi, aby uwzględnić zalecenia dotyczące efektu „drzwi obrotowych” wydane przez Trybunał w sprawozdaniu z audytu dotyczącym agencji zdecentralizowanych Unii za 2021 r. oraz w innych istotnych sprawozdaniach lub badaniach wydanych przez </w:t>
      </w:r>
      <w:proofErr w:type="gramStart"/>
      <w:r w:rsidRPr="00386BD9">
        <w:t>organ</w:t>
      </w:r>
      <w:proofErr w:type="gramEnd"/>
      <w:r w:rsidRPr="00386BD9">
        <w:t xml:space="preserve"> udzielający absolutorium i Europejskiego Rzecznika Praw Obywatelskich; wzywa Trybunał do uwzględnienia w przyszłych planach kontroli Trybunału nowej polityki Instytutu w zakresie zapobiegania konfliktom interesów i zarządzania nimi;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lang w:val="pl-PL"/>
        </w:rPr>
        <w:t>19.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zwraca</w:t>
      </w:r>
      <w:proofErr w:type="gramEnd"/>
      <w:r w:rsidRPr="00386BD9">
        <w:rPr>
          <w:lang w:val="pl-PL"/>
        </w:rPr>
        <w:t xml:space="preserve"> uwagę, że Instytut opublikował na swojej stronie internetowej życiorysy i deklaracje interesów swojej dyrektor i członków zarządu; przypomina o znaczeniu publikowania życiorysów i deklaracji interesów; wzywa Instytut do niezwłocznego publikowania informacji o spotkaniach z przedstawicielami grup interesu oraz do udostępnienia organowi udzielającemu absolutorium strony internetowej, na której publikowane są informacje o takich spotkaniach;</w:t>
      </w:r>
    </w:p>
    <w:p w:rsidR="008246D0" w:rsidRPr="00386BD9" w:rsidRDefault="008246D0" w:rsidP="008246D0">
      <w:pPr>
        <w:pStyle w:val="Normal12Hanging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Mechanizmy kontroli wewnętrznej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20.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przyjmuje</w:t>
      </w:r>
      <w:proofErr w:type="gramEnd"/>
      <w:r w:rsidRPr="00386BD9">
        <w:rPr>
          <w:lang w:val="pl-PL"/>
        </w:rPr>
        <w:t xml:space="preserve"> z zadowoleniem środki przyjęte przez Instytut w 2022 r. w celu wzmocnienia jego systemu kontroli wewnętrznej; w związku z powyższym zwraca uwagę, że Instytut czyni postępy w działaniach związanych z kontrolą wewnętrzną i audytem, takich jak wdrażanie zaleceń lub uwag wydanych przez Trybunał i Służbę Audytu Wewnętrznego (IAS) w ich sprawozdaniach z audytu z 2021 r. oraz podejmowanie działań i środków określonych w strategii Instytutu w zakresie zwalczania nadużyć finansowych na lata 2021–2023; wyraża zadowolenie, że te działania i środki obejmują zapewnienie szkoleń na temat zapobiegania nadużyciom finansowym, podnoszenie świadomości za pośrednictwem specjalnej strony intranetowej poświęconej zwalczaniu nadużyć finansowych oraz specjalne kontrole </w:t>
      </w:r>
      <w:proofErr w:type="gramStart"/>
      <w:r w:rsidRPr="00386BD9">
        <w:rPr>
          <w:lang w:val="pl-PL"/>
        </w:rPr>
        <w:t>i</w:t>
      </w:r>
      <w:proofErr w:type="gramEnd"/>
      <w:r w:rsidRPr="00386BD9">
        <w:rPr>
          <w:lang w:val="pl-PL"/>
        </w:rPr>
        <w:t xml:space="preserve"> oceny ryzyka nadużyć finansowych;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21.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odnotowuje</w:t>
      </w:r>
      <w:proofErr w:type="gramEnd"/>
      <w:r w:rsidRPr="00386BD9">
        <w:rPr>
          <w:lang w:val="pl-PL"/>
        </w:rPr>
        <w:t>, że w 2022 r. Służba Audytu Wewnętrznego przeprowadziła szczegółową ocenę systemu kontroli wewnętrznej Instytutu; zwraca ponadto uwagę na wyniki tej oceny, podczas której zidentyfikowano cztery umiarkowane niedociągnięcia związane z komponentami I (środowisko kontroli), III (działania kontrolne) i IV (informacja i komunikacja) oraz jedno poważne niedociągnięcie w ramach komponentu III, a także potrzebę poprawy lub znacznej poprawy różnych zasad (4, 10, 11 i 13); wzywa Instytut, aby poinformował organ udzielający absolutorium o postępach w odpowiedzi na ustalenia Służby Audytu Wewnętrznego;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22.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odnotowuje</w:t>
      </w:r>
      <w:proofErr w:type="gramEnd"/>
      <w:r w:rsidRPr="00386BD9">
        <w:rPr>
          <w:lang w:val="pl-PL"/>
        </w:rPr>
        <w:t>, że w 2022 r. opublikowano drugą niezależną ocenę zewnętrzną Instytutu; w tym kontekście zwraca uwagę, że zarząd Instytutu skierował do Komisji pismo zawierające zalecenia dotyczące forum ekspertów Instytutu, funkcjonowania zarządu i kwestii kadrowych; na podstawie wspomnianego pisma rozumie, że uwzględnienie tych zaleceń może wymagać zmiany rozporządzenia (WE) nr 1922/2006</w:t>
      </w:r>
      <w:r w:rsidRPr="00386BD9">
        <w:rPr>
          <w:rStyle w:val="FootnoteReference"/>
          <w:lang w:val="pl-PL"/>
        </w:rPr>
        <w:footnoteReference w:id="15"/>
      </w:r>
      <w:r w:rsidRPr="00386BD9">
        <w:rPr>
          <w:lang w:val="pl-PL"/>
        </w:rPr>
        <w:t xml:space="preserve"> ustanawiającego Instytut; wzywa Komisję do wspierania Instytutu w analizie działań następczych i dyskusjach na temat wyników tej oceny zewnętrznej;</w:t>
      </w:r>
    </w:p>
    <w:p w:rsidR="008246D0" w:rsidRPr="00386BD9" w:rsidRDefault="008246D0" w:rsidP="008246D0">
      <w:pPr>
        <w:spacing w:after="240"/>
        <w:ind w:left="567" w:hanging="567"/>
        <w:rPr>
          <w:szCs w:val="24"/>
        </w:rPr>
      </w:pPr>
      <w:r w:rsidRPr="00386BD9">
        <w:t>23.</w:t>
      </w:r>
      <w:r w:rsidRPr="00386BD9">
        <w:tab/>
      </w:r>
      <w:proofErr w:type="gramStart"/>
      <w:r w:rsidRPr="00386BD9">
        <w:t>wyraża</w:t>
      </w:r>
      <w:proofErr w:type="gramEnd"/>
      <w:r w:rsidRPr="00386BD9">
        <w:t xml:space="preserve"> uznanie dla Instytutu za podjęcie niezbędnych działań w związku z uwagami </w:t>
      </w:r>
      <w:r w:rsidRPr="00386BD9">
        <w:lastRenderedPageBreak/>
        <w:t>Trybunału z 2021 r., ponieważ Trybunał uznał wszystkie te uwagi za zamknięte;</w:t>
      </w:r>
    </w:p>
    <w:p w:rsidR="008246D0" w:rsidRPr="00386BD9" w:rsidRDefault="008246D0" w:rsidP="008246D0">
      <w:pPr>
        <w:pStyle w:val="Normal12Hanging"/>
        <w:ind w:left="0" w:firstLine="0"/>
        <w:rPr>
          <w:b/>
          <w:i/>
          <w:szCs w:val="24"/>
          <w:lang w:val="pl-PL"/>
        </w:rPr>
      </w:pPr>
      <w:r w:rsidRPr="00386BD9">
        <w:rPr>
          <w:b/>
          <w:i/>
          <w:lang w:val="pl-PL"/>
        </w:rPr>
        <w:t>Inne kwestie</w:t>
      </w:r>
    </w:p>
    <w:p w:rsidR="008246D0" w:rsidRPr="00386BD9" w:rsidRDefault="008246D0" w:rsidP="008246D0">
      <w:pPr>
        <w:pStyle w:val="Normal12Hanging"/>
        <w:rPr>
          <w:szCs w:val="24"/>
          <w:lang w:val="pl-PL"/>
        </w:rPr>
      </w:pPr>
      <w:r w:rsidRPr="00386BD9">
        <w:rPr>
          <w:lang w:val="pl-PL"/>
        </w:rPr>
        <w:t>24.</w:t>
      </w:r>
      <w:r w:rsidRPr="00386BD9">
        <w:rPr>
          <w:lang w:val="pl-PL"/>
        </w:rPr>
        <w:tab/>
      </w:r>
      <w:proofErr w:type="gramStart"/>
      <w:r w:rsidRPr="00386BD9">
        <w:rPr>
          <w:lang w:val="pl-PL"/>
        </w:rPr>
        <w:t>odnotowuje</w:t>
      </w:r>
      <w:proofErr w:type="gramEnd"/>
      <w:r w:rsidRPr="00386BD9">
        <w:rPr>
          <w:lang w:val="pl-PL"/>
        </w:rPr>
        <w:t>, że w 2022 r. Instytut podpisał nową umowę najmu nieruchomości w Wilnie na okres 10 lat; odnotowuje ponadto, że biuro łącznikowe w Brukseli rozpoczęło działalność w 2022 r. i pomogło zwiększyć widoczność Instytutu jako zainteresowanej strony;</w:t>
      </w:r>
    </w:p>
    <w:p w:rsidR="008246D0" w:rsidRPr="00386BD9" w:rsidRDefault="008246D0" w:rsidP="008246D0">
      <w:pPr>
        <w:pStyle w:val="NormalHanging12a"/>
      </w:pPr>
      <w:r w:rsidRPr="00386BD9">
        <w:t>25.</w:t>
      </w:r>
      <w:r w:rsidRPr="00386BD9">
        <w:tab/>
      </w:r>
      <w:proofErr w:type="gramStart"/>
      <w:r w:rsidRPr="00386BD9">
        <w:t>z</w:t>
      </w:r>
      <w:proofErr w:type="gramEnd"/>
      <w:r w:rsidRPr="00386BD9">
        <w:t xml:space="preserve"> zadowoleniem przyjmuje zobowiązanie Instytutu do cyfryzacji procedur udzielania zamówień publicznych poprzez wdrożenie narzędzia zarządzania zamówieniami publicznymi, którego opracowywanie ma zostać zakończone w czwartym kwartale 2023 r.; zwraca uwagę, że – jak wynika z odpowiedzi Instytutu na pytania Komisji Kontroli Budżetowej Parlamentu – zaktualizował on w 2022 r. swoją politykę </w:t>
      </w:r>
      <w:proofErr w:type="spellStart"/>
      <w:r w:rsidRPr="00386BD9">
        <w:t>cyberbezpieczeństwa</w:t>
      </w:r>
      <w:proofErr w:type="spellEnd"/>
      <w:r w:rsidRPr="00386BD9">
        <w:t xml:space="preserve"> w celu wzmocnienia środków bezpieczeństwa; przypomina o znaczeniu regularnego aktualizowania ustaleń dotyczących audytów, testów i ocen ryzyka w zakresie IT pod kątem </w:t>
      </w:r>
      <w:proofErr w:type="spellStart"/>
      <w:r w:rsidRPr="00386BD9">
        <w:t>cyberbezpieczeństwa</w:t>
      </w:r>
      <w:proofErr w:type="spellEnd"/>
      <w:r w:rsidRPr="00386BD9">
        <w:t>;</w:t>
      </w:r>
    </w:p>
    <w:p w:rsidR="008246D0" w:rsidRPr="00386BD9" w:rsidRDefault="008246D0" w:rsidP="008246D0">
      <w:pPr>
        <w:spacing w:after="240"/>
        <w:ind w:left="567" w:hanging="567"/>
      </w:pPr>
      <w:r w:rsidRPr="00386BD9">
        <w:t>26.</w:t>
      </w:r>
      <w:r w:rsidRPr="00386BD9">
        <w:tab/>
      </w:r>
      <w:proofErr w:type="gramStart"/>
      <w:r w:rsidRPr="00386BD9">
        <w:t>odnotowuje</w:t>
      </w:r>
      <w:proofErr w:type="gramEnd"/>
      <w:r w:rsidRPr="00386BD9">
        <w:t xml:space="preserve">, że Instytut dodatkowo zwiększył swoją widoczność publiczną i obecność w </w:t>
      </w:r>
      <w:proofErr w:type="spellStart"/>
      <w:r w:rsidRPr="00386BD9">
        <w:t>internecie</w:t>
      </w:r>
      <w:proofErr w:type="spellEnd"/>
      <w:r w:rsidRPr="00386BD9">
        <w:t>, inicjując lub organizując kilka kampanii lub wydarzeń, takich jak kampania #</w:t>
      </w:r>
      <w:proofErr w:type="spellStart"/>
      <w:r w:rsidRPr="00386BD9">
        <w:t>SafeSpaces</w:t>
      </w:r>
      <w:proofErr w:type="spellEnd"/>
      <w:r w:rsidRPr="00386BD9">
        <w:t>, której celem jest pokazanie m.in., w jaki sposób cyberprzemoc zagraża bezpieczeństwu kobiet i dziewcząt,</w:t>
      </w:r>
      <w:r w:rsidRPr="00386BD9">
        <w:rPr>
          <w:color w:val="000000" w:themeColor="text1"/>
        </w:rPr>
        <w:t xml:space="preserve"> oraz pierwsze forum Instytutu ds. równości kobiet i mężczyzn, którego sesje były otwarte dla publiczności za pośrednictwem transmisji na żywo i nagrań;</w:t>
      </w:r>
    </w:p>
    <w:p w:rsidR="008246D0" w:rsidRPr="00386BD9" w:rsidRDefault="008246D0" w:rsidP="008246D0">
      <w:pPr>
        <w:pStyle w:val="NormalHanging12a"/>
        <w:rPr>
          <w:b/>
          <w:i/>
        </w:rPr>
      </w:pPr>
      <w:r w:rsidRPr="00386BD9">
        <w:t>27.</w:t>
      </w:r>
      <w:r w:rsidRPr="00386BD9">
        <w:tab/>
      </w:r>
      <w:proofErr w:type="gramStart"/>
      <w:r w:rsidRPr="00386BD9">
        <w:t>podkreśla</w:t>
      </w:r>
      <w:proofErr w:type="gramEnd"/>
      <w:r w:rsidRPr="00386BD9">
        <w:t xml:space="preserve"> znaczenie opublikowanego w 2022 r. sprawozdania w sprawie </w:t>
      </w:r>
      <w:proofErr w:type="spellStart"/>
      <w:r w:rsidRPr="00386BD9">
        <w:t>kobietobójstwa</w:t>
      </w:r>
      <w:proofErr w:type="spellEnd"/>
      <w:r w:rsidRPr="00386BD9">
        <w:t xml:space="preserve"> pt. „Wskaźniki dotyczące </w:t>
      </w:r>
      <w:proofErr w:type="spellStart"/>
      <w:r w:rsidRPr="00386BD9">
        <w:t>kobietobójstwa</w:t>
      </w:r>
      <w:proofErr w:type="spellEnd"/>
      <w:r w:rsidRPr="00386BD9">
        <w:t xml:space="preserve">: badanie pilotażowe dostępności danych i oceny wykonalności” i zachęca Instytut do kontynuowania kampanii mającej na celu zwiększenie widoczności problemu </w:t>
      </w:r>
      <w:proofErr w:type="spellStart"/>
      <w:r w:rsidRPr="00386BD9">
        <w:t>kobietobójstwa</w:t>
      </w:r>
      <w:proofErr w:type="spellEnd"/>
      <w:r w:rsidRPr="00386BD9">
        <w:t xml:space="preserve"> w politykach krajowych oraz podkreślenie potencjalnych korzyści wynikających z uznania go za odrębne przestępstwo;</w:t>
      </w:r>
    </w:p>
    <w:p w:rsidR="008246D0" w:rsidRPr="00386BD9" w:rsidRDefault="008246D0" w:rsidP="008246D0">
      <w:pPr>
        <w:pStyle w:val="NormalCenter12a"/>
      </w:pPr>
      <w:r w:rsidRPr="00386BD9">
        <w:t>°</w:t>
      </w:r>
    </w:p>
    <w:p w:rsidR="008246D0" w:rsidRPr="00386BD9" w:rsidRDefault="008246D0" w:rsidP="008246D0">
      <w:pPr>
        <w:pStyle w:val="NormalCenter12a"/>
      </w:pPr>
      <w:r w:rsidRPr="00386BD9">
        <w:t>°</w:t>
      </w:r>
      <w:r w:rsidRPr="00386BD9">
        <w:tab/>
        <w:t>°</w:t>
      </w:r>
    </w:p>
    <w:p w:rsidR="008246D0" w:rsidRPr="00386BD9" w:rsidRDefault="008246D0" w:rsidP="00845BCE">
      <w:pPr>
        <w:pStyle w:val="NormalHanging12a"/>
      </w:pPr>
      <w:r w:rsidRPr="00386BD9">
        <w:t>28.</w:t>
      </w:r>
      <w:r w:rsidRPr="00386BD9">
        <w:tab/>
      </w:r>
      <w:proofErr w:type="gramStart"/>
      <w:r w:rsidRPr="00386BD9">
        <w:t>w</w:t>
      </w:r>
      <w:proofErr w:type="gramEnd"/>
      <w:r w:rsidRPr="00386BD9">
        <w:t> odniesieniu do innych uwag towarzyszących decyzji w sprawie absolutorium, które mają charakter przekrojowy, odsyła do swojej rezolucji z </w:t>
      </w:r>
      <w:r w:rsidR="00013423">
        <w:t>11 kwietnia</w:t>
      </w:r>
      <w:r w:rsidRPr="00386BD9">
        <w:t xml:space="preserve"> 2024 r.</w:t>
      </w:r>
      <w:r w:rsidR="00013423" w:rsidRPr="004C02A4">
        <w:rPr>
          <w:rStyle w:val="FootnoteReference"/>
        </w:rPr>
        <w:footnoteReference w:id="16"/>
      </w:r>
      <w:r w:rsidR="00013423" w:rsidRPr="004C02A4">
        <w:t xml:space="preserve"> w sprawie wyników, zarządzania finansami i kontroli agencji.</w:t>
      </w:r>
    </w:p>
    <w:sectPr w:rsidR="008246D0" w:rsidRPr="00386BD9" w:rsidSect="00386BD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1AC" w:rsidRPr="00386BD9" w:rsidRDefault="005C31AC">
      <w:r w:rsidRPr="00386BD9">
        <w:separator/>
      </w:r>
    </w:p>
  </w:endnote>
  <w:endnote w:type="continuationSeparator" w:id="0">
    <w:p w:rsidR="005C31AC" w:rsidRPr="00386BD9" w:rsidRDefault="005C31AC">
      <w:r w:rsidRPr="00386B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 w:rsidP="00574A1F">
    <w:pPr>
      <w:pStyle w:val="EPFooter"/>
    </w:pPr>
    <w:r w:rsidRPr="00386BD9">
      <w:t>PE</w:t>
    </w:r>
    <w:r w:rsidRPr="00386BD9">
      <w:rPr>
        <w:rStyle w:val="HideTWBExt"/>
      </w:rPr>
      <w:t>&lt;NoPE&gt;</w:t>
    </w:r>
    <w:r w:rsidRPr="00386BD9">
      <w:t>753.520</w:t>
    </w:r>
    <w:r w:rsidRPr="00386BD9">
      <w:rPr>
        <w:rStyle w:val="HideTWBExt"/>
      </w:rPr>
      <w:t>&lt;/NoPE&gt;&lt;Version&gt;</w:t>
    </w:r>
    <w:r w:rsidRPr="00386BD9">
      <w:t>v02-00</w:t>
    </w:r>
    <w:r w:rsidRPr="00386BD9">
      <w:rPr>
        <w:rStyle w:val="HideTWBExt"/>
      </w:rPr>
      <w:t>&lt;/Version&gt;</w:t>
    </w:r>
    <w:r w:rsidRPr="00386BD9">
      <w:tab/>
    </w:r>
    <w:r w:rsidRPr="00386BD9">
      <w:fldChar w:fldCharType="begin"/>
    </w:r>
    <w:r w:rsidRPr="00386BD9">
      <w:instrText xml:space="preserve"> PAGE  \* MERGEFORMAT </w:instrText>
    </w:r>
    <w:r w:rsidRPr="00386BD9">
      <w:fldChar w:fldCharType="separate"/>
    </w:r>
    <w:r w:rsidR="00386BD9" w:rsidRPr="00386BD9">
      <w:rPr>
        <w:noProof/>
      </w:rPr>
      <w:t>2</w:t>
    </w:r>
    <w:r w:rsidRPr="00386BD9">
      <w:fldChar w:fldCharType="end"/>
    </w:r>
    <w:r w:rsidRPr="00386BD9">
      <w:t>/</w:t>
    </w:r>
    <w:fldSimple w:instr=" NUMPAGES  \* MERGEFORMAT ">
      <w:r w:rsidR="00386BD9" w:rsidRPr="00386BD9">
        <w:rPr>
          <w:noProof/>
        </w:rPr>
        <w:t>3</w:t>
      </w:r>
    </w:fldSimple>
    <w:r w:rsidRPr="00386BD9">
      <w:tab/>
    </w:r>
    <w:r w:rsidRPr="00386BD9">
      <w:rPr>
        <w:rStyle w:val="HideTWBExt"/>
      </w:rPr>
      <w:t>&lt;PathFdR&gt;</w:t>
    </w:r>
    <w:r w:rsidRPr="00386BD9">
      <w:t>RR\1298746PL.docx</w:t>
    </w:r>
    <w:r w:rsidRPr="00386BD9">
      <w:rPr>
        <w:rStyle w:val="HideTWBExt"/>
      </w:rPr>
      <w:t>&lt;/PathFdR&gt;</w:t>
    </w:r>
  </w:p>
  <w:p w:rsidR="008246D0" w:rsidRPr="00386BD9" w:rsidRDefault="008246D0" w:rsidP="00574A1F">
    <w:pPr>
      <w:pStyle w:val="EPFooter2"/>
    </w:pPr>
    <w:r w:rsidRPr="00386BD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 w:rsidP="00574A1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 w:rsidP="00574A1F">
    <w:pPr>
      <w:pStyle w:val="EPFooter"/>
    </w:pPr>
    <w:r w:rsidRPr="00386BD9">
      <w:rPr>
        <w:rStyle w:val="HideTWBExt"/>
      </w:rPr>
      <w:t>&lt;PathFdR&gt;</w:t>
    </w:r>
    <w:r w:rsidRPr="00386BD9">
      <w:t>RR\1298746PL.docx</w:t>
    </w:r>
    <w:r w:rsidRPr="00386BD9">
      <w:rPr>
        <w:rStyle w:val="HideTWBExt"/>
      </w:rPr>
      <w:t>&lt;/PathFdR&gt;</w:t>
    </w:r>
    <w:r w:rsidRPr="00386BD9">
      <w:tab/>
    </w:r>
    <w:r w:rsidRPr="00386BD9">
      <w:tab/>
      <w:t>PE</w:t>
    </w:r>
    <w:r w:rsidRPr="00386BD9">
      <w:rPr>
        <w:rStyle w:val="HideTWBExt"/>
      </w:rPr>
      <w:t>&lt;NoPE&gt;</w:t>
    </w:r>
    <w:r w:rsidRPr="00386BD9">
      <w:t>753.520</w:t>
    </w:r>
    <w:r w:rsidRPr="00386BD9">
      <w:rPr>
        <w:rStyle w:val="HideTWBExt"/>
      </w:rPr>
      <w:t>&lt;/NoPE&gt;&lt;Version&gt;</w:t>
    </w:r>
    <w:r w:rsidRPr="00386BD9">
      <w:t>v02-00</w:t>
    </w:r>
    <w:r w:rsidRPr="00386BD9">
      <w:rPr>
        <w:rStyle w:val="HideTWBExt"/>
      </w:rPr>
      <w:t>&lt;/Version&gt;</w:t>
    </w:r>
  </w:p>
  <w:p w:rsidR="008246D0" w:rsidRPr="00386BD9" w:rsidRDefault="008246D0" w:rsidP="00574A1F">
    <w:pPr>
      <w:pStyle w:val="EPFooter2"/>
    </w:pPr>
    <w:r w:rsidRPr="00386BD9">
      <w:t>PL</w:t>
    </w:r>
    <w:r w:rsidRPr="00386BD9">
      <w:tab/>
    </w:r>
    <w:r w:rsidRPr="00386BD9">
      <w:rPr>
        <w:b w:val="0"/>
        <w:i/>
        <w:color w:val="C0C0C0"/>
        <w:sz w:val="22"/>
      </w:rPr>
      <w:t>Zjednoczona w różnorodności</w:t>
    </w:r>
    <w:r w:rsidRPr="00386BD9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1AC" w:rsidRPr="00386BD9" w:rsidRDefault="005C31AC">
      <w:r w:rsidRPr="00386BD9">
        <w:separator/>
      </w:r>
    </w:p>
  </w:footnote>
  <w:footnote w:type="continuationSeparator" w:id="0">
    <w:p w:rsidR="005C31AC" w:rsidRPr="00386BD9" w:rsidRDefault="005C31AC">
      <w:r w:rsidRPr="00386BD9">
        <w:continuationSeparator/>
      </w:r>
    </w:p>
  </w:footnote>
  <w:footnote w:id="1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>Dz.U. C, C/2023/594, 27.10.2023.</w:t>
      </w:r>
    </w:p>
  </w:footnote>
  <w:footnote w:id="2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>Dz.U. C, C/2023/112, 12.10.2023.</w:t>
      </w:r>
    </w:p>
  </w:footnote>
  <w:footnote w:id="3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193 z 30.7.2018,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1.</w:t>
      </w:r>
    </w:p>
  </w:footnote>
  <w:footnote w:id="4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403 z 30.12.2006,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9.</w:t>
      </w:r>
    </w:p>
  </w:footnote>
  <w:footnote w:id="5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122 z 10.5.2019,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1.</w:t>
      </w:r>
    </w:p>
  </w:footnote>
  <w:footnote w:id="6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>Dz.U. C, C/2023/594, 27.10.2023.</w:t>
      </w:r>
    </w:p>
  </w:footnote>
  <w:footnote w:id="7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>Dz.U. C , C/2023/112, 12.10.2023.</w:t>
      </w:r>
    </w:p>
  </w:footnote>
  <w:footnote w:id="8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193 z 30.7.2018,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1.</w:t>
      </w:r>
    </w:p>
  </w:footnote>
  <w:footnote w:id="9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403 z 30.12.2006,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9.</w:t>
      </w:r>
    </w:p>
  </w:footnote>
  <w:footnote w:id="10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L 122 z 10.5.2019,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1.</w:t>
      </w:r>
    </w:p>
  </w:footnote>
  <w:footnote w:id="11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Dz.U. C 38 z 31.1.2023,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63.</w:t>
      </w:r>
    </w:p>
  </w:footnote>
  <w:footnote w:id="12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>https</w:t>
      </w:r>
      <w:proofErr w:type="gramStart"/>
      <w:r w:rsidRPr="00386BD9">
        <w:rPr>
          <w:sz w:val="24"/>
          <w:lang w:val="pl-PL"/>
        </w:rPr>
        <w:t>://eige</w:t>
      </w:r>
      <w:proofErr w:type="gramEnd"/>
      <w:r w:rsidRPr="00386BD9">
        <w:rPr>
          <w:sz w:val="24"/>
          <w:lang w:val="pl-PL"/>
        </w:rPr>
        <w:t>.</w:t>
      </w:r>
      <w:proofErr w:type="gramStart"/>
      <w:r w:rsidRPr="00386BD9">
        <w:rPr>
          <w:sz w:val="24"/>
          <w:lang w:val="pl-PL"/>
        </w:rPr>
        <w:t>europa</w:t>
      </w:r>
      <w:proofErr w:type="gramEnd"/>
      <w:r w:rsidRPr="00386BD9">
        <w:rPr>
          <w:sz w:val="24"/>
          <w:lang w:val="pl-PL"/>
        </w:rPr>
        <w:t>.</w:t>
      </w:r>
      <w:proofErr w:type="gramStart"/>
      <w:r w:rsidRPr="00386BD9">
        <w:rPr>
          <w:sz w:val="24"/>
          <w:lang w:val="pl-PL"/>
        </w:rPr>
        <w:t>eu</w:t>
      </w:r>
      <w:proofErr w:type="gramEnd"/>
      <w:r w:rsidRPr="00386BD9">
        <w:rPr>
          <w:sz w:val="24"/>
          <w:lang w:val="pl-PL"/>
        </w:rPr>
        <w:t>/gender-equality-index/2023</w:t>
      </w:r>
    </w:p>
  </w:footnote>
  <w:footnote w:id="13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Wyrok Trybunału (druga izba) z dnia 11 listopada 2021 r. w sprawie </w:t>
      </w:r>
      <w:r w:rsidRPr="00386BD9">
        <w:rPr>
          <w:i/>
          <w:sz w:val="24"/>
          <w:lang w:val="pl-PL"/>
        </w:rPr>
        <w:t xml:space="preserve">UAB </w:t>
      </w:r>
      <w:proofErr w:type="spellStart"/>
      <w:r w:rsidRPr="00386BD9">
        <w:rPr>
          <w:i/>
          <w:sz w:val="24"/>
          <w:lang w:val="pl-PL"/>
        </w:rPr>
        <w:t>Manpower</w:t>
      </w:r>
      <w:proofErr w:type="spellEnd"/>
      <w:r w:rsidRPr="00386BD9">
        <w:rPr>
          <w:i/>
          <w:sz w:val="24"/>
          <w:lang w:val="pl-PL"/>
        </w:rPr>
        <w:t xml:space="preserve"> Lit/E.S. i inni</w:t>
      </w:r>
      <w:r w:rsidRPr="00386BD9">
        <w:rPr>
          <w:sz w:val="24"/>
          <w:lang w:val="pl-PL"/>
        </w:rPr>
        <w:t>, ECLI</w:t>
      </w:r>
      <w:proofErr w:type="gramStart"/>
      <w:r w:rsidRPr="00386BD9">
        <w:rPr>
          <w:sz w:val="24"/>
          <w:lang w:val="pl-PL"/>
        </w:rPr>
        <w:t>:EU</w:t>
      </w:r>
      <w:proofErr w:type="gramEnd"/>
      <w:r w:rsidRPr="00386BD9">
        <w:rPr>
          <w:sz w:val="24"/>
          <w:lang w:val="pl-PL"/>
        </w:rPr>
        <w:t>:C:2021:624.</w:t>
      </w:r>
    </w:p>
  </w:footnote>
  <w:footnote w:id="14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Dyrektywa Parlamentu Europejskiego i Rady 2008/104/WE z dnia 19 listopada 2008 r. w sprawie pracy tymczasowej, Dz.U. L 327 z 5.12.2008,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9.</w:t>
      </w:r>
    </w:p>
  </w:footnote>
  <w:footnote w:id="15">
    <w:p w:rsidR="008246D0" w:rsidRPr="00386BD9" w:rsidRDefault="008246D0" w:rsidP="00386BD9">
      <w:pPr>
        <w:pStyle w:val="FootnoteText"/>
        <w:ind w:left="567" w:hanging="567"/>
        <w:rPr>
          <w:sz w:val="24"/>
          <w:lang w:val="pl-PL"/>
        </w:rPr>
      </w:pPr>
      <w:r w:rsidRPr="00386BD9">
        <w:rPr>
          <w:rStyle w:val="FootnoteReference"/>
          <w:sz w:val="24"/>
          <w:lang w:val="pl-PL"/>
        </w:rPr>
        <w:footnoteRef/>
      </w:r>
      <w:r w:rsidR="00386BD9" w:rsidRPr="00386BD9">
        <w:rPr>
          <w:sz w:val="24"/>
          <w:lang w:val="pl-PL"/>
        </w:rPr>
        <w:t xml:space="preserve"> </w:t>
      </w:r>
      <w:r w:rsidR="00386BD9" w:rsidRPr="00386BD9">
        <w:rPr>
          <w:sz w:val="24"/>
          <w:lang w:val="pl-PL"/>
        </w:rPr>
        <w:tab/>
      </w:r>
      <w:r w:rsidRPr="00386BD9">
        <w:rPr>
          <w:sz w:val="24"/>
          <w:lang w:val="pl-PL"/>
        </w:rPr>
        <w:t xml:space="preserve">Rozporządzenie (WE) nr 1922/2006 Parlamentu Europejskiego i Rady z dnia 20 grudnia 2006 r. ustanawiające Europejski Instytut ds. Równości Kobiet i Mężczyzn (Dz.U. L 403 z 30.12.2006, </w:t>
      </w:r>
      <w:proofErr w:type="gramStart"/>
      <w:r w:rsidRPr="00386BD9">
        <w:rPr>
          <w:sz w:val="24"/>
          <w:lang w:val="pl-PL"/>
        </w:rPr>
        <w:t>s</w:t>
      </w:r>
      <w:proofErr w:type="gramEnd"/>
      <w:r w:rsidRPr="00386BD9">
        <w:rPr>
          <w:sz w:val="24"/>
          <w:lang w:val="pl-PL"/>
        </w:rPr>
        <w:t>. 9).</w:t>
      </w:r>
    </w:p>
  </w:footnote>
  <w:footnote w:id="16">
    <w:p w:rsidR="00013423" w:rsidRPr="004C02A4" w:rsidRDefault="00013423" w:rsidP="00013423">
      <w:pPr>
        <w:pStyle w:val="FootnoteText"/>
        <w:ind w:left="567" w:hanging="567"/>
        <w:rPr>
          <w:sz w:val="24"/>
          <w:lang w:val="pl-PL"/>
        </w:rPr>
      </w:pPr>
      <w:r w:rsidRPr="004C02A4">
        <w:rPr>
          <w:rStyle w:val="FootnoteReference"/>
          <w:sz w:val="24"/>
          <w:lang w:val="pl-PL"/>
        </w:rPr>
        <w:footnoteRef/>
      </w:r>
      <w:r w:rsidRPr="004C02A4">
        <w:rPr>
          <w:sz w:val="24"/>
          <w:lang w:val="pl-PL"/>
        </w:rPr>
        <w:t xml:space="preserve"> </w:t>
      </w:r>
      <w:r w:rsidRPr="004C02A4">
        <w:rPr>
          <w:sz w:val="24"/>
          <w:lang w:val="pl-PL"/>
        </w:rPr>
        <w:tab/>
        <w:t>Teksty przyjęte, P9_TA(2024)0</w:t>
      </w:r>
      <w:r>
        <w:rPr>
          <w:sz w:val="24"/>
          <w:lang w:val="pl-PL"/>
        </w:rPr>
        <w:t>280</w:t>
      </w:r>
      <w:r w:rsidRPr="004C02A4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D0" w:rsidRPr="00386BD9" w:rsidRDefault="008246D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B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6/2024"/>
    <w:docVar w:name="dvlangue" w:val="PL"/>
    <w:docVar w:name="dvnumam" w:val="0"/>
    <w:docVar w:name="dvpe" w:val="753.520"/>
    <w:docVar w:name="dvrapporteur" w:val="Sprawozdawca: "/>
    <w:docVar w:name="dvtitre" w:val="Decyzja Parlamentu Europejskiego z dnia  2024 r. w sprawie absolutorium z wykonania budżetu Europejskiego Instytutu ds. Równości Kobiet i Mężczyzn za rok budżetowy 2022(2023/2152(DEC))"/>
  </w:docVars>
  <w:rsids>
    <w:rsidRoot w:val="005C31AC"/>
    <w:rsid w:val="00002272"/>
    <w:rsid w:val="0001342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BD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1AC"/>
    <w:rsid w:val="006037C0"/>
    <w:rsid w:val="006631B6"/>
    <w:rsid w:val="00680577"/>
    <w:rsid w:val="006F74FA"/>
    <w:rsid w:val="007103E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6D0"/>
    <w:rsid w:val="00842779"/>
    <w:rsid w:val="00845BC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34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C2107"/>
  <w15:chartTrackingRefBased/>
  <w15:docId w15:val="{E25FE21E-83D2-4031-AD64-4FF56947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246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246D0"/>
    <w:pPr>
      <w:spacing w:before="480" w:after="240"/>
    </w:pPr>
  </w:style>
  <w:style w:type="paragraph" w:customStyle="1" w:styleId="PageHeading">
    <w:name w:val="PageHeading"/>
    <w:basedOn w:val="Normal"/>
    <w:rsid w:val="008246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246D0"/>
    <w:rPr>
      <w:b/>
    </w:rPr>
  </w:style>
  <w:style w:type="paragraph" w:customStyle="1" w:styleId="NormalHanging12a">
    <w:name w:val="NormalHanging12a"/>
    <w:basedOn w:val="Normal"/>
    <w:link w:val="NormalHanging12aChar"/>
    <w:rsid w:val="008246D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246D0"/>
    <w:pPr>
      <w:spacing w:after="240"/>
      <w:jc w:val="center"/>
    </w:pPr>
  </w:style>
  <w:style w:type="paragraph" w:styleId="Header">
    <w:name w:val="header"/>
    <w:basedOn w:val="Normal"/>
    <w:link w:val="HeaderChar"/>
    <w:rsid w:val="008246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46D0"/>
    <w:rPr>
      <w:sz w:val="24"/>
      <w:lang w:val="pl-PL"/>
    </w:rPr>
  </w:style>
  <w:style w:type="paragraph" w:customStyle="1" w:styleId="EPFooter">
    <w:name w:val="EPFooter"/>
    <w:basedOn w:val="Normal"/>
    <w:rsid w:val="008246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12HangingChar">
    <w:name w:val="Normal12Hanging Char"/>
    <w:link w:val="Normal12Hanging"/>
    <w:locked/>
    <w:rsid w:val="008246D0"/>
    <w:rPr>
      <w:sz w:val="24"/>
    </w:rPr>
  </w:style>
  <w:style w:type="paragraph" w:customStyle="1" w:styleId="Normal12Hanging">
    <w:name w:val="Normal12Hanging"/>
    <w:basedOn w:val="Normal"/>
    <w:link w:val="Normal12HangingChar"/>
    <w:rsid w:val="008246D0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8246D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F6C32-963B-4229-B00E-64F8BBAA4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3500</Words>
  <Characters>22996</Characters>
  <Application>Microsoft Office Word</Application>
  <DocSecurity>0</DocSecurity>
  <Lines>191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2024-05-28T09:18:00Z</dcterms:created>
  <dcterms:modified xsi:type="dcterms:W3CDTF">2024-05-28T09:18:00Z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P9_TA(2024)0261_</vt:lpwstr>
  </property>
  <property fmtid="{D5CDD505-2E9C-101B-9397-08002B2CF9AE}" pid="4" name="&lt;Type&gt;">
    <vt:lpwstr>RR</vt:lpwstr>
  </property>
</Properties>
</file>