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7528" w:rsidTr="0010095E">
        <w:trPr>
          <w:trHeight w:hRule="exact" w:val="1418"/>
        </w:trPr>
        <w:tc>
          <w:tcPr>
            <w:tcW w:w="6804" w:type="dxa"/>
            <w:shd w:val="clear" w:color="auto" w:fill="auto"/>
            <w:vAlign w:val="center"/>
          </w:tcPr>
          <w:p w:rsidR="00751A4A" w:rsidRPr="008B7528" w:rsidRDefault="003F100F" w:rsidP="0010095E">
            <w:pPr>
              <w:pStyle w:val="EPName"/>
            </w:pPr>
            <w:r w:rsidRPr="008B7528">
              <w:t>Европейски</w:t>
            </w:r>
            <w:r w:rsidR="004B67AF" w:rsidRPr="008B7528">
              <w:t xml:space="preserve"> парламент</w:t>
            </w:r>
          </w:p>
          <w:p w:rsidR="00751A4A" w:rsidRPr="008B7528" w:rsidRDefault="003F100F" w:rsidP="00756632">
            <w:pPr>
              <w:pStyle w:val="EPTerm"/>
              <w:rPr>
                <w:rStyle w:val="HideTWBExt"/>
                <w:noProof w:val="0"/>
                <w:vanish w:val="0"/>
                <w:color w:val="auto"/>
              </w:rPr>
            </w:pPr>
            <w:r>
              <w:t>2019 – </w:t>
            </w:r>
            <w:r w:rsidR="00817416" w:rsidRPr="008B7528">
              <w:t>2024</w:t>
            </w:r>
          </w:p>
        </w:tc>
        <w:tc>
          <w:tcPr>
            <w:tcW w:w="2268" w:type="dxa"/>
            <w:shd w:val="clear" w:color="auto" w:fill="auto"/>
          </w:tcPr>
          <w:p w:rsidR="00751A4A" w:rsidRPr="008B7528" w:rsidRDefault="00187494" w:rsidP="0010095E">
            <w:pPr>
              <w:pStyle w:val="EPLogo"/>
            </w:pPr>
            <w:r w:rsidRPr="008B75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7528" w:rsidRDefault="00D058B8" w:rsidP="004C5D52">
      <w:pPr>
        <w:pStyle w:val="LineTop"/>
      </w:pPr>
    </w:p>
    <w:p w:rsidR="00680577" w:rsidRPr="008B7528" w:rsidRDefault="004B67AF" w:rsidP="00680577">
      <w:pPr>
        <w:pStyle w:val="EPBodyTA1"/>
      </w:pPr>
      <w:r w:rsidRPr="008B7528">
        <w:t>ПРИЕТИ ТЕКСТОВЕ</w:t>
      </w:r>
    </w:p>
    <w:p w:rsidR="00D058B8" w:rsidRPr="008B7528" w:rsidRDefault="00D058B8" w:rsidP="00D058B8">
      <w:pPr>
        <w:pStyle w:val="LineBottom"/>
      </w:pPr>
    </w:p>
    <w:p w:rsidR="004B67AF" w:rsidRPr="008B7528" w:rsidRDefault="004B67AF" w:rsidP="004B67AF">
      <w:pPr>
        <w:pStyle w:val="ATHeading1"/>
      </w:pPr>
      <w:bookmarkStart w:id="0" w:name="TANumber"/>
      <w:r w:rsidRPr="008B7528">
        <w:t>P9_TA(2024)0</w:t>
      </w:r>
      <w:r w:rsidR="00941AFA">
        <w:rPr>
          <w:lang w:val="en-GB"/>
        </w:rPr>
        <w:t>262</w:t>
      </w:r>
      <w:bookmarkEnd w:id="0"/>
    </w:p>
    <w:p w:rsidR="004B67AF" w:rsidRPr="008B7528" w:rsidRDefault="004B67AF" w:rsidP="004B67AF">
      <w:pPr>
        <w:pStyle w:val="ATHeading2"/>
      </w:pPr>
      <w:bookmarkStart w:id="1" w:name="title"/>
      <w:r w:rsidRPr="008B7528">
        <w:t>Освобождаване от отговорност във връзка с изпълнението на бюджета за 2022 г.: Европейски банков орган</w:t>
      </w:r>
      <w:bookmarkEnd w:id="1"/>
    </w:p>
    <w:p w:rsidR="004B67AF" w:rsidRPr="008B7528" w:rsidRDefault="004B67AF" w:rsidP="004B67AF">
      <w:pPr>
        <w:rPr>
          <w:i/>
          <w:vanish/>
        </w:rPr>
      </w:pPr>
      <w:r w:rsidRPr="008B7528">
        <w:rPr>
          <w:i/>
        </w:rPr>
        <w:fldChar w:fldCharType="begin"/>
      </w:r>
      <w:r w:rsidRPr="008B7528">
        <w:rPr>
          <w:i/>
        </w:rPr>
        <w:instrText xml:space="preserve"> TC"(</w:instrText>
      </w:r>
      <w:bookmarkStart w:id="2" w:name="DocNumber"/>
      <w:r w:rsidRPr="008B7528">
        <w:rPr>
          <w:i/>
        </w:rPr>
        <w:instrText>A9-0111/2024</w:instrText>
      </w:r>
      <w:bookmarkEnd w:id="2"/>
      <w:r w:rsidRPr="008B7528">
        <w:rPr>
          <w:i/>
        </w:rPr>
        <w:instrText xml:space="preserve"> - Докладчик: </w:instrText>
      </w:r>
      <w:proofErr w:type="spellStart"/>
      <w:r w:rsidRPr="008B7528">
        <w:rPr>
          <w:i/>
        </w:rPr>
        <w:instrText>Петри</w:instrText>
      </w:r>
      <w:proofErr w:type="spellEnd"/>
      <w:r w:rsidRPr="008B7528">
        <w:rPr>
          <w:i/>
        </w:rPr>
        <w:instrText xml:space="preserve"> </w:instrText>
      </w:r>
      <w:proofErr w:type="spellStart"/>
      <w:r w:rsidRPr="008B7528">
        <w:rPr>
          <w:i/>
        </w:rPr>
        <w:instrText>Сарвама</w:instrText>
      </w:r>
      <w:proofErr w:type="spellEnd"/>
      <w:r w:rsidRPr="008B7528">
        <w:rPr>
          <w:i/>
        </w:rPr>
        <w:instrText xml:space="preserve">)"\l3 \n&gt; \* MERGEFORMAT </w:instrText>
      </w:r>
      <w:r w:rsidRPr="008B7528">
        <w:rPr>
          <w:i/>
        </w:rPr>
        <w:fldChar w:fldCharType="end"/>
      </w:r>
    </w:p>
    <w:p w:rsidR="004B67AF" w:rsidRPr="008B7528" w:rsidRDefault="004B67AF" w:rsidP="004B67AF">
      <w:pPr>
        <w:rPr>
          <w:vanish/>
        </w:rPr>
      </w:pPr>
      <w:bookmarkStart w:id="3" w:name="Commission"/>
      <w:r w:rsidRPr="008B7528">
        <w:rPr>
          <w:vanish/>
        </w:rPr>
        <w:t>Комисия по бюджетен контрол</w:t>
      </w:r>
      <w:bookmarkEnd w:id="3"/>
    </w:p>
    <w:p w:rsidR="004B67AF" w:rsidRPr="008B7528" w:rsidRDefault="004B67AF" w:rsidP="004B67AF">
      <w:pPr>
        <w:rPr>
          <w:vanish/>
        </w:rPr>
      </w:pPr>
      <w:bookmarkStart w:id="4" w:name="PE"/>
      <w:r w:rsidRPr="008B7528">
        <w:rPr>
          <w:vanish/>
        </w:rPr>
        <w:t>PE753.513</w:t>
      </w:r>
      <w:bookmarkEnd w:id="4"/>
    </w:p>
    <w:p w:rsidR="004B67AF" w:rsidRPr="008B7528" w:rsidRDefault="003F100F" w:rsidP="004B67AF">
      <w:pPr>
        <w:pStyle w:val="ATHeading3"/>
      </w:pPr>
      <w:bookmarkStart w:id="5" w:name="Sujet"/>
      <w:r>
        <w:t xml:space="preserve">1. </w:t>
      </w:r>
      <w:r w:rsidR="004B67AF" w:rsidRPr="008B7528">
        <w:t xml:space="preserve">Решение на Европейския парламент от </w:t>
      </w:r>
      <w:r w:rsidR="00E00603">
        <w:t>11 април</w:t>
      </w:r>
      <w:r w:rsidR="00E00603" w:rsidRPr="008B7528">
        <w:t xml:space="preserve"> </w:t>
      </w:r>
      <w:r w:rsidR="004B67AF" w:rsidRPr="008B7528">
        <w:t>2024 г. относно освобождаването от отговорност във връзка с изпълнението на бюджета на Европейския банков орган за финансовата 2022 година</w:t>
      </w:r>
      <w:bookmarkEnd w:id="5"/>
      <w:r w:rsidR="004B67AF" w:rsidRPr="008B7528">
        <w:t xml:space="preserve"> </w:t>
      </w:r>
      <w:bookmarkStart w:id="6" w:name="References"/>
      <w:r w:rsidR="004B67AF" w:rsidRPr="008B7528">
        <w:t>(2023/2146(DEC))</w:t>
      </w:r>
      <w:bookmarkEnd w:id="6"/>
    </w:p>
    <w:p w:rsidR="00D6509B" w:rsidRPr="008B7528" w:rsidRDefault="00D6509B" w:rsidP="00D6509B">
      <w:pPr>
        <w:pStyle w:val="EPComma"/>
      </w:pPr>
      <w:bookmarkStart w:id="7" w:name="TextBodyBegin"/>
      <w:bookmarkEnd w:id="7"/>
      <w:r w:rsidRPr="008B7528">
        <w:rPr>
          <w:i/>
        </w:rPr>
        <w:t>Европейският парламент</w:t>
      </w:r>
      <w:r w:rsidRPr="008B7528">
        <w:t>,</w:t>
      </w:r>
    </w:p>
    <w:p w:rsidR="00D6509B" w:rsidRPr="008B7528" w:rsidRDefault="00D6509B" w:rsidP="00D6509B">
      <w:pPr>
        <w:pStyle w:val="NormalHanging12a"/>
      </w:pPr>
      <w:r w:rsidRPr="008B7528">
        <w:t>–</w:t>
      </w:r>
      <w:r w:rsidRPr="008B7528">
        <w:tab/>
        <w:t>като взе предвид окончателните годишни отчети на Европейския банков орган за финансовата 2022 година,</w:t>
      </w:r>
    </w:p>
    <w:p w:rsidR="00D6509B" w:rsidRPr="008B7528" w:rsidRDefault="00D6509B" w:rsidP="00D6509B">
      <w:pPr>
        <w:pStyle w:val="NormalHanging12a"/>
      </w:pPr>
      <w:r w:rsidRPr="008B7528">
        <w:t>–</w:t>
      </w:r>
      <w:r w:rsidRPr="008B7528">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8B7528">
        <w:rPr>
          <w:rStyle w:val="FootnoteReference"/>
        </w:rPr>
        <w:footnoteReference w:id="1"/>
      </w:r>
      <w:r w:rsidRPr="008B7528">
        <w:t>,</w:t>
      </w:r>
    </w:p>
    <w:p w:rsidR="00D6509B" w:rsidRPr="008B7528" w:rsidRDefault="00D6509B" w:rsidP="00D6509B">
      <w:pPr>
        <w:pStyle w:val="NormalHanging12a"/>
      </w:pPr>
      <w:r w:rsidRPr="008B7528">
        <w:t>–</w:t>
      </w:r>
      <w:r w:rsidRPr="008B7528">
        <w:tab/>
        <w:t>като взе предвид декларацията за достоверност</w:t>
      </w:r>
      <w:r w:rsidRPr="008B7528">
        <w:rPr>
          <w:rStyle w:val="FootnoteReference"/>
        </w:rPr>
        <w:footnoteReference w:id="2"/>
      </w:r>
      <w:r w:rsidRPr="008B752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D6509B" w:rsidRPr="008B7528" w:rsidRDefault="00D6509B" w:rsidP="00D6509B">
      <w:pPr>
        <w:pStyle w:val="NormalHanging12a"/>
      </w:pPr>
      <w:r w:rsidRPr="008B7528">
        <w:t>–</w:t>
      </w:r>
      <w:r w:rsidRPr="008B7528">
        <w:tab/>
        <w:t>като взе предвид препоръката на Съвета от 22 февруари 2024 г. относно освобождаването от отговорност на Органа във връзка с изпълнението на бюджета за финансовата 2022 година (</w:t>
      </w:r>
      <w:r w:rsidR="00D3343A" w:rsidRPr="00D3343A">
        <w:t>06180</w:t>
      </w:r>
      <w:r w:rsidRPr="008B7528">
        <w:t>/2024 – C9</w:t>
      </w:r>
      <w:r w:rsidRPr="008B7528">
        <w:noBreakHyphen/>
      </w:r>
      <w:r w:rsidR="00D3343A" w:rsidRPr="00D3343A">
        <w:t>0084</w:t>
      </w:r>
      <w:r w:rsidRPr="008B7528">
        <w:t>/2024),</w:t>
      </w:r>
    </w:p>
    <w:p w:rsidR="00D6509B" w:rsidRPr="008B7528" w:rsidRDefault="00D6509B" w:rsidP="00D6509B">
      <w:pPr>
        <w:pStyle w:val="NormalHanging12a"/>
      </w:pPr>
      <w:r w:rsidRPr="008B7528">
        <w:t>–</w:t>
      </w:r>
      <w:r w:rsidRPr="008B7528">
        <w:tab/>
        <w:t>като взе предвид член 319 от Договора за функционирането на Европейския съюз,</w:t>
      </w:r>
    </w:p>
    <w:p w:rsidR="00D6509B" w:rsidRPr="008B7528" w:rsidRDefault="00D6509B" w:rsidP="00D6509B">
      <w:pPr>
        <w:pStyle w:val="NormalHanging12a"/>
      </w:pPr>
      <w:r w:rsidRPr="008B7528">
        <w:t>–</w:t>
      </w:r>
      <w:r w:rsidRPr="008B7528">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8B7528">
        <w:rPr>
          <w:rStyle w:val="FootnoteReference"/>
        </w:rPr>
        <w:footnoteReference w:id="3"/>
      </w:r>
      <w:r w:rsidRPr="008B7528">
        <w:t xml:space="preserve">, и по-специално член 70 от </w:t>
      </w:r>
      <w:r w:rsidRPr="008B7528">
        <w:lastRenderedPageBreak/>
        <w:t>него,</w:t>
      </w:r>
    </w:p>
    <w:p w:rsidR="00D6509B" w:rsidRPr="008B7528" w:rsidRDefault="00D6509B" w:rsidP="00D6509B">
      <w:pPr>
        <w:pStyle w:val="NormalHanging12a"/>
      </w:pPr>
      <w:r w:rsidRPr="008B7528">
        <w:t>–</w:t>
      </w:r>
      <w:r w:rsidRPr="008B7528">
        <w:tab/>
        <w:t>като взе предвид 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 на Комисията</w:t>
      </w:r>
      <w:r w:rsidRPr="008B7528">
        <w:rPr>
          <w:rStyle w:val="FootnoteReference"/>
        </w:rPr>
        <w:footnoteReference w:id="4"/>
      </w:r>
      <w:r w:rsidRPr="008B7528">
        <w:t>, и по-специално член 64 от него,</w:t>
      </w:r>
    </w:p>
    <w:p w:rsidR="00D6509B" w:rsidRPr="008B7528" w:rsidRDefault="00D6509B" w:rsidP="00D6509B">
      <w:pPr>
        <w:pStyle w:val="NormalHanging12a"/>
      </w:pPr>
      <w:r w:rsidRPr="008B7528">
        <w:t>–</w:t>
      </w:r>
      <w:r w:rsidRPr="008B7528">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8B7528">
        <w:rPr>
          <w:rStyle w:val="FootnoteReference"/>
        </w:rPr>
        <w:footnoteReference w:id="5"/>
      </w:r>
      <w:r w:rsidRPr="008B7528">
        <w:t>, и по-специално член 105 от него,</w:t>
      </w:r>
    </w:p>
    <w:p w:rsidR="00D6509B" w:rsidRPr="008B7528" w:rsidRDefault="00D6509B" w:rsidP="00D6509B">
      <w:pPr>
        <w:pStyle w:val="NormalHanging12a"/>
      </w:pPr>
      <w:r w:rsidRPr="008B7528">
        <w:t>–</w:t>
      </w:r>
      <w:r w:rsidRPr="008B7528">
        <w:tab/>
        <w:t>като взе предвид член 100 и приложение V към своя Правилник за дейността,</w:t>
      </w:r>
    </w:p>
    <w:p w:rsidR="00D6509B" w:rsidRPr="008B7528" w:rsidRDefault="00D6509B" w:rsidP="00D6509B">
      <w:pPr>
        <w:pStyle w:val="NormalHanging12a"/>
      </w:pPr>
      <w:r w:rsidRPr="008B7528">
        <w:t>–</w:t>
      </w:r>
      <w:r w:rsidRPr="008B7528">
        <w:tab/>
        <w:t>като взе предвид доклада на комисията по бюджетен контрол (A9-0111/2024),</w:t>
      </w:r>
    </w:p>
    <w:p w:rsidR="00D6509B" w:rsidRPr="008B7528" w:rsidRDefault="00D6509B" w:rsidP="00D6509B">
      <w:pPr>
        <w:pStyle w:val="NormalHanging12a"/>
      </w:pPr>
      <w:r w:rsidRPr="008B7528">
        <w:t>1.</w:t>
      </w:r>
      <w:r w:rsidRPr="008B7528">
        <w:tab/>
        <w:t>освобождава от отговорност изпълнителния директор на Европейския банков орган във връзка с изпълнението на бюджета на Органа за финансовата 2022 година;</w:t>
      </w:r>
    </w:p>
    <w:p w:rsidR="00D6509B" w:rsidRPr="008B7528" w:rsidRDefault="00D6509B" w:rsidP="00D6509B">
      <w:pPr>
        <w:pStyle w:val="NormalHanging12a"/>
      </w:pPr>
      <w:r w:rsidRPr="008B7528">
        <w:t>2.</w:t>
      </w:r>
      <w:r w:rsidRPr="008B7528">
        <w:tab/>
        <w:t>представя своите забележки в резолюцията по-долу;</w:t>
      </w:r>
    </w:p>
    <w:p w:rsidR="00D6509B" w:rsidRPr="008B7528" w:rsidRDefault="00D6509B" w:rsidP="00D6509B">
      <w:pPr>
        <w:pStyle w:val="NormalHanging12a"/>
      </w:pPr>
      <w:r w:rsidRPr="008B7528">
        <w:t>3.</w:t>
      </w:r>
      <w:r w:rsidRPr="008B7528">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банков орган, на Съвета, Комисията и Сметната палата и да осигури публикуването им в </w:t>
      </w:r>
      <w:r w:rsidRPr="008B7528">
        <w:rPr>
          <w:i/>
        </w:rPr>
        <w:t>Официален вестник на Европейския съюз</w:t>
      </w:r>
      <w:r w:rsidRPr="008B7528">
        <w:t xml:space="preserve"> (серия L).</w:t>
      </w:r>
    </w:p>
    <w:p w:rsidR="00D6509B" w:rsidRPr="008B7528" w:rsidRDefault="00D6509B" w:rsidP="00D6509B"/>
    <w:p w:rsidR="00D6509B" w:rsidRPr="008B7528" w:rsidRDefault="00D6509B" w:rsidP="00D6509B">
      <w:pPr>
        <w:widowControl/>
        <w:rPr>
          <w:rFonts w:ascii="Arial" w:hAnsi="Arial" w:cs="Arial"/>
          <w:b/>
        </w:rPr>
        <w:sectPr w:rsidR="00D6509B" w:rsidRPr="008B7528" w:rsidSect="008B752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D6509B" w:rsidRPr="008B7528" w:rsidRDefault="00D6509B" w:rsidP="003F100F">
      <w:pPr>
        <w:pStyle w:val="ATHeading3"/>
      </w:pPr>
      <w:bookmarkStart w:id="8" w:name="_Toc161671808"/>
      <w:r w:rsidRPr="008B7528">
        <w:lastRenderedPageBreak/>
        <w:t xml:space="preserve">2. </w:t>
      </w:r>
      <w:r w:rsidR="003F100F" w:rsidRPr="008B7528">
        <w:t>Решение на Европейския парламент</w:t>
      </w:r>
      <w:bookmarkEnd w:id="8"/>
      <w:r w:rsidR="00E00603" w:rsidRPr="008B7528">
        <w:t xml:space="preserve"> от </w:t>
      </w:r>
      <w:r w:rsidR="00E00603">
        <w:t>11 април</w:t>
      </w:r>
      <w:r w:rsidR="00E00603" w:rsidRPr="008B7528">
        <w:t xml:space="preserve"> 2024 г.</w:t>
      </w:r>
      <w:r w:rsidR="003F100F">
        <w:t xml:space="preserve"> </w:t>
      </w:r>
      <w:r w:rsidRPr="008B7528">
        <w:t>относно приключването на сметките на Европейския банков орган за финансовата 2022 година</w:t>
      </w:r>
      <w:r w:rsidR="003F100F">
        <w:t xml:space="preserve"> </w:t>
      </w:r>
      <w:r w:rsidRPr="008B7528">
        <w:t>(2023/2146(DEC))</w:t>
      </w:r>
    </w:p>
    <w:p w:rsidR="00D6509B" w:rsidRPr="008B7528" w:rsidRDefault="00D6509B" w:rsidP="00D6509B">
      <w:pPr>
        <w:pStyle w:val="EPComma"/>
      </w:pPr>
      <w:r w:rsidRPr="008B7528">
        <w:rPr>
          <w:i/>
        </w:rPr>
        <w:t>Европейският парламент</w:t>
      </w:r>
      <w:r w:rsidRPr="008B7528">
        <w:t>,</w:t>
      </w:r>
    </w:p>
    <w:p w:rsidR="00D6509B" w:rsidRPr="008B7528" w:rsidRDefault="00D6509B" w:rsidP="00D6509B">
      <w:pPr>
        <w:pStyle w:val="NormalHanging12a"/>
      </w:pPr>
      <w:r w:rsidRPr="008B7528">
        <w:t>–</w:t>
      </w:r>
      <w:r w:rsidRPr="008B7528">
        <w:tab/>
        <w:t>като взе предвид окончателните годишни отчети на Европейския банков орган за финансовата 2022 година,</w:t>
      </w:r>
    </w:p>
    <w:p w:rsidR="00D6509B" w:rsidRPr="008B7528" w:rsidRDefault="00D6509B" w:rsidP="00D6509B">
      <w:pPr>
        <w:pStyle w:val="NormalHanging12a"/>
      </w:pPr>
      <w:r w:rsidRPr="008B7528">
        <w:t>–</w:t>
      </w:r>
      <w:r w:rsidRPr="008B7528">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8B7528">
        <w:rPr>
          <w:rStyle w:val="FootnoteReference"/>
        </w:rPr>
        <w:footnoteReference w:id="6"/>
      </w:r>
      <w:r w:rsidRPr="008B7528">
        <w:t>,</w:t>
      </w:r>
    </w:p>
    <w:p w:rsidR="00D6509B" w:rsidRPr="008B7528" w:rsidRDefault="00D6509B" w:rsidP="00D6509B">
      <w:pPr>
        <w:pStyle w:val="NormalHanging12a"/>
      </w:pPr>
      <w:r w:rsidRPr="008B7528">
        <w:t>–</w:t>
      </w:r>
      <w:r w:rsidRPr="008B7528">
        <w:tab/>
        <w:t>като взе предвид декларацията за достоверност</w:t>
      </w:r>
      <w:r w:rsidRPr="008B7528">
        <w:rPr>
          <w:rStyle w:val="FootnoteReference"/>
        </w:rPr>
        <w:footnoteReference w:id="7"/>
      </w:r>
      <w:r w:rsidRPr="008B752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D6509B" w:rsidRPr="008B7528" w:rsidRDefault="00D6509B" w:rsidP="00D6509B">
      <w:pPr>
        <w:pStyle w:val="NormalHanging12a"/>
      </w:pPr>
      <w:r w:rsidRPr="008B7528">
        <w:t>–</w:t>
      </w:r>
      <w:r w:rsidRPr="008B7528">
        <w:tab/>
        <w:t>като взе предвид препоръката на Съвета от 22 февруари 2024 г. относно освобождаването от отговорност на Органа във връзка с изпълнението на бюджета за финансовата 2022 година (</w:t>
      </w:r>
      <w:r w:rsidR="00D3343A" w:rsidRPr="00D3343A">
        <w:t>06180</w:t>
      </w:r>
      <w:r w:rsidRPr="008B7528">
        <w:t>/2024 – C9</w:t>
      </w:r>
      <w:r w:rsidRPr="008B7528">
        <w:noBreakHyphen/>
      </w:r>
      <w:r w:rsidR="00D3343A" w:rsidRPr="00D3343A">
        <w:t>0084</w:t>
      </w:r>
      <w:r w:rsidRPr="008B7528">
        <w:t>/2024),</w:t>
      </w:r>
    </w:p>
    <w:p w:rsidR="00D6509B" w:rsidRPr="008B7528" w:rsidRDefault="00D6509B" w:rsidP="00D6509B">
      <w:pPr>
        <w:pStyle w:val="NormalHanging12a"/>
      </w:pPr>
      <w:r w:rsidRPr="008B7528">
        <w:t>–</w:t>
      </w:r>
      <w:r w:rsidRPr="008B7528">
        <w:tab/>
        <w:t>като взе предвид член 319 от Договора за функционирането на Европейския съюз,</w:t>
      </w:r>
    </w:p>
    <w:p w:rsidR="00D6509B" w:rsidRPr="008B7528" w:rsidRDefault="00D6509B" w:rsidP="00D6509B">
      <w:pPr>
        <w:pStyle w:val="NormalHanging12a"/>
      </w:pPr>
      <w:r w:rsidRPr="008B7528">
        <w:t>–</w:t>
      </w:r>
      <w:r w:rsidRPr="008B7528">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8B7528">
        <w:rPr>
          <w:rStyle w:val="FootnoteReference"/>
        </w:rPr>
        <w:footnoteReference w:id="8"/>
      </w:r>
      <w:r w:rsidRPr="008B7528">
        <w:t>, и по-специално член 70 от него,</w:t>
      </w:r>
    </w:p>
    <w:p w:rsidR="00D6509B" w:rsidRPr="008B7528" w:rsidRDefault="00D6509B" w:rsidP="00D6509B">
      <w:pPr>
        <w:pStyle w:val="NormalHanging12a"/>
      </w:pPr>
      <w:r w:rsidRPr="008B7528">
        <w:t>–</w:t>
      </w:r>
      <w:r w:rsidRPr="008B7528">
        <w:tab/>
        <w:t>като взе предвид 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 на Комисията</w:t>
      </w:r>
      <w:r w:rsidRPr="008B7528">
        <w:rPr>
          <w:rStyle w:val="FootnoteReference"/>
        </w:rPr>
        <w:footnoteReference w:id="9"/>
      </w:r>
      <w:r w:rsidRPr="008B7528">
        <w:t>, и по-специално член 64 от него,</w:t>
      </w:r>
    </w:p>
    <w:p w:rsidR="00D6509B" w:rsidRPr="008B7528" w:rsidRDefault="00D6509B" w:rsidP="00D6509B">
      <w:pPr>
        <w:pStyle w:val="NormalHanging12a"/>
      </w:pPr>
      <w:r w:rsidRPr="008B7528">
        <w:t>–</w:t>
      </w:r>
      <w:r w:rsidRPr="008B7528">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8B7528">
        <w:rPr>
          <w:rStyle w:val="FootnoteReference"/>
        </w:rPr>
        <w:footnoteReference w:id="10"/>
      </w:r>
      <w:r w:rsidRPr="008B7528">
        <w:t>, и по-специално член 105 от него,</w:t>
      </w:r>
    </w:p>
    <w:p w:rsidR="00D6509B" w:rsidRPr="008B7528" w:rsidRDefault="00D6509B" w:rsidP="00D6509B">
      <w:pPr>
        <w:pStyle w:val="NormalHanging12a"/>
      </w:pPr>
      <w:r w:rsidRPr="008B7528">
        <w:t>–</w:t>
      </w:r>
      <w:r w:rsidRPr="008B7528">
        <w:tab/>
        <w:t>като взе предвид член 100 и приложение V към своя Правилник за дейността,</w:t>
      </w:r>
    </w:p>
    <w:p w:rsidR="00D6509B" w:rsidRPr="008B7528" w:rsidRDefault="00D6509B" w:rsidP="00D6509B">
      <w:pPr>
        <w:pStyle w:val="NormalHanging12a"/>
      </w:pPr>
      <w:r w:rsidRPr="008B7528">
        <w:t>–</w:t>
      </w:r>
      <w:r w:rsidRPr="008B7528">
        <w:tab/>
        <w:t>като взе предвид доклада на комисията по бюджетен контрол (A9-0111/2024),</w:t>
      </w:r>
    </w:p>
    <w:p w:rsidR="00D6509B" w:rsidRPr="008B7528" w:rsidRDefault="00D6509B" w:rsidP="00D6509B">
      <w:pPr>
        <w:pStyle w:val="NormalHanging12a"/>
      </w:pPr>
      <w:r w:rsidRPr="008B7528">
        <w:lastRenderedPageBreak/>
        <w:t>1.</w:t>
      </w:r>
      <w:r w:rsidRPr="008B7528">
        <w:tab/>
        <w:t>одобрява приключването на сметките на Европейския банков орган за финансовата 2022 година;</w:t>
      </w:r>
    </w:p>
    <w:p w:rsidR="00D6509B" w:rsidRPr="008B7528" w:rsidRDefault="00D6509B" w:rsidP="00D6509B">
      <w:pPr>
        <w:pStyle w:val="NormalHanging12a"/>
      </w:pPr>
      <w:r w:rsidRPr="008B7528">
        <w:t>2.</w:t>
      </w:r>
      <w:r w:rsidRPr="008B7528">
        <w:tab/>
        <w:t xml:space="preserve">възлага на своя председател да предаде настоящото решение на изпълнителния директор на Европейския банков орган, на Съвета, Комисията и Сметната палата и да осигури публикуването му в </w:t>
      </w:r>
      <w:r w:rsidRPr="008B7528">
        <w:rPr>
          <w:i/>
        </w:rPr>
        <w:t>Официален вестник на Европейския съюз</w:t>
      </w:r>
      <w:r w:rsidRPr="008B7528">
        <w:t xml:space="preserve"> (серия L).</w:t>
      </w:r>
    </w:p>
    <w:p w:rsidR="00D6509B" w:rsidRPr="008B7528" w:rsidRDefault="00D6509B" w:rsidP="00D6509B"/>
    <w:p w:rsidR="00D6509B" w:rsidRPr="008B7528" w:rsidRDefault="00D6509B" w:rsidP="00D6509B">
      <w:pPr>
        <w:widowControl/>
        <w:rPr>
          <w:rFonts w:ascii="Arial" w:hAnsi="Arial" w:cs="Arial"/>
          <w:b/>
        </w:rPr>
        <w:sectPr w:rsidR="00D6509B" w:rsidRPr="008B7528" w:rsidSect="008B7528">
          <w:footnotePr>
            <w:numRestart w:val="eachPage"/>
          </w:footnotePr>
          <w:endnotePr>
            <w:numFmt w:val="decimal"/>
          </w:endnotePr>
          <w:pgSz w:w="11906" w:h="16838"/>
          <w:pgMar w:top="1134" w:right="1418" w:bottom="1418" w:left="1418" w:header="567" w:footer="567" w:gutter="0"/>
          <w:cols w:space="720"/>
          <w:docGrid w:linePitch="326"/>
        </w:sectPr>
      </w:pPr>
    </w:p>
    <w:p w:rsidR="00D6509B" w:rsidRPr="008B7528" w:rsidRDefault="00D6509B" w:rsidP="003F100F">
      <w:pPr>
        <w:pStyle w:val="ATHeading3"/>
      </w:pPr>
      <w:bookmarkStart w:id="9" w:name="_Toc161671809"/>
      <w:r w:rsidRPr="008B7528">
        <w:lastRenderedPageBreak/>
        <w:t xml:space="preserve">3. </w:t>
      </w:r>
      <w:r w:rsidR="003F100F" w:rsidRPr="008B7528">
        <w:t>Резолюция на Европейския парламент</w:t>
      </w:r>
      <w:r w:rsidR="00E00603" w:rsidRPr="008B7528">
        <w:t xml:space="preserve"> от </w:t>
      </w:r>
      <w:r w:rsidR="00E00603">
        <w:t>11 април</w:t>
      </w:r>
      <w:r w:rsidR="00E00603" w:rsidRPr="008B7528">
        <w:t xml:space="preserve"> 2024 г.</w:t>
      </w:r>
      <w:r w:rsidRPr="008B7528">
        <w:t>,</w:t>
      </w:r>
      <w:bookmarkEnd w:id="9"/>
      <w:r w:rsidR="003F100F">
        <w:t xml:space="preserve"> </w:t>
      </w:r>
      <w:r w:rsidRPr="008B7528">
        <w:t>съдържащ</w:t>
      </w:r>
      <w:r w:rsidR="00E00603">
        <w:t>а</w:t>
      </w:r>
      <w:r w:rsidRPr="008B7528">
        <w:t xml:space="preserve"> забележките, които са неразделна част от решението за освобождаване от отговорност във връзка с изпълнението на бюджета на Европейския банков орган за финансовата 2022 година</w:t>
      </w:r>
      <w:r w:rsidR="003F100F">
        <w:t xml:space="preserve"> </w:t>
      </w:r>
      <w:r w:rsidRPr="008B7528">
        <w:t>(2023/2146(DEC))</w:t>
      </w:r>
    </w:p>
    <w:p w:rsidR="00D6509B" w:rsidRPr="008B7528" w:rsidRDefault="00D6509B" w:rsidP="00D6509B">
      <w:pPr>
        <w:pStyle w:val="EPComma"/>
      </w:pPr>
      <w:r w:rsidRPr="008B7528">
        <w:rPr>
          <w:i/>
        </w:rPr>
        <w:t>Европейският парламент</w:t>
      </w:r>
      <w:r w:rsidRPr="008B7528">
        <w:t>,</w:t>
      </w:r>
    </w:p>
    <w:p w:rsidR="00D6509B" w:rsidRPr="008B7528" w:rsidRDefault="00D6509B" w:rsidP="00D6509B">
      <w:pPr>
        <w:pStyle w:val="NormalHanging12a"/>
      </w:pPr>
      <w:r w:rsidRPr="008B7528">
        <w:t>–</w:t>
      </w:r>
      <w:r w:rsidRPr="008B7528">
        <w:tab/>
        <w:t>като взе предвид своето решение за освобождаване от отговорност във връзка с изпълнението на бюджета на Европейския банков орган за финансовата 2022 година,</w:t>
      </w:r>
    </w:p>
    <w:p w:rsidR="00D6509B" w:rsidRPr="008B7528" w:rsidRDefault="00D6509B" w:rsidP="00D6509B">
      <w:pPr>
        <w:pStyle w:val="NormalHanging12a"/>
      </w:pPr>
      <w:r w:rsidRPr="008B7528">
        <w:t>–</w:t>
      </w:r>
      <w:r w:rsidRPr="008B7528">
        <w:tab/>
        <w:t>като взе предвид член 100 и приложение V към своя Правилник за дейността,</w:t>
      </w:r>
    </w:p>
    <w:p w:rsidR="00D6509B" w:rsidRPr="008B7528" w:rsidRDefault="00D6509B" w:rsidP="00D6509B">
      <w:pPr>
        <w:pStyle w:val="NormalHanging12a"/>
      </w:pPr>
      <w:r w:rsidRPr="008B7528">
        <w:t>–</w:t>
      </w:r>
      <w:r w:rsidRPr="008B7528">
        <w:tab/>
        <w:t>като взе предвид доклада на комисията по бюджетен контрол (A9-0111/2024),</w:t>
      </w:r>
    </w:p>
    <w:p w:rsidR="00D6509B" w:rsidRPr="008B7528" w:rsidRDefault="00D6509B" w:rsidP="00D6509B">
      <w:pPr>
        <w:widowControl/>
        <w:spacing w:after="240"/>
        <w:ind w:left="567" w:hanging="567"/>
        <w:rPr>
          <w:szCs w:val="24"/>
        </w:rPr>
      </w:pPr>
      <w:r w:rsidRPr="008B7528">
        <w:t>А.</w:t>
      </w:r>
      <w:r w:rsidRPr="008B7528">
        <w:tab/>
        <w:t>като има предвид, че според отчета за приходите и разходите</w:t>
      </w:r>
      <w:r w:rsidRPr="008B7528">
        <w:rPr>
          <w:rStyle w:val="FootnoteReference"/>
          <w:szCs w:val="24"/>
        </w:rPr>
        <w:footnoteReference w:id="11"/>
      </w:r>
      <w:r w:rsidRPr="008B7528">
        <w:t xml:space="preserve"> на Европейския банков орган („Органа“) неговият окончателен бюджет за финансовата 2022 година възлиза на 50 315 014 EUR; като има предвид, че Органът се финансира предимно чрез вноска от Съюза (18 685 999 EUR) и чрез вноски от националните надзорни органи на държавите членки и наблюдателите (31 629 015 EUR);</w:t>
      </w:r>
    </w:p>
    <w:p w:rsidR="00D6509B" w:rsidRPr="008B7528" w:rsidRDefault="00D6509B" w:rsidP="00D6509B">
      <w:pPr>
        <w:widowControl/>
        <w:spacing w:after="240"/>
        <w:ind w:left="567" w:hanging="567"/>
      </w:pPr>
      <w:r w:rsidRPr="008B7528">
        <w:t>Б.</w:t>
      </w:r>
      <w:r w:rsidRPr="008B7528">
        <w:tab/>
        <w:t>като има предвид, че в своя доклад относно годишните отчети на Европейския банков орган за финансовата 2022 година („доклада на Палатата“) Сметната палата („Палатата“) заявява, че е получила достатъчна увереност, че годишните отчети на Органа са надеждни и че свързаните с тях операции са законосъобразни и редовни;</w:t>
      </w:r>
    </w:p>
    <w:p w:rsidR="00D6509B" w:rsidRPr="008B7528" w:rsidRDefault="00D6509B" w:rsidP="00D6509B">
      <w:pPr>
        <w:widowControl/>
        <w:spacing w:after="240"/>
        <w:ind w:left="567" w:hanging="567"/>
        <w:rPr>
          <w:b/>
          <w:i/>
          <w:szCs w:val="24"/>
        </w:rPr>
      </w:pPr>
      <w:r w:rsidRPr="008B7528">
        <w:rPr>
          <w:b/>
          <w:i/>
        </w:rPr>
        <w:t>Бюджетно и финансово управление</w:t>
      </w:r>
    </w:p>
    <w:p w:rsidR="00D6509B" w:rsidRPr="008B7528" w:rsidRDefault="00D6509B" w:rsidP="00D6509B">
      <w:pPr>
        <w:pStyle w:val="NormalHanging12a"/>
        <w:widowControl/>
        <w:rPr>
          <w:szCs w:val="24"/>
        </w:rPr>
      </w:pPr>
      <w:r w:rsidRPr="008B7528">
        <w:t>1.</w:t>
      </w:r>
      <w:r w:rsidRPr="008B7528">
        <w:tab/>
        <w:t>със задоволство отбелязва,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99,56%, което представлява увеличение с 1,05% спрямо 2021 г.; отбелязва освен това, че степента на изпълнение на бюджетните кредити за плащания за текущата година е 87,00%, което представлява увеличение с 3,00% спрямо 2021 г.;</w:t>
      </w:r>
    </w:p>
    <w:p w:rsidR="00D6509B" w:rsidRPr="008B7528" w:rsidRDefault="00D6509B" w:rsidP="00D6509B">
      <w:pPr>
        <w:widowControl/>
        <w:spacing w:after="240"/>
        <w:ind w:left="567" w:hanging="567"/>
        <w:rPr>
          <w:b/>
          <w:i/>
          <w:szCs w:val="24"/>
        </w:rPr>
      </w:pPr>
      <w:r w:rsidRPr="008B7528">
        <w:rPr>
          <w:b/>
          <w:i/>
        </w:rPr>
        <w:t>Резултати от дейността</w:t>
      </w:r>
    </w:p>
    <w:p w:rsidR="00D6509B" w:rsidRPr="008B7528" w:rsidRDefault="00D6509B" w:rsidP="00D6509B">
      <w:pPr>
        <w:pStyle w:val="NormalHanging12a"/>
        <w:widowControl/>
        <w:rPr>
          <w:szCs w:val="24"/>
        </w:rPr>
      </w:pPr>
      <w:r w:rsidRPr="008B7528">
        <w:t>2.</w:t>
      </w:r>
      <w:r w:rsidRPr="008B7528">
        <w:tab/>
        <w:t xml:space="preserve">приветства факта, че Органът продължава да използва някои мерки, като ключови показатели за резултатите от дейността, за да прави оценка на своите дейности и на резултатите от тях във връзка с постигането на целите на работната програма на Органа; отбелязва, че за 2022 г. Органът е определил пет вертикални приоритета (например мониторинг и актуализиране на </w:t>
      </w:r>
      <w:proofErr w:type="spellStart"/>
      <w:r w:rsidRPr="008B7528">
        <w:t>пруденциалната</w:t>
      </w:r>
      <w:proofErr w:type="spellEnd"/>
      <w:r w:rsidRPr="008B7528">
        <w:t xml:space="preserve"> рамка за надзор и преструктуриране, преразглеждане и укрепване на рамката за стрес тестове в целия ЕС) и два хоризонтални приоритета (предоставяне на инструменти за измерване и управление на екологичните, социалните и управленските (ЕСУ) рискове и мониторинг и смекчаване на въздействието на COVID-19) за своята работна програма; отбелязва, че през 2022 г. Органът е </w:t>
      </w:r>
      <w:r w:rsidRPr="008B7528">
        <w:lastRenderedPageBreak/>
        <w:t>изпълнил 95% от приблизително 250-те задачи, определени в неговата работна програма, включително 15% задачи, които е трябвало да бъдат добавени към работата през годината; признава освен това, че това е подобрение спрямо предходната година;</w:t>
      </w:r>
    </w:p>
    <w:p w:rsidR="00D6509B" w:rsidRPr="008B7528" w:rsidRDefault="00D6509B" w:rsidP="00D6509B">
      <w:pPr>
        <w:pStyle w:val="NormalHanging12a"/>
        <w:widowControl/>
        <w:rPr>
          <w:szCs w:val="24"/>
        </w:rPr>
      </w:pPr>
      <w:r w:rsidRPr="008B7528">
        <w:t>3.</w:t>
      </w:r>
      <w:r w:rsidRPr="008B7528">
        <w:tab/>
        <w:t>съзнава, че необоснованата агресивна война на Русия срещу Украйна беше причина Органът да разгледа предизвикателствата и несигурността, произтичащи от този конфликт за области от компетентността на Органа, и да предприема съответни действия за преодоляването им; приветства факта, че в резултат на това Органът е поставил значителен акцент върху оценката на рисковете за банките и финансовия сектор и е предприел действия за наблюдение на този сектор; отбелязва също, че Органът се е съсредоточил върху усилията, допринасящи за прилагането и изпълнението на наложени санкции, и на равнище, което е от по-непосредствено значение за хората, засегнати от този конфликт, приветства усилията на Органа за предоставяне на насоки за улесняване на достъпа до финансовата система;</w:t>
      </w:r>
    </w:p>
    <w:p w:rsidR="00D6509B" w:rsidRPr="008B7528" w:rsidRDefault="00D6509B" w:rsidP="00D6509B">
      <w:pPr>
        <w:widowControl/>
        <w:spacing w:after="240"/>
        <w:ind w:left="567" w:hanging="567"/>
        <w:rPr>
          <w:szCs w:val="24"/>
        </w:rPr>
      </w:pPr>
      <w:r w:rsidRPr="008B7528">
        <w:t>4.</w:t>
      </w:r>
      <w:r w:rsidRPr="008B7528">
        <w:tab/>
        <w:t>отбелязва, че някои от важните фактори за дейността на Органа през 2022 г. са допринесли за оформянето на законодателните досиета, довели до приемането на Регламент (ЕС) 2022/2554</w:t>
      </w:r>
      <w:r w:rsidRPr="008B7528">
        <w:rPr>
          <w:rStyle w:val="FootnoteReference"/>
          <w:szCs w:val="24"/>
        </w:rPr>
        <w:footnoteReference w:id="12"/>
      </w:r>
      <w:r w:rsidRPr="008B7528">
        <w:t xml:space="preserve"> и Директива (ЕС) 2022/2556</w:t>
      </w:r>
      <w:r w:rsidRPr="008B7528">
        <w:rPr>
          <w:rStyle w:val="FootnoteReference"/>
          <w:szCs w:val="24"/>
        </w:rPr>
        <w:footnoteReference w:id="13"/>
      </w:r>
      <w:r w:rsidRPr="008B7528">
        <w:t xml:space="preserve"> („Регламента и директивата относно оперативната устойчивост на цифровите технологии“) и Регламент (ЕС) 2023/1114</w:t>
      </w:r>
      <w:r w:rsidRPr="008B7528">
        <w:rPr>
          <w:rStyle w:val="FootnoteReference"/>
          <w:szCs w:val="24"/>
        </w:rPr>
        <w:footnoteReference w:id="14"/>
      </w:r>
      <w:r w:rsidRPr="008B7528">
        <w:t xml:space="preserve"> („Регламента относно пазарите на криптоактиви“) чрез отговора, предоставен на различни искания за консултации относно цифровото финансиране и свързаните въпроси; отбелязва, че друга област, на която е обърнато особено внимание, е предотвратяването на използването на финансовата система за целите на изпирането на пари и финансирането на тероризма; отбелязва освен това, че разработването на подходяща екологична, социална и управленска (ЕСУ) рамка за банките и наблюдението на въздействието на COVID-19 върху техните счетоводни баланси са останали на челно място в работата на Органа; потвърждава, че Органът също така е актуализирал своя работен план за партньорските проверки за периода 2022 — 2023 г., в съответствие с Регламент </w:t>
      </w:r>
      <w:r w:rsidR="0005471E">
        <w:t xml:space="preserve">(ЕС) </w:t>
      </w:r>
      <w:r w:rsidRPr="008B7528">
        <w:t>№ 1093/2010;</w:t>
      </w:r>
    </w:p>
    <w:p w:rsidR="00D6509B" w:rsidRPr="008B7528" w:rsidRDefault="00D6509B" w:rsidP="00D6509B">
      <w:pPr>
        <w:widowControl/>
        <w:spacing w:after="240"/>
        <w:ind w:left="567" w:hanging="567"/>
        <w:rPr>
          <w:b/>
          <w:i/>
          <w:szCs w:val="24"/>
        </w:rPr>
      </w:pPr>
      <w:r w:rsidRPr="008B7528">
        <w:rPr>
          <w:b/>
          <w:i/>
        </w:rPr>
        <w:t>Ефикасност и успехи</w:t>
      </w:r>
    </w:p>
    <w:p w:rsidR="00D6509B" w:rsidRPr="008B7528" w:rsidRDefault="00D6509B" w:rsidP="00D6509B">
      <w:pPr>
        <w:widowControl/>
        <w:spacing w:after="240"/>
        <w:ind w:left="567" w:hanging="567"/>
        <w:rPr>
          <w:szCs w:val="24"/>
        </w:rPr>
      </w:pPr>
      <w:r w:rsidRPr="008B7528">
        <w:t>5.</w:t>
      </w:r>
      <w:r w:rsidRPr="008B7528">
        <w:tab/>
        <w:t xml:space="preserve">приветства факта, че в областта на </w:t>
      </w:r>
      <w:bookmarkStart w:id="10" w:name="_GoBack"/>
      <w:bookmarkEnd w:id="10"/>
      <w:r w:rsidRPr="008B7528">
        <w:t xml:space="preserve">възлагането на обществени поръчки Органът възприема подхода да кани други агенции да участват в неговите открити </w:t>
      </w:r>
      <w:r w:rsidRPr="008B7528">
        <w:lastRenderedPageBreak/>
        <w:t>процедури за възлагане на обществени поръчки, когато е възможно други агенции да проявят интерес; отбелязва, че през 2022 г. Органът е бил водещата агенция в една междуинституционална процедура за възлагане на обществена поръчка, в която са участвали Европейският орган за ценни книжа и пазари (ESMA) и Европейският орган за застраховане и професионално пенсионно осигуряване (ЕIОPA); отбелязва освен това, че Органът е участвал също така в голям брой междуинституционални процедури, ръководени от други институции, органи, служби или агенции на Съюза, предимно управляваните от Комисията; отбелязва, че през 2022 г. 77% от 96-те действащи рамкови договора на Органа са били възложени от други институции, органи, служби или агенции на Съюза;</w:t>
      </w:r>
    </w:p>
    <w:p w:rsidR="00D6509B" w:rsidRPr="008B7528" w:rsidRDefault="00D6509B" w:rsidP="00D6509B">
      <w:pPr>
        <w:widowControl/>
        <w:spacing w:after="240"/>
        <w:ind w:left="567" w:hanging="567"/>
        <w:rPr>
          <w:szCs w:val="24"/>
        </w:rPr>
      </w:pPr>
      <w:r w:rsidRPr="008B7528">
        <w:t>6.</w:t>
      </w:r>
      <w:r w:rsidRPr="008B7528">
        <w:tab/>
        <w:t>отбелязва, че Съвместният комитет на европейските надзорни органи, който обединява Органа, EIOPA, ESMA, Комисията и Европейския съвет за системен риск, е важен форум за обсъждане на общи регулаторни въпроси и за договаряне на съвместни инициативи; припомня, че съвместните инициативи обединяват различни гледни точки, намаляват дублирането на усилия, стимулират ученето и укрепват отношенията между участниците;</w:t>
      </w:r>
    </w:p>
    <w:p w:rsidR="00D6509B" w:rsidRPr="008B7528" w:rsidRDefault="00D6509B" w:rsidP="00D6509B">
      <w:pPr>
        <w:widowControl/>
        <w:spacing w:after="240"/>
        <w:ind w:left="567" w:hanging="567"/>
        <w:rPr>
          <w:bCs/>
          <w:szCs w:val="24"/>
        </w:rPr>
      </w:pPr>
      <w:r w:rsidRPr="008B7528">
        <w:t>7.</w:t>
      </w:r>
      <w:r w:rsidRPr="008B7528">
        <w:tab/>
        <w:t>приветства факта, че Органът участва в широкообхватни инициативи за сътрудничество и споделяне на ресурси с различни агенции, като обща счетоводна служба с ESMA, общ служител по сигурността с EIOPA, съвместни ИТ проекти, инвестиции в кариерно развитие и предоставяне на опит за подпомагане на други агенции при получаването на сертификат по EMAS; подчертава освен това хоризонталните ползи от съвместната работа и адаптирането на най-добрите практики;</w:t>
      </w:r>
    </w:p>
    <w:p w:rsidR="00D6509B" w:rsidRPr="008B7528" w:rsidRDefault="00D6509B" w:rsidP="00D6509B">
      <w:pPr>
        <w:widowControl/>
        <w:spacing w:after="240"/>
        <w:ind w:left="567" w:hanging="567"/>
        <w:rPr>
          <w:szCs w:val="24"/>
        </w:rPr>
      </w:pPr>
      <w:r w:rsidRPr="008B7528">
        <w:t>8.</w:t>
      </w:r>
      <w:r w:rsidRPr="008B7528">
        <w:tab/>
        <w:t>приветства факта, че Органът е предприел различни инициативи, като оптимизиране на процесите, управление на ресурсите, цифровизация, подобряване на сътрудничеството и насърчаване на култура на непрекъснато усъвършенстване; отбелязва, че най-важните стратегии включват автоматизация на процесите (финансови операции без документи на хартиен носител, масови плащания, инструменти за работния процес), оптимизиране на ресурсите, вземане на решения въз основа на данни, технологична интеграция (услуги в облак, цифровизация на човешките ресурси), сътрудничество чрез хоризонтални екипи и управление на проекти;</w:t>
      </w:r>
    </w:p>
    <w:p w:rsidR="00D6509B" w:rsidRPr="008B7528" w:rsidRDefault="00D6509B" w:rsidP="00D6509B">
      <w:pPr>
        <w:pStyle w:val="NormalHanging12a"/>
      </w:pPr>
      <w:r w:rsidRPr="008B7528">
        <w:t>9.</w:t>
      </w:r>
      <w:r w:rsidRPr="008B7528">
        <w:tab/>
        <w:t>подчертава, че Органът е активен член на Мрежата на агенциите на ЕС и че постоянно се развиват полезни взаимодействия с другите европейски надзорни органи, като споделяне на списъците с резерви за набиране на служители между Органа, ESMA и EIOPA;</w:t>
      </w:r>
    </w:p>
    <w:p w:rsidR="00D6509B" w:rsidRPr="008B7528" w:rsidRDefault="00D6509B" w:rsidP="00D6509B">
      <w:pPr>
        <w:widowControl/>
        <w:spacing w:after="240"/>
        <w:ind w:left="567" w:hanging="567"/>
        <w:rPr>
          <w:b/>
          <w:i/>
          <w:szCs w:val="24"/>
        </w:rPr>
      </w:pPr>
      <w:r w:rsidRPr="008B7528">
        <w:rPr>
          <w:b/>
          <w:i/>
        </w:rPr>
        <w:t>Политика относно персонала</w:t>
      </w:r>
    </w:p>
    <w:p w:rsidR="00D6509B" w:rsidRPr="008B7528" w:rsidRDefault="00D6509B" w:rsidP="00D6509B">
      <w:pPr>
        <w:widowControl/>
        <w:spacing w:after="240"/>
        <w:ind w:left="567" w:hanging="567"/>
        <w:rPr>
          <w:szCs w:val="24"/>
        </w:rPr>
      </w:pPr>
      <w:r w:rsidRPr="008B7528">
        <w:t>10.</w:t>
      </w:r>
      <w:r w:rsidRPr="008B7528">
        <w:tab/>
        <w:t>отбелязва, че към 31 декември 2022 г. щатното разписание е изпълнено на 98,14%, като са назначени 159 срочно наети служители от общо 162 длъжности за тази категория служители, разрешени съгласно бюджета на Съюза (същият брой разрешени длъжности, както през 2021 г.); отбелязва, че освен това през 2022 г. за Органа са работили 44 договорно наети служители (от 50 разрешени длъжности) и 13 командировани национални експерти (от 19 разрешени длъжности), плюс шест командировани национални експерти без право на разходи;</w:t>
      </w:r>
    </w:p>
    <w:p w:rsidR="00D6509B" w:rsidRPr="008B7528" w:rsidRDefault="00D6509B" w:rsidP="00D6509B">
      <w:pPr>
        <w:widowControl/>
        <w:spacing w:after="240"/>
        <w:ind w:left="567" w:hanging="567"/>
        <w:rPr>
          <w:szCs w:val="24"/>
        </w:rPr>
      </w:pPr>
      <w:r w:rsidRPr="008B7528">
        <w:lastRenderedPageBreak/>
        <w:t>11.</w:t>
      </w:r>
      <w:r w:rsidRPr="008B7528">
        <w:tab/>
        <w:t>отбелязва освен това, че през 2022 г. общият процент на текучество е 11,5% (спрямо 12% през 2021 г.); отбелязва, че общият процент на текучество включва приключването на договорите на командированите национални експерти, които договори са по същество с по-кратък срок, докато процентът на текучество на щатните служители (срочно наети служители и договорно наети служители) е 9% (като този процент е малко по-висок за договорно наетите служители спрямо срочно наетите служители); подчертава, че от 2020 г. насам Органът е започнал да обогатява подхода си за управление на талантите с допълнителни мерки за предоставяне на правомощия на служителите и за подкрепа на дългосрочната ангажираност (силно стойностно предложение за служителите, адаптирани програми за кариерно развитие — например наставничество, инициативи за професионалния и личния живот, например социален клуб, и др.);</w:t>
      </w:r>
    </w:p>
    <w:p w:rsidR="00D6509B" w:rsidRPr="008B7528" w:rsidRDefault="00D6509B" w:rsidP="00D6509B">
      <w:pPr>
        <w:pStyle w:val="NormalHanging12a"/>
        <w:widowControl/>
        <w:rPr>
          <w:szCs w:val="24"/>
        </w:rPr>
      </w:pPr>
      <w:r w:rsidRPr="008B7528">
        <w:t>12.</w:t>
      </w:r>
      <w:r w:rsidRPr="008B7528">
        <w:tab/>
        <w:t>отбелязва разпределението по пол сред висшето и средното ръководство на Органа, при което 16 от общо 29 членове на висшето и средното ръководство са мъже (55%), и сред служителите на Органа като цяло, при които 114 от общо 222 служители са мъже (51%); подкрепя факта, че Органът е приел Хартата на Мрежата на агенциите на ЕС за многообразие и приобщаване; отбелязва, че Органът е член на мрежата от международни организации „</w:t>
      </w:r>
      <w:proofErr w:type="spellStart"/>
      <w:r w:rsidRPr="008B7528">
        <w:t>Choose</w:t>
      </w:r>
      <w:proofErr w:type="spellEnd"/>
      <w:r w:rsidRPr="008B7528">
        <w:t xml:space="preserve"> </w:t>
      </w:r>
      <w:proofErr w:type="spellStart"/>
      <w:r w:rsidRPr="008B7528">
        <w:t>Paris</w:t>
      </w:r>
      <w:proofErr w:type="spellEnd"/>
      <w:r w:rsidRPr="008B7528">
        <w:t xml:space="preserve"> </w:t>
      </w:r>
      <w:proofErr w:type="spellStart"/>
      <w:r w:rsidRPr="008B7528">
        <w:t>Region</w:t>
      </w:r>
      <w:proofErr w:type="spellEnd"/>
      <w:r w:rsidRPr="008B7528">
        <w:t>“ (Изберете Парижки регион), насърчаваща разнообразно, приобщаващо и справедливо работно място, и предоставя специфични улеснения за хората с увреждания като част от процеса на набиране на служители;</w:t>
      </w:r>
    </w:p>
    <w:p w:rsidR="00D6509B" w:rsidRPr="008B7528" w:rsidRDefault="00D6509B" w:rsidP="00D6509B">
      <w:pPr>
        <w:widowControl/>
        <w:spacing w:after="240"/>
        <w:ind w:left="567" w:hanging="567"/>
        <w:rPr>
          <w:szCs w:val="24"/>
        </w:rPr>
      </w:pPr>
      <w:r w:rsidRPr="008B7528">
        <w:t>13.</w:t>
      </w:r>
      <w:r w:rsidRPr="008B7528">
        <w:tab/>
        <w:t>известно му е, че през 2022 г. е започнато проучване на ангажираността на служителите, в което са участвали 71% от тях; отбелязва, че общият положителен резултат, представляващ ангажираността на служителите, е 65% — с 1% по-висок, отколкото при предишното проучване на ангажираността от 2019 г. (въпреки предизвикателствата по време на COVID-19) и в сравнение с показателя на ЕС за агенциите;</w:t>
      </w:r>
    </w:p>
    <w:p w:rsidR="00D6509B" w:rsidRPr="008B7528" w:rsidRDefault="00D6509B" w:rsidP="00D6509B">
      <w:pPr>
        <w:widowControl/>
        <w:spacing w:after="240"/>
        <w:ind w:left="567" w:hanging="567"/>
        <w:rPr>
          <w:b/>
          <w:i/>
          <w:szCs w:val="24"/>
        </w:rPr>
      </w:pPr>
      <w:r w:rsidRPr="008B7528">
        <w:rPr>
          <w:b/>
          <w:i/>
        </w:rPr>
        <w:t>Предотвратяване и управление на конфликти на интереси и прозрачност</w:t>
      </w:r>
    </w:p>
    <w:p w:rsidR="00D6509B" w:rsidRPr="008B7528" w:rsidRDefault="00D6509B" w:rsidP="00D6509B">
      <w:pPr>
        <w:widowControl/>
        <w:spacing w:after="240"/>
        <w:ind w:left="567" w:hanging="567"/>
      </w:pPr>
      <w:r w:rsidRPr="008B7528">
        <w:t>14.</w:t>
      </w:r>
      <w:r w:rsidRPr="008B7528">
        <w:tab/>
        <w:t>приветства факта, че през 2022 г. Органът е рационализирал свързания с етиката процес, по-специално чрез въвеждането на електронна система за работните процеси, включваща по-задълбочена и по-ефективна оценка на уведомленията за потенциални конфликти на интереси на напускащите служители и на уведомленията за дейности след приключване на трудовото правоотношение;</w:t>
      </w:r>
    </w:p>
    <w:p w:rsidR="00D6509B" w:rsidRPr="008B7528" w:rsidRDefault="00D6509B" w:rsidP="00D6509B">
      <w:pPr>
        <w:pStyle w:val="NormalHanging12a"/>
      </w:pPr>
      <w:r w:rsidRPr="008B7528">
        <w:t>15.</w:t>
      </w:r>
      <w:r w:rsidRPr="008B7528">
        <w:tab/>
        <w:t>подчертава, че насоките относно подаването на сигнали за нередности, включващи насоки за борба с корупцията, са включени в учебните материали на програмите на Органа за обучение, насочени към етиката и почтеността;</w:t>
      </w:r>
    </w:p>
    <w:p w:rsidR="00D6509B" w:rsidRPr="008B7528" w:rsidRDefault="00D6509B" w:rsidP="00D6509B">
      <w:pPr>
        <w:pStyle w:val="NormalHanging12a"/>
      </w:pPr>
      <w:r w:rsidRPr="008B7528">
        <w:t>16.</w:t>
      </w:r>
      <w:r w:rsidRPr="008B7528">
        <w:tab/>
        <w:t>високо оценява факта, че през 2022 г. Съветът на надзорниците прие изменение на своя Процедурен правилник, както и на правилата за Управителния съвет и на правомощията на постоянните комитети за преструктуриране и борба с изпирането на пари и финансирането на тероризма, като задължи членовете, които са декларирали конфликт на интереси, да отсъстват както от гласуването, така и от самото обсъждане, без изключения;</w:t>
      </w:r>
    </w:p>
    <w:p w:rsidR="00D6509B" w:rsidRPr="008B7528" w:rsidRDefault="00D6509B" w:rsidP="00D6509B">
      <w:pPr>
        <w:widowControl/>
        <w:spacing w:after="240"/>
        <w:ind w:left="567" w:hanging="567"/>
        <w:rPr>
          <w:szCs w:val="24"/>
        </w:rPr>
      </w:pPr>
      <w:r w:rsidRPr="008B7528">
        <w:t>17.</w:t>
      </w:r>
      <w:r w:rsidRPr="008B7528">
        <w:tab/>
        <w:t xml:space="preserve">отбелязва, че след приключването на разследване на Европейската служба за борба с измамите (OLAF) без установени нередности във връзка със спазването на </w:t>
      </w:r>
      <w:r w:rsidRPr="008B7528">
        <w:lastRenderedPageBreak/>
        <w:t>съответната правна рамка Органът е получил препоръка за предприемане на административни действия, особено по отношение на трудовите договори на висшето ръководство; отбелязва, че разследването е разкрило липса на договорни разпоредби, свързани с освобождаване при условията на неактивна заетост или период на прекъсване; подчертава, че в отговор на това през февруари 2022 г. Органът е въвел нов член в договорите за директори, съветници и по-висшите от тези длъжности; отбелязва, че поради ограничения в правната рамка на Правилника за длъжностните лица Органът е информирал OLAF, че не може да налага изисквания на служителите извън тази рамка, като предоставяне на обезщетение, когато на бивш служител се налага ограничение във връзка с упражняването на професионална дейност или когато той е изправен пред задължението да изпълни значителни условия за целта;</w:t>
      </w:r>
    </w:p>
    <w:p w:rsidR="00D6509B" w:rsidRPr="008B7528" w:rsidRDefault="00D6509B" w:rsidP="00D6509B">
      <w:pPr>
        <w:widowControl/>
        <w:spacing w:after="240"/>
        <w:ind w:left="567" w:hanging="567"/>
        <w:rPr>
          <w:szCs w:val="24"/>
        </w:rPr>
      </w:pPr>
      <w:r w:rsidRPr="008B7528">
        <w:t>18.</w:t>
      </w:r>
      <w:r w:rsidRPr="008B7528">
        <w:tab/>
        <w:t>приветства факта, че Органът оповестява всички срещи на служителите с външни заинтересовани лица от частния сектор в срок до две седмици след срещите за председателя, съгласно член 49а от Регламент (ЕС) № 1093/2010, и че това се прилага по същия начин за изпълнителния директор, въпреки че съгласно член 52а от посочения регламент се изисква срещите на изпълнителния директор да бъдат оповестявани публично, но не се уточнява колко скоро след тяхното провеждане; отбелязва, че за срещите на други служители със заинтересовани лица от частния сектор оповестяването се извършва на всеки три месеца;</w:t>
      </w:r>
    </w:p>
    <w:p w:rsidR="00D6509B" w:rsidRPr="008B7528" w:rsidRDefault="00D6509B" w:rsidP="00D6509B">
      <w:pPr>
        <w:widowControl/>
        <w:spacing w:after="240"/>
        <w:ind w:left="567" w:hanging="567"/>
        <w:rPr>
          <w:szCs w:val="24"/>
        </w:rPr>
      </w:pPr>
      <w:r w:rsidRPr="008B7528">
        <w:t>19.</w:t>
      </w:r>
      <w:r w:rsidRPr="008B7528">
        <w:tab/>
        <w:t>обръща внимание на приключването на един случай на подаден сигнал за нередности през 2022 г.; отбелязва, че предприетите действия са включвали установяване на контакт с национален компетентен орган за разбиране на твърденията и действията, предприети на национално равнище, което е довело до приключване на случая, без да е необходимо да се предприемат действия от страна на Органа;</w:t>
      </w:r>
    </w:p>
    <w:p w:rsidR="00D6509B" w:rsidRPr="008B7528" w:rsidRDefault="00D6509B" w:rsidP="00D6509B">
      <w:pPr>
        <w:widowControl/>
        <w:spacing w:after="240"/>
        <w:ind w:left="567" w:hanging="567"/>
        <w:rPr>
          <w:szCs w:val="24"/>
        </w:rPr>
      </w:pPr>
      <w:r w:rsidRPr="008B7528">
        <w:t>20.</w:t>
      </w:r>
      <w:r w:rsidRPr="008B7528">
        <w:tab/>
        <w:t>припомня, че автобиографиите на членовете на управителните органи и на заместниците, висшите ръководители и директорите се публикуват на уебсайтовете на Органа; отбелязва, че тези автобиографии включват информация относно професионалния опит и образованието; отбелязва освен това, че по отношение на експертите Органът публикува автобиографиите на Групата на участниците от банковия сектор;</w:t>
      </w:r>
    </w:p>
    <w:p w:rsidR="00D6509B" w:rsidRPr="008B7528" w:rsidRDefault="00D6509B" w:rsidP="00D6509B">
      <w:pPr>
        <w:widowControl/>
        <w:spacing w:after="240"/>
        <w:ind w:left="567" w:hanging="567"/>
        <w:rPr>
          <w:b/>
          <w:i/>
          <w:szCs w:val="24"/>
        </w:rPr>
      </w:pPr>
      <w:r w:rsidRPr="008B7528">
        <w:rPr>
          <w:b/>
          <w:i/>
        </w:rPr>
        <w:t>Обществени поръчки</w:t>
      </w:r>
    </w:p>
    <w:p w:rsidR="00D6509B" w:rsidRPr="008B7528" w:rsidRDefault="00D6509B" w:rsidP="00D6509B">
      <w:pPr>
        <w:widowControl/>
        <w:spacing w:after="240"/>
        <w:ind w:left="567" w:hanging="567"/>
        <w:rPr>
          <w:szCs w:val="24"/>
        </w:rPr>
      </w:pPr>
      <w:r w:rsidRPr="008B7528">
        <w:t>21.</w:t>
      </w:r>
      <w:r w:rsidRPr="008B7528">
        <w:tab/>
        <w:t>отбелязва, че според Палатата Органът е предприел действия за доставка на услуги чрез две открити тръжни процедури — една за проучване на пазара на финансови услуги и друга за консултации относно защитата на данните; отбелязва, че при една тръжна процедура е имало припокриване между критериите за подбор и критериите за възлагане; подчертава, че подобно припокриване противоречи на член 167 от Финансовия регламент, в който се посочва, че трябва да има пълно разделение между критериите за подбор и критериите за възлагане на поръчка; заявява, че критериите за подбор се използват за оценка на капацитета на оферентите, а критериите за възлагане се използват за оценка на цената и качеството на офертите; със съжаление отбелязва, че и в двата случая Органът е надценил максималната стойност на договорите поради недостатъци в проучването на пазарните цени, което е извършил преди обявяването на търговете;</w:t>
      </w:r>
    </w:p>
    <w:p w:rsidR="00D6509B" w:rsidRPr="008B7528" w:rsidRDefault="00D6509B" w:rsidP="00D6509B">
      <w:pPr>
        <w:widowControl/>
        <w:spacing w:after="240"/>
        <w:ind w:left="567" w:hanging="567"/>
        <w:rPr>
          <w:szCs w:val="24"/>
        </w:rPr>
      </w:pPr>
      <w:r w:rsidRPr="008B7528">
        <w:lastRenderedPageBreak/>
        <w:t>22.</w:t>
      </w:r>
      <w:r w:rsidRPr="008B7528">
        <w:tab/>
        <w:t>отбелязва, че според Палатата слабостите при възлагането на обществени поръчки, засягащи две отделни процедури на договаряне, докладвани през 2021 г., са коригирани, тъй като понастоящем Органът използва образците на Комисията, като по този начин процедурите му са приведени в съответствие с констатациите на Палатата;</w:t>
      </w:r>
    </w:p>
    <w:p w:rsidR="00D6509B" w:rsidRPr="008B7528" w:rsidRDefault="00D6509B" w:rsidP="00D6509B">
      <w:pPr>
        <w:widowControl/>
        <w:spacing w:after="240"/>
        <w:ind w:left="567" w:hanging="567"/>
        <w:rPr>
          <w:szCs w:val="24"/>
        </w:rPr>
      </w:pPr>
      <w:r w:rsidRPr="008B7528">
        <w:t>23.</w:t>
      </w:r>
      <w:r w:rsidRPr="008B7528">
        <w:tab/>
        <w:t xml:space="preserve">подчертава, че от финансовата 2020 година насам всяка година Палатата формулира нови констатации, свързани с възлагането на обществени поръчки, за четири агенции, включително за Органа; припомня, че целта на правилата за обществените поръчки е да се осигури възможност на възложителите да закупят необходимите им стоки и услуги на икономически най-изгодната цена, като се гарантира лоялна конкуренция между кандидатите и се зачитат принципите на прозрачност, пропорционалност, равно третиране и </w:t>
      </w:r>
      <w:proofErr w:type="spellStart"/>
      <w:r w:rsidRPr="008B7528">
        <w:t>недискриминация</w:t>
      </w:r>
      <w:proofErr w:type="spellEnd"/>
      <w:r w:rsidRPr="008B7528">
        <w:t>; призовава Органа да осигури пълно спазване на приложимите правила за възлагане на обществени поръчки, за да се постигне възможно най-добро съотношение между качество и цена;</w:t>
      </w:r>
    </w:p>
    <w:p w:rsidR="00D6509B" w:rsidRPr="008B7528" w:rsidRDefault="00D6509B" w:rsidP="00D6509B">
      <w:pPr>
        <w:widowControl/>
        <w:spacing w:after="240"/>
        <w:ind w:left="567" w:hanging="567"/>
        <w:rPr>
          <w:b/>
          <w:i/>
          <w:szCs w:val="24"/>
        </w:rPr>
      </w:pPr>
      <w:r w:rsidRPr="008B7528">
        <w:rPr>
          <w:b/>
          <w:i/>
        </w:rPr>
        <w:t>Вътрешен контрол</w:t>
      </w:r>
    </w:p>
    <w:p w:rsidR="00D6509B" w:rsidRPr="008B7528" w:rsidRDefault="00D6509B" w:rsidP="00D6509B">
      <w:pPr>
        <w:widowControl/>
        <w:spacing w:after="240"/>
        <w:ind w:left="567" w:hanging="567"/>
        <w:rPr>
          <w:szCs w:val="24"/>
        </w:rPr>
      </w:pPr>
      <w:r w:rsidRPr="008B7528">
        <w:t>24.</w:t>
      </w:r>
      <w:r w:rsidRPr="008B7528">
        <w:tab/>
        <w:t>припомня, че Органът започна да работи със специален партньор за управление на риска с цел подобряване на съвместимостта на настоящата програма на Органа за управление на риска с рамката за управление на риска в предприятието на Комитета на спонсориращите организации на Комисията „</w:t>
      </w:r>
      <w:proofErr w:type="spellStart"/>
      <w:r w:rsidRPr="008B7528">
        <w:t>Тредуей</w:t>
      </w:r>
      <w:proofErr w:type="spellEnd"/>
      <w:r w:rsidRPr="008B7528">
        <w:t>“ (COSO) през 2021 г. и че той продължи тази работа през 2022 г.; отбелязва, че за да укрепи допълнително вътрешния контрол, Органът планира да интегрира своята програма за управление на риска в рамката за управление на риска в предприятието на COSO, да засили свързаните с етиката дейности и да осигури специално обучение по вътрешен контрол през 2023 г. с цел поддържане и повишаване на ефективността на цялостната система за вътрешен контрол;</w:t>
      </w:r>
    </w:p>
    <w:p w:rsidR="00D6509B" w:rsidRPr="008B7528" w:rsidRDefault="00D6509B" w:rsidP="00D6509B">
      <w:pPr>
        <w:widowControl/>
        <w:spacing w:after="240"/>
        <w:ind w:left="567" w:hanging="567"/>
        <w:rPr>
          <w:szCs w:val="24"/>
        </w:rPr>
      </w:pPr>
      <w:r w:rsidRPr="008B7528">
        <w:t>25.</w:t>
      </w:r>
      <w:r w:rsidRPr="008B7528">
        <w:tab/>
        <w:t>отбелязва, че според Палатата слабостите във вътрешния контрол, засягащи процедурите за набиране на служители, докладвани през 2021 г., са коригирани, тъй като Органът е изменил съответно своите процедури;</w:t>
      </w:r>
    </w:p>
    <w:p w:rsidR="00D6509B" w:rsidRPr="008B7528" w:rsidRDefault="00D6509B" w:rsidP="00D6509B">
      <w:pPr>
        <w:widowControl/>
        <w:spacing w:after="240"/>
        <w:ind w:left="567" w:hanging="567"/>
        <w:rPr>
          <w:b/>
          <w:i/>
          <w:szCs w:val="24"/>
        </w:rPr>
      </w:pPr>
      <w:r w:rsidRPr="008B7528">
        <w:rPr>
          <w:b/>
          <w:i/>
        </w:rPr>
        <w:t>Други коментари</w:t>
      </w:r>
    </w:p>
    <w:p w:rsidR="00D6509B" w:rsidRPr="008B7528" w:rsidRDefault="00D6509B" w:rsidP="00D6509B">
      <w:pPr>
        <w:widowControl/>
        <w:spacing w:after="240"/>
        <w:ind w:left="567" w:hanging="567"/>
        <w:rPr>
          <w:szCs w:val="24"/>
        </w:rPr>
      </w:pPr>
      <w:r w:rsidRPr="008B7528">
        <w:t>26.</w:t>
      </w:r>
      <w:r w:rsidRPr="008B7528">
        <w:tab/>
        <w:t>приветства факта, че през 2022 г. Органът е продължил да популяризира своята работа и продукти чрез широк набор от комуникационни канали, като корпоративния уебсайт, интервюта за пресата и платформите на социалните медии; отбелязва, че Органът също така е увеличил броя на динамичните визуализации на данни, насочени към представяне на големи количества данни по по-всеобхватен и разбираем начин, и е публикувал 149 съобщения за медиите и новини, популяризирал е работата на Органа в пресата и медиите, като е провел 74 интервюта и брифинги за пресата, и е отговорил на 706 запитвания по електронна поща;</w:t>
      </w:r>
    </w:p>
    <w:p w:rsidR="00D6509B" w:rsidRPr="008B7528" w:rsidRDefault="00D6509B" w:rsidP="00D6509B">
      <w:pPr>
        <w:pStyle w:val="NormalHanging12a"/>
        <w:widowControl/>
      </w:pPr>
      <w:r w:rsidRPr="008B7528">
        <w:t>27.</w:t>
      </w:r>
      <w:r w:rsidRPr="008B7528">
        <w:tab/>
        <w:t>приветства факта, че през 2022 г. Органът е получил сертификат по схемата за управление по околна среда и одит (EMAS) и е постигнал успешно своите цели и задачи в областта на околната среда за 2022 г. по отношение на пътуванията, енергията, отпадъците, обществените поръчки и основната дейност;</w:t>
      </w:r>
      <w:r w:rsidRPr="008B7528">
        <w:rPr>
          <w:color w:val="374151"/>
        </w:rPr>
        <w:t xml:space="preserve"> </w:t>
      </w:r>
      <w:r w:rsidRPr="008B7528">
        <w:t xml:space="preserve">подчертава, че тези постижения включват намаляване с най-малко 50% на свързаните с </w:t>
      </w:r>
      <w:r w:rsidRPr="008B7528">
        <w:lastRenderedPageBreak/>
        <w:t>пътувания дейности, намаляване с 10% на потреблението на енергия в сградите, ангажимент за рециклиране на най-малко 70% от отпадъците и отчитане на въздействието върху околната среда във всички обществени поръчки, възложени от Органа;</w:t>
      </w:r>
    </w:p>
    <w:p w:rsidR="00D6509B" w:rsidRDefault="00D6509B" w:rsidP="003F100F">
      <w:pPr>
        <w:pStyle w:val="NormalHanging12a"/>
        <w:widowControl/>
      </w:pPr>
      <w:r w:rsidRPr="008B7528">
        <w:t>28.</w:t>
      </w:r>
      <w:r w:rsidRPr="008B7528">
        <w:tab/>
        <w:t>приветства Органа за предприемането на мерки за намаляване на потреблението на енергия с 10% през 2022 г. (спрямо 2019 г.); посочва, че за да постигне тази цел, Органът е въвел мерки като промяна на графиците за отопление и намаляване на зададените температури на термостатите, преминаване към доставка на енергия изцяло от възобновяеми енергийни източници, ежедневно наблюдение на измервателните уреди за оценка на въздействието на предприетите действия и провеждане на кампания за повишаване на осведомеността на служителите относно енергоспестяването; отбелязва, че до края на 2022 г. е постигнато намаление от 16,4% на потреблението на енергия (спрямо 2019 г.);</w:t>
      </w:r>
    </w:p>
    <w:p w:rsidR="003F100F" w:rsidRDefault="003F100F" w:rsidP="003F100F">
      <w:pPr>
        <w:pStyle w:val="NormalHanging12a"/>
        <w:widowControl/>
        <w:ind w:left="0" w:firstLine="0"/>
        <w:jc w:val="center"/>
      </w:pPr>
      <w:r>
        <w:t>°</w:t>
      </w:r>
    </w:p>
    <w:p w:rsidR="003F100F" w:rsidRDefault="003F100F" w:rsidP="003F100F">
      <w:pPr>
        <w:pStyle w:val="NormalHanging12a"/>
        <w:widowControl/>
        <w:ind w:left="0" w:firstLine="0"/>
        <w:jc w:val="center"/>
      </w:pPr>
      <w:r>
        <w:t>°     °</w:t>
      </w:r>
    </w:p>
    <w:p w:rsidR="00D6509B" w:rsidRPr="008B7528" w:rsidRDefault="00D6509B" w:rsidP="00D6509B">
      <w:pPr>
        <w:pStyle w:val="NormalHanging12a"/>
      </w:pPr>
      <w:r w:rsidRPr="008B7528">
        <w:t>29.</w:t>
      </w:r>
      <w:r w:rsidRPr="008B7528">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E00603">
        <w:t>11</w:t>
      </w:r>
      <w:r w:rsidR="00E00603" w:rsidRPr="008B7528">
        <w:t xml:space="preserve"> </w:t>
      </w:r>
      <w:r w:rsidRPr="008B7528">
        <w:t>април 2024 г.</w:t>
      </w:r>
      <w:r w:rsidRPr="008B7528">
        <w:rPr>
          <w:vertAlign w:val="superscript"/>
        </w:rPr>
        <w:footnoteReference w:id="15"/>
      </w:r>
      <w:r w:rsidRPr="008B7528">
        <w:t xml:space="preserve"> относно резултатите от дейността, финансовото управление и контрола на агенциите.</w:t>
      </w:r>
    </w:p>
    <w:sectPr w:rsidR="00D6509B" w:rsidRPr="008B7528" w:rsidSect="008B752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7AF" w:rsidRPr="008B7528" w:rsidRDefault="004B67AF">
      <w:r w:rsidRPr="008B7528">
        <w:separator/>
      </w:r>
    </w:p>
  </w:endnote>
  <w:endnote w:type="continuationSeparator" w:id="0">
    <w:p w:rsidR="004B67AF" w:rsidRPr="008B7528" w:rsidRDefault="004B67AF">
      <w:r w:rsidRPr="008B75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09B" w:rsidRPr="008B7528" w:rsidRDefault="00D6509B" w:rsidP="00BD07B8">
    <w:pPr>
      <w:pStyle w:val="EPFooter"/>
    </w:pPr>
    <w:r w:rsidRPr="008B7528">
      <w:t>PE</w:t>
    </w:r>
    <w:r w:rsidRPr="008B7528">
      <w:rPr>
        <w:rStyle w:val="HideTWBExt"/>
      </w:rPr>
      <w:t>&lt;</w:t>
    </w:r>
    <w:proofErr w:type="spellStart"/>
    <w:r w:rsidRPr="008B7528">
      <w:rPr>
        <w:rStyle w:val="HideTWBExt"/>
      </w:rPr>
      <w:t>NoPE</w:t>
    </w:r>
    <w:proofErr w:type="spellEnd"/>
    <w:r w:rsidRPr="008B7528">
      <w:rPr>
        <w:rStyle w:val="HideTWBExt"/>
      </w:rPr>
      <w:t>&gt;</w:t>
    </w:r>
    <w:r w:rsidRPr="008B7528">
      <w:t>753.513</w:t>
    </w:r>
    <w:r w:rsidRPr="008B7528">
      <w:rPr>
        <w:rStyle w:val="HideTWBExt"/>
      </w:rPr>
      <w:t>&lt;/</w:t>
    </w:r>
    <w:proofErr w:type="spellStart"/>
    <w:r w:rsidRPr="008B7528">
      <w:rPr>
        <w:rStyle w:val="HideTWBExt"/>
      </w:rPr>
      <w:t>NoPE</w:t>
    </w:r>
    <w:proofErr w:type="spellEnd"/>
    <w:r w:rsidRPr="008B7528">
      <w:rPr>
        <w:rStyle w:val="HideTWBExt"/>
      </w:rPr>
      <w:t>&gt;&lt;Version&gt;</w:t>
    </w:r>
    <w:r w:rsidRPr="008B7528">
      <w:t>v02-00</w:t>
    </w:r>
    <w:r w:rsidRPr="008B7528">
      <w:rPr>
        <w:rStyle w:val="HideTWBExt"/>
      </w:rPr>
      <w:t>&lt;/</w:t>
    </w:r>
    <w:proofErr w:type="spellStart"/>
    <w:r w:rsidRPr="008B7528">
      <w:rPr>
        <w:rStyle w:val="HideTWBExt"/>
      </w:rPr>
      <w:t>Version</w:t>
    </w:r>
    <w:proofErr w:type="spellEnd"/>
    <w:r w:rsidRPr="008B7528">
      <w:rPr>
        <w:rStyle w:val="HideTWBExt"/>
      </w:rPr>
      <w:t>&gt;</w:t>
    </w:r>
    <w:r w:rsidRPr="008B7528">
      <w:tab/>
    </w:r>
    <w:r w:rsidRPr="008B7528">
      <w:fldChar w:fldCharType="begin"/>
    </w:r>
    <w:r w:rsidRPr="008B7528">
      <w:instrText xml:space="preserve"> PAGE  \* MERGEFORMAT </w:instrText>
    </w:r>
    <w:r w:rsidRPr="008B7528">
      <w:fldChar w:fldCharType="separate"/>
    </w:r>
    <w:r w:rsidR="008B7528" w:rsidRPr="008B7528">
      <w:rPr>
        <w:noProof/>
      </w:rPr>
      <w:t>2</w:t>
    </w:r>
    <w:r w:rsidRPr="008B7528">
      <w:fldChar w:fldCharType="end"/>
    </w:r>
    <w:r w:rsidRPr="008B7528">
      <w:t>/</w:t>
    </w:r>
    <w:r w:rsidR="0005471E">
      <w:fldChar w:fldCharType="begin"/>
    </w:r>
    <w:r w:rsidR="0005471E">
      <w:instrText xml:space="preserve"> NUMPAGES  \* MERGEFORMAT </w:instrText>
    </w:r>
    <w:r w:rsidR="0005471E">
      <w:fldChar w:fldCharType="separate"/>
    </w:r>
    <w:r w:rsidR="008B7528" w:rsidRPr="008B7528">
      <w:rPr>
        <w:noProof/>
      </w:rPr>
      <w:t>4</w:t>
    </w:r>
    <w:r w:rsidR="0005471E">
      <w:rPr>
        <w:noProof/>
      </w:rPr>
      <w:fldChar w:fldCharType="end"/>
    </w:r>
    <w:r w:rsidRPr="008B7528">
      <w:tab/>
    </w:r>
    <w:r w:rsidRPr="008B7528">
      <w:rPr>
        <w:rStyle w:val="HideTWBExt"/>
      </w:rPr>
      <w:t>&lt;PathFdR&gt;</w:t>
    </w:r>
    <w:r w:rsidRPr="008B7528">
      <w:t>RR\1298889BG.docx</w:t>
    </w:r>
    <w:r w:rsidRPr="008B7528">
      <w:rPr>
        <w:rStyle w:val="HideTWBExt"/>
      </w:rPr>
      <w:t>&lt;/</w:t>
    </w:r>
    <w:proofErr w:type="spellStart"/>
    <w:r w:rsidRPr="008B7528">
      <w:rPr>
        <w:rStyle w:val="HideTWBExt"/>
      </w:rPr>
      <w:t>PathFdR</w:t>
    </w:r>
    <w:proofErr w:type="spellEnd"/>
    <w:r w:rsidRPr="008B7528">
      <w:rPr>
        <w:rStyle w:val="HideTWBExt"/>
      </w:rPr>
      <w:t>&gt;</w:t>
    </w:r>
  </w:p>
  <w:p w:rsidR="00D6509B" w:rsidRPr="008B7528" w:rsidRDefault="00D6509B" w:rsidP="00BD07B8">
    <w:pPr>
      <w:pStyle w:val="EPFooter2"/>
    </w:pPr>
    <w:r w:rsidRPr="008B7528">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09B" w:rsidRPr="008B7528" w:rsidRDefault="00D6509B" w:rsidP="00BD07B8">
    <w:pPr>
      <w:pStyle w:val="EPFooter"/>
    </w:pPr>
    <w:r w:rsidRPr="008B7528">
      <w:rPr>
        <w:rStyle w:val="HideTWBExt"/>
      </w:rPr>
      <w:t>&lt;PathFdR&gt;</w:t>
    </w:r>
    <w:r w:rsidRPr="008B7528">
      <w:t>RR\1298889BG.docx</w:t>
    </w:r>
    <w:r w:rsidRPr="008B7528">
      <w:rPr>
        <w:rStyle w:val="HideTWBExt"/>
      </w:rPr>
      <w:t>&lt;/</w:t>
    </w:r>
    <w:proofErr w:type="spellStart"/>
    <w:r w:rsidRPr="008B7528">
      <w:rPr>
        <w:rStyle w:val="HideTWBExt"/>
      </w:rPr>
      <w:t>PathFdR</w:t>
    </w:r>
    <w:proofErr w:type="spellEnd"/>
    <w:r w:rsidRPr="008B7528">
      <w:rPr>
        <w:rStyle w:val="HideTWBExt"/>
      </w:rPr>
      <w:t>&gt;</w:t>
    </w:r>
    <w:r w:rsidRPr="008B7528">
      <w:tab/>
    </w:r>
    <w:r w:rsidRPr="008B7528">
      <w:tab/>
      <w:t>PE</w:t>
    </w:r>
    <w:r w:rsidRPr="008B7528">
      <w:rPr>
        <w:rStyle w:val="HideTWBExt"/>
      </w:rPr>
      <w:t>&lt;</w:t>
    </w:r>
    <w:proofErr w:type="spellStart"/>
    <w:r w:rsidRPr="008B7528">
      <w:rPr>
        <w:rStyle w:val="HideTWBExt"/>
      </w:rPr>
      <w:t>NoPE</w:t>
    </w:r>
    <w:proofErr w:type="spellEnd"/>
    <w:r w:rsidRPr="008B7528">
      <w:rPr>
        <w:rStyle w:val="HideTWBExt"/>
      </w:rPr>
      <w:t>&gt;</w:t>
    </w:r>
    <w:r w:rsidRPr="008B7528">
      <w:t>753.513</w:t>
    </w:r>
    <w:r w:rsidRPr="008B7528">
      <w:rPr>
        <w:rStyle w:val="HideTWBExt"/>
      </w:rPr>
      <w:t>&lt;/</w:t>
    </w:r>
    <w:proofErr w:type="spellStart"/>
    <w:r w:rsidRPr="008B7528">
      <w:rPr>
        <w:rStyle w:val="HideTWBExt"/>
      </w:rPr>
      <w:t>NoPE</w:t>
    </w:r>
    <w:proofErr w:type="spellEnd"/>
    <w:r w:rsidRPr="008B7528">
      <w:rPr>
        <w:rStyle w:val="HideTWBExt"/>
      </w:rPr>
      <w:t>&gt;&lt;Version&gt;</w:t>
    </w:r>
    <w:r w:rsidRPr="008B7528">
      <w:t>v02-00</w:t>
    </w:r>
    <w:r w:rsidRPr="008B7528">
      <w:rPr>
        <w:rStyle w:val="HideTWBExt"/>
      </w:rPr>
      <w:t>&lt;/</w:t>
    </w:r>
    <w:proofErr w:type="spellStart"/>
    <w:r w:rsidRPr="008B7528">
      <w:rPr>
        <w:rStyle w:val="HideTWBExt"/>
      </w:rPr>
      <w:t>Version</w:t>
    </w:r>
    <w:proofErr w:type="spellEnd"/>
    <w:r w:rsidRPr="008B7528">
      <w:rPr>
        <w:rStyle w:val="HideTWBExt"/>
      </w:rPr>
      <w:t>&gt;</w:t>
    </w:r>
  </w:p>
  <w:p w:rsidR="00D6509B" w:rsidRPr="008B7528" w:rsidRDefault="00D6509B" w:rsidP="00BD07B8">
    <w:pPr>
      <w:pStyle w:val="EPFooter2"/>
    </w:pPr>
    <w:r w:rsidRPr="008B7528">
      <w:t>BG</w:t>
    </w:r>
    <w:r w:rsidRPr="008B7528">
      <w:tab/>
    </w:r>
    <w:r w:rsidRPr="008B7528">
      <w:rPr>
        <w:b w:val="0"/>
        <w:i/>
        <w:color w:val="C0C0C0"/>
        <w:sz w:val="22"/>
      </w:rPr>
      <w:t>Единство в многообразието</w:t>
    </w:r>
    <w:r w:rsidRPr="008B7528">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52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52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5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7AF" w:rsidRPr="008B7528" w:rsidRDefault="004B67AF">
      <w:r w:rsidRPr="008B7528">
        <w:separator/>
      </w:r>
    </w:p>
  </w:footnote>
  <w:footnote w:type="continuationSeparator" w:id="0">
    <w:p w:rsidR="004B67AF" w:rsidRPr="008B7528" w:rsidRDefault="004B67AF">
      <w:r w:rsidRPr="008B7528">
        <w:continuationSeparator/>
      </w:r>
    </w:p>
  </w:footnote>
  <w:footnote w:id="1">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ОВ C, C/2023/594, 27.10.2023 г.</w:t>
      </w:r>
    </w:p>
  </w:footnote>
  <w:footnote w:id="2">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ОВ C, C/2023/112, 12.10.2023 г.</w:t>
      </w:r>
    </w:p>
  </w:footnote>
  <w:footnote w:id="3">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OВ L 193, 30.7.2018 г., стр. 1.</w:t>
      </w:r>
    </w:p>
  </w:footnote>
  <w:footnote w:id="4">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OВ L 331, 15.12.2010 г., стр. 12.</w:t>
      </w:r>
    </w:p>
  </w:footnote>
  <w:footnote w:id="5">
    <w:p w:rsidR="00D6509B" w:rsidRPr="008B7528" w:rsidRDefault="00D6509B" w:rsidP="008B7528">
      <w:pPr>
        <w:pStyle w:val="FootnoteText"/>
        <w:ind w:left="567" w:hanging="567"/>
        <w:rPr>
          <w:sz w:val="24"/>
          <w:szCs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ОВ L 122, 10.5.2019 г., стр. 1.</w:t>
      </w:r>
    </w:p>
  </w:footnote>
  <w:footnote w:id="6">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ОВ C, C/2023/594, 27.10.2023 г.</w:t>
      </w:r>
    </w:p>
  </w:footnote>
  <w:footnote w:id="7">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ОВ C, C/2023/112, 12.10.2023 г.</w:t>
      </w:r>
    </w:p>
  </w:footnote>
  <w:footnote w:id="8">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OВ L 193, 30.7.2018 г., стр. 1.</w:t>
      </w:r>
    </w:p>
  </w:footnote>
  <w:footnote w:id="9">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OВ L 331, 15.12.2010 г., стр. 12.</w:t>
      </w:r>
    </w:p>
  </w:footnote>
  <w:footnote w:id="10">
    <w:p w:rsidR="00D6509B" w:rsidRPr="008B7528" w:rsidRDefault="00D6509B" w:rsidP="008B7528">
      <w:pPr>
        <w:pStyle w:val="FootnoteText"/>
        <w:ind w:left="567" w:hanging="567"/>
        <w:rPr>
          <w:sz w:val="24"/>
          <w:szCs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ОВ L 122, 10.5.2019 г., стр. 1.</w:t>
      </w:r>
    </w:p>
  </w:footnote>
  <w:footnote w:id="11">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ОВ C 73, 28.2.2023 г., стр. 102.</w:t>
      </w:r>
    </w:p>
  </w:footnote>
  <w:footnote w:id="12">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Регламент (ЕС) 2022/2554 на Европейския парламент и на Съвета от 14 декември 2022 г. относно оперативната устойчивост на цифровите технологии във финансовия сектор и за изменение на регламенти (ЕО) № 1060/2009, (ЕС) № 648/2012, (ЕС) № 600/2014, (ЕС) № 909/2014 и (ЕС) 2016/1011 (OB L 333, 27.12.2022 г., стр. 1).</w:t>
      </w:r>
    </w:p>
  </w:footnote>
  <w:footnote w:id="13">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Директива (ЕС) 2022/2556 на Европейския парламент и на Съвета от 14 декември 2022 г. за изменение на директиви 2009/65/EО, 2009/138/EО, 2011/61/EС, 2013/36/EС, 2014/59/EС, 2014/65/EС, (ЕС) 2015/2366 и (ЕС) 2016/2341 по отношение на оперативната устойчивост на цифровите технологии във финансовия сектор (OB L 333, 27.12.2022 г., стр. 153).</w:t>
      </w:r>
    </w:p>
  </w:footnote>
  <w:footnote w:id="14">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Регламент (ЕС) 2023/1114 на Европейския парламент и на Съвета от 31 май 2023 г. относно пазарите на криптоактиви и за изменение на регламенти (ЕС) № 1093/2010 и (ЕС) № 1095/2010 и на директиви 2013/36/ЕС и (ЕС) 2019/1937 (OB L 150, 9.6.2023 г., стр. 40).</w:t>
      </w:r>
    </w:p>
  </w:footnote>
  <w:footnote w:id="15">
    <w:p w:rsidR="00D6509B" w:rsidRPr="008B7528" w:rsidRDefault="00D6509B" w:rsidP="008B7528">
      <w:pPr>
        <w:pStyle w:val="FootnoteText"/>
        <w:ind w:left="567" w:hanging="567"/>
        <w:rPr>
          <w:sz w:val="24"/>
          <w:lang w:val="bg-BG"/>
        </w:rPr>
      </w:pPr>
      <w:r w:rsidRPr="008B7528">
        <w:rPr>
          <w:rStyle w:val="FootnoteReference"/>
          <w:sz w:val="24"/>
          <w:lang w:val="bg-BG"/>
        </w:rPr>
        <w:footnoteRef/>
      </w:r>
      <w:r w:rsidR="008B7528" w:rsidRPr="008B7528">
        <w:rPr>
          <w:sz w:val="24"/>
          <w:lang w:val="bg-BG"/>
        </w:rPr>
        <w:t xml:space="preserve"> </w:t>
      </w:r>
      <w:r w:rsidR="008B7528" w:rsidRPr="008B7528">
        <w:rPr>
          <w:sz w:val="24"/>
          <w:lang w:val="bg-BG"/>
        </w:rPr>
        <w:tab/>
      </w:r>
      <w:r w:rsidRPr="008B7528">
        <w:rPr>
          <w:sz w:val="24"/>
          <w:lang w:val="bg-BG"/>
        </w:rPr>
        <w:t>Приети текстове, P9_TA(2024)</w:t>
      </w:r>
      <w:r w:rsidR="00B0165C" w:rsidRPr="00635445">
        <w:rPr>
          <w:sz w:val="24"/>
          <w:lang w:val="bg-BG"/>
        </w:rPr>
        <w:t>0</w:t>
      </w:r>
      <w:r w:rsidR="00B0165C">
        <w:rPr>
          <w:sz w:val="24"/>
          <w:lang w:val="en-GB"/>
        </w:rPr>
        <w:t>28</w:t>
      </w:r>
      <w:r w:rsidR="00B0165C" w:rsidRPr="00635445">
        <w:rPr>
          <w:sz w:val="24"/>
          <w:lang w:val="bg-BG"/>
        </w:rPr>
        <w:t>0</w:t>
      </w:r>
      <w:r w:rsidRPr="008B7528">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5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5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5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BG"/>
    <w:docVar w:name="dvnumam" w:val="0"/>
    <w:docVar w:name="dvpe" w:val="753.513"/>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ия банков орган за финансовата 2022 година(2023/2146(DEC))"/>
  </w:docVars>
  <w:rsids>
    <w:rsidRoot w:val="004B67AF"/>
    <w:rsid w:val="00002272"/>
    <w:rsid w:val="0005471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100F"/>
    <w:rsid w:val="00411CCE"/>
    <w:rsid w:val="0041666E"/>
    <w:rsid w:val="00421060"/>
    <w:rsid w:val="00471C19"/>
    <w:rsid w:val="004867E3"/>
    <w:rsid w:val="00494A28"/>
    <w:rsid w:val="004B67AF"/>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528"/>
    <w:rsid w:val="008C2AC6"/>
    <w:rsid w:val="00930C23"/>
    <w:rsid w:val="0093193B"/>
    <w:rsid w:val="00941AFA"/>
    <w:rsid w:val="009509D8"/>
    <w:rsid w:val="00950B64"/>
    <w:rsid w:val="00981893"/>
    <w:rsid w:val="00A1687D"/>
    <w:rsid w:val="00A43E52"/>
    <w:rsid w:val="00A4678D"/>
    <w:rsid w:val="00A778C7"/>
    <w:rsid w:val="00AB441E"/>
    <w:rsid w:val="00AB6293"/>
    <w:rsid w:val="00AE0928"/>
    <w:rsid w:val="00AF3B82"/>
    <w:rsid w:val="00B0165C"/>
    <w:rsid w:val="00B12E95"/>
    <w:rsid w:val="00B22876"/>
    <w:rsid w:val="00B558F0"/>
    <w:rsid w:val="00BD48FE"/>
    <w:rsid w:val="00BD7BD8"/>
    <w:rsid w:val="00BE6ADC"/>
    <w:rsid w:val="00C05BFE"/>
    <w:rsid w:val="00C23CD4"/>
    <w:rsid w:val="00C61C0C"/>
    <w:rsid w:val="00C941CB"/>
    <w:rsid w:val="00CC2357"/>
    <w:rsid w:val="00CF071A"/>
    <w:rsid w:val="00D058B8"/>
    <w:rsid w:val="00D3343A"/>
    <w:rsid w:val="00D56C11"/>
    <w:rsid w:val="00D6509B"/>
    <w:rsid w:val="00D834A0"/>
    <w:rsid w:val="00D872DF"/>
    <w:rsid w:val="00D91E21"/>
    <w:rsid w:val="00DA7FCD"/>
    <w:rsid w:val="00E0060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2B8EF1"/>
  <w15:chartTrackingRefBased/>
  <w15:docId w15:val="{6A666BC6-FC2B-4C5F-9E9B-6F7D352B6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6509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6509B"/>
    <w:pPr>
      <w:spacing w:before="480" w:after="240"/>
    </w:pPr>
  </w:style>
  <w:style w:type="paragraph" w:customStyle="1" w:styleId="PageHeading">
    <w:name w:val="PageHeading"/>
    <w:basedOn w:val="Normal"/>
    <w:rsid w:val="00D6509B"/>
    <w:pPr>
      <w:keepNext/>
      <w:spacing w:after="480"/>
      <w:jc w:val="center"/>
    </w:pPr>
    <w:rPr>
      <w:rFonts w:ascii="Arial" w:hAnsi="Arial" w:cs="Arial"/>
      <w:b/>
    </w:rPr>
  </w:style>
  <w:style w:type="paragraph" w:customStyle="1" w:styleId="NormalBold">
    <w:name w:val="NormalBold"/>
    <w:basedOn w:val="Normal"/>
    <w:rsid w:val="00D6509B"/>
    <w:rPr>
      <w:b/>
    </w:rPr>
  </w:style>
  <w:style w:type="paragraph" w:customStyle="1" w:styleId="NormalHanging12a">
    <w:name w:val="NormalHanging12a"/>
    <w:basedOn w:val="Normal"/>
    <w:link w:val="NormalHanging12aChar"/>
    <w:rsid w:val="00D6509B"/>
    <w:pPr>
      <w:spacing w:after="240"/>
      <w:ind w:left="567" w:hanging="567"/>
    </w:pPr>
  </w:style>
  <w:style w:type="paragraph" w:customStyle="1" w:styleId="NormalCenter12a">
    <w:name w:val="NormalCenter12a"/>
    <w:basedOn w:val="Normal"/>
    <w:rsid w:val="00D6509B"/>
    <w:pPr>
      <w:spacing w:after="240"/>
      <w:jc w:val="center"/>
    </w:pPr>
  </w:style>
  <w:style w:type="paragraph" w:styleId="Header">
    <w:name w:val="header"/>
    <w:basedOn w:val="Normal"/>
    <w:link w:val="HeaderChar"/>
    <w:rsid w:val="00D6509B"/>
    <w:pPr>
      <w:tabs>
        <w:tab w:val="center" w:pos="4513"/>
        <w:tab w:val="right" w:pos="9026"/>
      </w:tabs>
    </w:pPr>
  </w:style>
  <w:style w:type="character" w:customStyle="1" w:styleId="HeaderChar">
    <w:name w:val="Header Char"/>
    <w:basedOn w:val="DefaultParagraphFont"/>
    <w:link w:val="Header"/>
    <w:rsid w:val="00D6509B"/>
    <w:rPr>
      <w:sz w:val="24"/>
      <w:lang w:val="bg-BG"/>
    </w:rPr>
  </w:style>
  <w:style w:type="paragraph" w:customStyle="1" w:styleId="EPFooter">
    <w:name w:val="EPFooter"/>
    <w:basedOn w:val="Normal"/>
    <w:rsid w:val="00D6509B"/>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D6509B"/>
    <w:rPr>
      <w:sz w:val="24"/>
      <w:lang w:val="bg-BG"/>
    </w:rPr>
  </w:style>
  <w:style w:type="paragraph" w:styleId="Footer">
    <w:name w:val="footer"/>
    <w:basedOn w:val="Normal"/>
    <w:link w:val="FooterChar"/>
    <w:rsid w:val="003F100F"/>
    <w:pPr>
      <w:tabs>
        <w:tab w:val="center" w:pos="4513"/>
        <w:tab w:val="right" w:pos="9026"/>
      </w:tabs>
    </w:pPr>
  </w:style>
  <w:style w:type="character" w:customStyle="1" w:styleId="FooterChar">
    <w:name w:val="Footer Char"/>
    <w:basedOn w:val="DefaultParagraphFont"/>
    <w:link w:val="Footer"/>
    <w:rsid w:val="003F100F"/>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9E355-E0FF-448A-B89F-B1EA9802D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3512</Words>
  <Characters>20412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2024-05-21T12:31:00Z</dcterms:created>
  <dcterms:modified xsi:type="dcterms:W3CDTF">2024-05-21T12:31:00Z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P9_TA(2024)0262_</vt:lpwstr>
  </property>
  <property fmtid="{D5CDD505-2E9C-101B-9397-08002B2CF9AE}" pid="4" name="&lt;Type&gt;">
    <vt:lpwstr>RR</vt:lpwstr>
  </property>
</Properties>
</file>