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61F5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61F5B" w:rsidRDefault="004F1D16" w:rsidP="0010095E">
            <w:pPr>
              <w:pStyle w:val="EPName"/>
            </w:pPr>
            <w:r w:rsidRPr="00361F5B">
              <w:t>Evropský parlament</w:t>
            </w:r>
          </w:p>
          <w:p w:rsidR="00751A4A" w:rsidRPr="00361F5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61F5B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361F5B" w:rsidRDefault="00187494" w:rsidP="0010095E">
            <w:pPr>
              <w:pStyle w:val="EPLogo"/>
            </w:pPr>
            <w:r w:rsidRPr="00361F5B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61F5B" w:rsidRDefault="00D058B8" w:rsidP="004C5D52">
      <w:pPr>
        <w:pStyle w:val="LineTop"/>
      </w:pPr>
    </w:p>
    <w:p w:rsidR="00680577" w:rsidRPr="00361F5B" w:rsidRDefault="004F1D16" w:rsidP="00680577">
      <w:pPr>
        <w:pStyle w:val="EPBodyTA1"/>
      </w:pPr>
      <w:r w:rsidRPr="00361F5B">
        <w:t>PŘIJATÉ TEXTY</w:t>
      </w:r>
    </w:p>
    <w:p w:rsidR="00D058B8" w:rsidRPr="00361F5B" w:rsidRDefault="00D058B8" w:rsidP="00D058B8">
      <w:pPr>
        <w:pStyle w:val="LineBottom"/>
      </w:pPr>
    </w:p>
    <w:p w:rsidR="004F1D16" w:rsidRPr="00361F5B" w:rsidRDefault="004F1D16" w:rsidP="004F1D16">
      <w:pPr>
        <w:pStyle w:val="ATHeading1"/>
      </w:pPr>
      <w:bookmarkStart w:id="0" w:name="TANumber"/>
      <w:r w:rsidRPr="00361F5B">
        <w:t>P9_TA(2024)0</w:t>
      </w:r>
      <w:bookmarkEnd w:id="0"/>
      <w:r w:rsidR="007640C6">
        <w:t>262</w:t>
      </w:r>
    </w:p>
    <w:p w:rsidR="004F1D16" w:rsidRPr="00361F5B" w:rsidRDefault="004F1D16" w:rsidP="004F1D16">
      <w:pPr>
        <w:pStyle w:val="ATHeading2"/>
      </w:pPr>
      <w:bookmarkStart w:id="1" w:name="title"/>
      <w:r w:rsidRPr="00361F5B">
        <w:t>Udělení absolutoria za rok 2022: Evropský orgán pro bankovnictví</w:t>
      </w:r>
      <w:bookmarkEnd w:id="1"/>
    </w:p>
    <w:p w:rsidR="004F1D16" w:rsidRPr="00361F5B" w:rsidRDefault="004F1D16" w:rsidP="004F1D16">
      <w:pPr>
        <w:rPr>
          <w:i/>
          <w:vanish/>
        </w:rPr>
      </w:pPr>
      <w:r w:rsidRPr="00361F5B">
        <w:rPr>
          <w:i/>
        </w:rPr>
        <w:fldChar w:fldCharType="begin"/>
      </w:r>
      <w:r w:rsidRPr="00361F5B">
        <w:rPr>
          <w:i/>
        </w:rPr>
        <w:instrText xml:space="preserve"> TC"(</w:instrText>
      </w:r>
      <w:bookmarkStart w:id="2" w:name="DocNumber"/>
      <w:r w:rsidRPr="00361F5B">
        <w:rPr>
          <w:i/>
        </w:rPr>
        <w:instrText>A9-0111/2024</w:instrText>
      </w:r>
      <w:bookmarkEnd w:id="2"/>
      <w:r w:rsidRPr="00361F5B">
        <w:rPr>
          <w:i/>
        </w:rPr>
        <w:instrText xml:space="preserve"> - Zpravodaj: </w:instrText>
      </w:r>
      <w:proofErr w:type="spellStart"/>
      <w:r w:rsidRPr="00361F5B">
        <w:rPr>
          <w:i/>
        </w:rPr>
        <w:instrText>Petri</w:instrText>
      </w:r>
      <w:proofErr w:type="spellEnd"/>
      <w:r w:rsidRPr="00361F5B">
        <w:rPr>
          <w:i/>
        </w:rPr>
        <w:instrText xml:space="preserve"> </w:instrText>
      </w:r>
      <w:proofErr w:type="spellStart"/>
      <w:r w:rsidRPr="00361F5B">
        <w:rPr>
          <w:i/>
        </w:rPr>
        <w:instrText>Sarvamaa</w:instrText>
      </w:r>
      <w:proofErr w:type="spellEnd"/>
      <w:r w:rsidRPr="00361F5B">
        <w:rPr>
          <w:i/>
        </w:rPr>
        <w:instrText xml:space="preserve">)"\l3 \n&gt; \* MERGEFORMAT </w:instrText>
      </w:r>
      <w:r w:rsidRPr="00361F5B">
        <w:rPr>
          <w:i/>
        </w:rPr>
        <w:fldChar w:fldCharType="end"/>
      </w:r>
    </w:p>
    <w:p w:rsidR="004F1D16" w:rsidRPr="00361F5B" w:rsidRDefault="004F1D16" w:rsidP="004F1D16">
      <w:pPr>
        <w:rPr>
          <w:vanish/>
        </w:rPr>
      </w:pPr>
      <w:bookmarkStart w:id="3" w:name="Commission"/>
      <w:r w:rsidRPr="00361F5B">
        <w:rPr>
          <w:vanish/>
        </w:rPr>
        <w:t>Výbor pro rozpočtovou kontrolu</w:t>
      </w:r>
      <w:bookmarkEnd w:id="3"/>
    </w:p>
    <w:p w:rsidR="004F1D16" w:rsidRPr="00361F5B" w:rsidRDefault="004F1D16" w:rsidP="004F1D16">
      <w:pPr>
        <w:rPr>
          <w:vanish/>
        </w:rPr>
      </w:pPr>
      <w:bookmarkStart w:id="4" w:name="PE"/>
      <w:r w:rsidRPr="00361F5B">
        <w:rPr>
          <w:vanish/>
        </w:rPr>
        <w:t>PE753.513</w:t>
      </w:r>
      <w:bookmarkEnd w:id="4"/>
    </w:p>
    <w:p w:rsidR="004F1D16" w:rsidRPr="00361F5B" w:rsidRDefault="004F1D16" w:rsidP="004F1D16">
      <w:pPr>
        <w:pStyle w:val="ATHeading3"/>
      </w:pPr>
      <w:bookmarkStart w:id="5" w:name="Sujet"/>
      <w:r w:rsidRPr="00361F5B">
        <w:t xml:space="preserve">1. Rozhodnutí </w:t>
      </w:r>
      <w:r w:rsidR="005B3661">
        <w:t>Evropského parlamentu ze dne 11. dubna</w:t>
      </w:r>
      <w:r w:rsidRPr="00361F5B">
        <w:t xml:space="preserve"> 2024 o udělení absolutoria za plnění rozpočtu Evropského orgánu pro bankovnictví na rozpočtový rok 2022</w:t>
      </w:r>
      <w:bookmarkEnd w:id="5"/>
      <w:r w:rsidRPr="00361F5B">
        <w:t xml:space="preserve"> </w:t>
      </w:r>
      <w:bookmarkStart w:id="6" w:name="References"/>
      <w:r w:rsidRPr="00361F5B">
        <w:t>(2023/2146(DEC))</w:t>
      </w:r>
      <w:bookmarkEnd w:id="6"/>
    </w:p>
    <w:p w:rsidR="004057D0" w:rsidRPr="00361F5B" w:rsidRDefault="004057D0" w:rsidP="004057D0">
      <w:pPr>
        <w:pStyle w:val="EPComma"/>
      </w:pPr>
      <w:bookmarkStart w:id="7" w:name="TextBodyBegin"/>
      <w:bookmarkEnd w:id="7"/>
      <w:r w:rsidRPr="00361F5B">
        <w:rPr>
          <w:i/>
        </w:rPr>
        <w:t>Evropský parlament</w:t>
      </w:r>
      <w:r w:rsidRPr="00361F5B">
        <w:t>,</w:t>
      </w:r>
    </w:p>
    <w:p w:rsidR="004057D0" w:rsidRPr="00361F5B" w:rsidRDefault="004057D0" w:rsidP="004057D0">
      <w:pPr>
        <w:pStyle w:val="NormalHanging12a"/>
      </w:pPr>
      <w:r w:rsidRPr="00361F5B">
        <w:t>–</w:t>
      </w:r>
      <w:r w:rsidRPr="00361F5B">
        <w:tab/>
        <w:t>s ohledem na konečnou roční účetní závěrku Evropského orgánu pro bankovnictví za rozpočtový rok 2022,</w:t>
      </w:r>
    </w:p>
    <w:p w:rsidR="004057D0" w:rsidRPr="00361F5B" w:rsidRDefault="004057D0" w:rsidP="004057D0">
      <w:pPr>
        <w:pStyle w:val="NormalHanging12a"/>
      </w:pPr>
      <w:r w:rsidRPr="00361F5B">
        <w:t>–</w:t>
      </w:r>
      <w:r w:rsidRPr="00361F5B">
        <w:tab/>
        <w:t>s ohledem na výroční zprávu Účetního dvora o agenturách EU za rozpočtový rok 2022 spolu s odpověďmi agentur</w:t>
      </w:r>
      <w:r w:rsidRPr="00361F5B">
        <w:rPr>
          <w:rStyle w:val="FootnoteReference"/>
        </w:rPr>
        <w:footnoteReference w:id="1"/>
      </w:r>
      <w:r w:rsidRPr="00361F5B">
        <w:t>,</w:t>
      </w:r>
    </w:p>
    <w:p w:rsidR="004057D0" w:rsidRPr="00361F5B" w:rsidRDefault="004057D0" w:rsidP="004057D0">
      <w:pPr>
        <w:pStyle w:val="NormalHanging12a"/>
      </w:pPr>
      <w:r w:rsidRPr="00361F5B">
        <w:t>–</w:t>
      </w:r>
      <w:r w:rsidRPr="00361F5B">
        <w:tab/>
        <w:t>s ohledem na prohlášení o věrohodnosti</w:t>
      </w:r>
      <w:r w:rsidRPr="00361F5B">
        <w:rPr>
          <w:rStyle w:val="FootnoteReference"/>
        </w:rPr>
        <w:footnoteReference w:id="2"/>
      </w:r>
      <w:r w:rsidRPr="00361F5B">
        <w:t xml:space="preserve"> účetnictví a o legalitě a správnosti uskutečněných operací, které předložil Účetní dvůr za rozpočtový rok 2022 podle článku 287 Smlouvy o fungování Evropské unie,</w:t>
      </w:r>
    </w:p>
    <w:p w:rsidR="004057D0" w:rsidRPr="00361F5B" w:rsidRDefault="004057D0" w:rsidP="004057D0">
      <w:pPr>
        <w:pStyle w:val="NormalHanging12a"/>
      </w:pPr>
      <w:r w:rsidRPr="00361F5B">
        <w:t>–</w:t>
      </w:r>
      <w:r w:rsidRPr="00361F5B">
        <w:tab/>
        <w:t>s ohledem na doporučení Rady ze dne 22. února 2024 o udělení absolutoria orgánu za plnění rozpoč</w:t>
      </w:r>
      <w:r w:rsidR="00BD156A">
        <w:t>tu na rozpočtový rok 2022 (06180/2024 – C9</w:t>
      </w:r>
      <w:r w:rsidR="00BD156A">
        <w:noBreakHyphen/>
        <w:t>0084</w:t>
      </w:r>
      <w:r w:rsidRPr="00361F5B">
        <w:t>/2024),</w:t>
      </w:r>
    </w:p>
    <w:p w:rsidR="004057D0" w:rsidRPr="00361F5B" w:rsidRDefault="004057D0" w:rsidP="004057D0">
      <w:pPr>
        <w:pStyle w:val="NormalHanging12a"/>
      </w:pPr>
      <w:r w:rsidRPr="00361F5B">
        <w:t>–</w:t>
      </w:r>
      <w:r w:rsidRPr="00361F5B">
        <w:tab/>
        <w:t>s ohledem na článek 319 Smlouvy o fungování Evropské unie,</w:t>
      </w:r>
    </w:p>
    <w:p w:rsidR="004057D0" w:rsidRPr="00361F5B" w:rsidRDefault="004057D0" w:rsidP="004057D0">
      <w:pPr>
        <w:pStyle w:val="NormalHanging12a"/>
      </w:pPr>
      <w:r w:rsidRPr="00361F5B">
        <w:t>–</w:t>
      </w:r>
      <w:r w:rsidRPr="00361F5B">
        <w:tab/>
        <w:t>s ohledem na nařízení Evropského parlamentu a Rady (EU, Euratom) 2018/1046 ze dne 18. července 2018, kterým se stanoví finanční pravidla pro souhrnný rozpočet Unie, mění nařízení (EU) č. 1296/2013, (EU) č. 1301/2013, (EU) č. 1303/2013, (EU) č. 1304/2013, (EU) č. 1309/2013, (EU) č. 1316/2013, (EU) č. 223/2014, (EU) č. 283/2014 a rozhodnutí č. 541/2014/EU a zrušuje nařízení (EU, Euratom) č. 966/2012</w:t>
      </w:r>
      <w:r w:rsidRPr="00361F5B">
        <w:rPr>
          <w:rStyle w:val="FootnoteReference"/>
        </w:rPr>
        <w:footnoteReference w:id="3"/>
      </w:r>
      <w:r w:rsidRPr="00361F5B">
        <w:t>, a zejména na článek 70 tohoto nařízení,</w:t>
      </w:r>
    </w:p>
    <w:p w:rsidR="004057D0" w:rsidRPr="00361F5B" w:rsidRDefault="004057D0" w:rsidP="004057D0">
      <w:pPr>
        <w:pStyle w:val="NormalHanging12a"/>
      </w:pPr>
      <w:r w:rsidRPr="00361F5B">
        <w:t>–</w:t>
      </w:r>
      <w:r w:rsidRPr="00361F5B">
        <w:tab/>
        <w:t xml:space="preserve">s ohledem na nařízení Evropského parlamentu a Rady (EU) č. </w:t>
      </w:r>
      <w:bookmarkStart w:id="8" w:name="_GoBack"/>
      <w:r w:rsidRPr="00361F5B">
        <w:t>1093/2010</w:t>
      </w:r>
      <w:bookmarkEnd w:id="8"/>
      <w:r w:rsidRPr="00361F5B">
        <w:t xml:space="preserve"> ze dne 24. listopadu 2010 o zřízení Evropského orgánu dohledu (Evropského orgánu pro bankovnictví), o změně rozhodnutí č. 716/2009/ES a o zrušení rozhodnutí Komise </w:t>
      </w:r>
      <w:r w:rsidRPr="00361F5B">
        <w:lastRenderedPageBreak/>
        <w:t>2009/78/ES</w:t>
      </w:r>
      <w:r w:rsidRPr="00361F5B">
        <w:rPr>
          <w:rStyle w:val="FootnoteReference"/>
        </w:rPr>
        <w:footnoteReference w:id="4"/>
      </w:r>
      <w:r w:rsidRPr="00361F5B">
        <w:t>, a zejména na článek 64 tohoto nařízení,</w:t>
      </w:r>
    </w:p>
    <w:p w:rsidR="004057D0" w:rsidRPr="00361F5B" w:rsidRDefault="004057D0" w:rsidP="004057D0">
      <w:pPr>
        <w:pStyle w:val="NormalHanging12a"/>
      </w:pPr>
      <w:r w:rsidRPr="00361F5B">
        <w:t>–</w:t>
      </w:r>
      <w:r w:rsidRPr="00361F5B">
        <w:tab/>
        <w:t xml:space="preserve">s ohledem na nařízení Komise v přenesené pravomoci (EU) 2019/715 ze dne 18. prosince 2018 o rámcovém finančním nařízení pro subjekty zřízené podle </w:t>
      </w:r>
      <w:r w:rsidR="00C9266A" w:rsidRPr="00C9266A">
        <w:t>Smlouvy o fungování Evropské unie</w:t>
      </w:r>
      <w:r w:rsidRPr="00361F5B">
        <w:t xml:space="preserve"> a Smlouvy o Euratomu a uvedené v článku 70 nařízení Evropského parlamentu a Rady (EU, Euratom) 2018/1046</w:t>
      </w:r>
      <w:r w:rsidRPr="00361F5B">
        <w:rPr>
          <w:rStyle w:val="FootnoteReference"/>
        </w:rPr>
        <w:footnoteReference w:id="5"/>
      </w:r>
      <w:r w:rsidRPr="00361F5B">
        <w:t>, a zejména na článek 105 tohoto nařízení,</w:t>
      </w:r>
    </w:p>
    <w:p w:rsidR="004057D0" w:rsidRPr="00361F5B" w:rsidRDefault="004057D0" w:rsidP="004057D0">
      <w:pPr>
        <w:pStyle w:val="NormalHanging12a"/>
      </w:pPr>
      <w:r w:rsidRPr="00361F5B">
        <w:t>–</w:t>
      </w:r>
      <w:r w:rsidRPr="00361F5B">
        <w:tab/>
        <w:t>s ohledem na článek 100 a přílohu V jednacího řádu,</w:t>
      </w:r>
    </w:p>
    <w:p w:rsidR="004057D0" w:rsidRPr="00361F5B" w:rsidRDefault="004057D0" w:rsidP="004057D0">
      <w:pPr>
        <w:pStyle w:val="NormalHanging12a"/>
      </w:pPr>
      <w:r w:rsidRPr="00361F5B">
        <w:t>–</w:t>
      </w:r>
      <w:r w:rsidRPr="00361F5B">
        <w:tab/>
        <w:t>s ohledem na zprávu Výboru pro rozpočtovou kontrolu (A9</w:t>
      </w:r>
      <w:r w:rsidRPr="00361F5B">
        <w:noBreakHyphen/>
        <w:t>0111/2024),</w:t>
      </w:r>
    </w:p>
    <w:p w:rsidR="004057D0" w:rsidRPr="00361F5B" w:rsidRDefault="004057D0" w:rsidP="004057D0">
      <w:pPr>
        <w:pStyle w:val="NormalHanging12a"/>
      </w:pPr>
      <w:r w:rsidRPr="00361F5B">
        <w:t>1.</w:t>
      </w:r>
      <w:r w:rsidRPr="00361F5B">
        <w:tab/>
        <w:t>uděluje absolutorium výkonnému řediteli Evropského orgánu pro bankovnictví za plnění rozpočtu orgánu na rozpočtový rok 2022;</w:t>
      </w:r>
    </w:p>
    <w:p w:rsidR="004057D0" w:rsidRPr="00361F5B" w:rsidRDefault="004057D0" w:rsidP="004057D0">
      <w:pPr>
        <w:pStyle w:val="NormalHanging12a"/>
      </w:pPr>
      <w:r w:rsidRPr="00361F5B">
        <w:t>2.</w:t>
      </w:r>
      <w:r w:rsidRPr="00361F5B">
        <w:tab/>
        <w:t>předkládá své připomínky v níže uvedeném usnesení;</w:t>
      </w:r>
    </w:p>
    <w:p w:rsidR="004057D0" w:rsidRPr="00361F5B" w:rsidRDefault="004057D0" w:rsidP="004057D0">
      <w:pPr>
        <w:pStyle w:val="NormalHanging12a"/>
      </w:pPr>
      <w:r w:rsidRPr="00361F5B">
        <w:t>3.</w:t>
      </w:r>
      <w:r w:rsidRPr="00361F5B">
        <w:tab/>
        <w:t xml:space="preserve">pověřuje svou předsedkyni, aby předala toto rozhodnutí a usnesení, které je jeho nedílnou součástí, výkonnému řediteli Evropského orgánu pro bankovnictví, Radě, Komisi a Účetnímu dvoru a aby zajistila jejich zveřejnění v </w:t>
      </w:r>
      <w:r w:rsidRPr="00361F5B">
        <w:rPr>
          <w:i/>
        </w:rPr>
        <w:t>Úředním věstníku Evropské unie</w:t>
      </w:r>
      <w:r w:rsidRPr="00361F5B">
        <w:t xml:space="preserve"> (řada L).</w:t>
      </w:r>
    </w:p>
    <w:p w:rsidR="004057D0" w:rsidRPr="00361F5B" w:rsidRDefault="004057D0" w:rsidP="004057D0"/>
    <w:p w:rsidR="004057D0" w:rsidRPr="00361F5B" w:rsidRDefault="004057D0" w:rsidP="004057D0">
      <w:pPr>
        <w:pStyle w:val="PageHeading"/>
        <w:sectPr w:rsidR="004057D0" w:rsidRPr="00361F5B" w:rsidSect="00361F5B">
          <w:footerReference w:type="even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4057D0" w:rsidRPr="005B3661" w:rsidRDefault="004057D0" w:rsidP="005B3661">
      <w:pPr>
        <w:pStyle w:val="PageHeading"/>
        <w:jc w:val="left"/>
        <w:rPr>
          <w:rFonts w:ascii="Times New Roman" w:hAnsi="Times New Roman" w:cs="Times New Roman"/>
        </w:rPr>
      </w:pPr>
      <w:bookmarkStart w:id="9" w:name="_Toc161911370"/>
      <w:r w:rsidRPr="005B3661">
        <w:rPr>
          <w:rFonts w:ascii="Times New Roman" w:hAnsi="Times New Roman" w:cs="Times New Roman"/>
        </w:rPr>
        <w:lastRenderedPageBreak/>
        <w:t xml:space="preserve">2. </w:t>
      </w:r>
      <w:r w:rsidR="005B3661">
        <w:rPr>
          <w:rFonts w:ascii="Times New Roman" w:hAnsi="Times New Roman" w:cs="Times New Roman"/>
        </w:rPr>
        <w:t>Rozhodnutí E</w:t>
      </w:r>
      <w:r w:rsidR="005B3661" w:rsidRPr="005B3661">
        <w:rPr>
          <w:rFonts w:ascii="Times New Roman" w:hAnsi="Times New Roman" w:cs="Times New Roman"/>
        </w:rPr>
        <w:t>vropského parlamentu</w:t>
      </w:r>
      <w:bookmarkEnd w:id="9"/>
      <w:r w:rsidR="005B3661" w:rsidRPr="005B3661">
        <w:rPr>
          <w:rFonts w:ascii="Times New Roman" w:hAnsi="Times New Roman" w:cs="Times New Roman"/>
        </w:rPr>
        <w:t xml:space="preserve"> ze dne 11. dubna 2024 </w:t>
      </w:r>
      <w:r w:rsidRPr="005B3661">
        <w:rPr>
          <w:rFonts w:ascii="Times New Roman" w:hAnsi="Times New Roman" w:cs="Times New Roman"/>
        </w:rPr>
        <w:t>o uzavření účtů Evropského orgánu pro bankovnictví za rozpočtový rok 2022</w:t>
      </w:r>
      <w:r w:rsidR="005B3661" w:rsidRPr="005B3661">
        <w:rPr>
          <w:rFonts w:ascii="Times New Roman" w:hAnsi="Times New Roman" w:cs="Times New Roman"/>
        </w:rPr>
        <w:t xml:space="preserve"> </w:t>
      </w:r>
      <w:r w:rsidRPr="005B3661">
        <w:rPr>
          <w:rFonts w:ascii="Times New Roman" w:hAnsi="Times New Roman" w:cs="Times New Roman"/>
        </w:rPr>
        <w:t>(2023/2146(DEC))</w:t>
      </w:r>
    </w:p>
    <w:p w:rsidR="004057D0" w:rsidRPr="00361F5B" w:rsidRDefault="004057D0" w:rsidP="004057D0">
      <w:pPr>
        <w:pStyle w:val="EPComma"/>
      </w:pPr>
      <w:r w:rsidRPr="00361F5B">
        <w:rPr>
          <w:i/>
        </w:rPr>
        <w:t>Evropský parlament</w:t>
      </w:r>
      <w:r w:rsidRPr="00361F5B">
        <w:t>,</w:t>
      </w:r>
    </w:p>
    <w:p w:rsidR="004057D0" w:rsidRPr="00361F5B" w:rsidRDefault="004057D0" w:rsidP="004057D0">
      <w:pPr>
        <w:pStyle w:val="NormalHanging12a"/>
      </w:pPr>
      <w:r w:rsidRPr="00361F5B">
        <w:t>–</w:t>
      </w:r>
      <w:r w:rsidRPr="00361F5B">
        <w:tab/>
        <w:t>s ohledem na konečnou roční účetní závěrku Evropského orgánu pro bankovnictví za rozpočtový rok 2022,</w:t>
      </w:r>
    </w:p>
    <w:p w:rsidR="004057D0" w:rsidRPr="00361F5B" w:rsidRDefault="004057D0" w:rsidP="004057D0">
      <w:pPr>
        <w:pStyle w:val="NormalHanging12a"/>
      </w:pPr>
      <w:r w:rsidRPr="00361F5B">
        <w:t>–</w:t>
      </w:r>
      <w:r w:rsidRPr="00361F5B">
        <w:tab/>
        <w:t>s ohledem na výroční zprávu Účetního dvora o agenturách EU za rozpočtový rok 2022 spolu s odpověďmi agentur</w:t>
      </w:r>
      <w:r w:rsidRPr="00361F5B">
        <w:rPr>
          <w:rStyle w:val="FootnoteReference"/>
        </w:rPr>
        <w:footnoteReference w:id="6"/>
      </w:r>
      <w:r w:rsidRPr="00361F5B">
        <w:t>,</w:t>
      </w:r>
    </w:p>
    <w:p w:rsidR="004057D0" w:rsidRPr="00361F5B" w:rsidRDefault="004057D0" w:rsidP="004057D0">
      <w:pPr>
        <w:pStyle w:val="NormalHanging12a"/>
      </w:pPr>
      <w:r w:rsidRPr="00361F5B">
        <w:t>–</w:t>
      </w:r>
      <w:r w:rsidRPr="00361F5B">
        <w:tab/>
        <w:t>s ohledem na prohlášení o věrohodnosti</w:t>
      </w:r>
      <w:r w:rsidRPr="00361F5B">
        <w:rPr>
          <w:rStyle w:val="FootnoteReference"/>
        </w:rPr>
        <w:footnoteReference w:id="7"/>
      </w:r>
      <w:r w:rsidRPr="00361F5B">
        <w:t xml:space="preserve"> účetnictví a o legalitě a správnosti uskutečněných operací, které předložil Účetní dvůr za rozpočtový rok 2022 podle článku 287 Smlouvy o fungování Evropské unie,</w:t>
      </w:r>
    </w:p>
    <w:p w:rsidR="004057D0" w:rsidRPr="00361F5B" w:rsidRDefault="004057D0" w:rsidP="004057D0">
      <w:pPr>
        <w:pStyle w:val="NormalHanging12a"/>
      </w:pPr>
      <w:r w:rsidRPr="00361F5B">
        <w:t>–</w:t>
      </w:r>
      <w:r w:rsidRPr="00361F5B">
        <w:tab/>
        <w:t>s ohledem na doporučení Rady ze dne 22. února 2024 o udělení absolutoria orgánu za plnění rozpoč</w:t>
      </w:r>
      <w:r w:rsidR="00BD156A">
        <w:t>tu na rozpočtový rok 2022 (06180/2024 – C9</w:t>
      </w:r>
      <w:r w:rsidR="00BD156A">
        <w:noBreakHyphen/>
        <w:t>0084</w:t>
      </w:r>
      <w:r w:rsidRPr="00361F5B">
        <w:t>/2024),</w:t>
      </w:r>
    </w:p>
    <w:p w:rsidR="004057D0" w:rsidRPr="00361F5B" w:rsidRDefault="004057D0" w:rsidP="004057D0">
      <w:pPr>
        <w:pStyle w:val="NormalHanging12a"/>
      </w:pPr>
      <w:r w:rsidRPr="00361F5B">
        <w:t>–</w:t>
      </w:r>
      <w:r w:rsidRPr="00361F5B">
        <w:tab/>
        <w:t>s ohledem na článek 319 Smlouvy o fungování Evropské unie,</w:t>
      </w:r>
    </w:p>
    <w:p w:rsidR="004057D0" w:rsidRPr="00361F5B" w:rsidRDefault="004057D0" w:rsidP="004057D0">
      <w:pPr>
        <w:pStyle w:val="NormalHanging12a"/>
      </w:pPr>
      <w:r w:rsidRPr="00361F5B">
        <w:t>–</w:t>
      </w:r>
      <w:r w:rsidRPr="00361F5B">
        <w:tab/>
        <w:t>s ohledem na nařízení Evropského parlamentu a Rady (EU, Euratom) 2018/1046 ze dne 18. července 2018, kterým se stanoví finanční pravidla pro souhrnný rozpočet Unie, mění nařízení (EU) č. 1296/2013, (EU) č. 1301/2013, (EU) č. 1303/2013, (EU) č. 1304/2013, (EU) č. 1309/2013, (EU) č. 1316/2013, (EU) č. 223/2014, (EU) č. 283/2014 a rozhodnutí č. 541/2014/EU a zrušuje nařízení (EU, Euratom) č. 966/2012</w:t>
      </w:r>
      <w:r w:rsidRPr="00361F5B">
        <w:rPr>
          <w:rStyle w:val="FootnoteReference"/>
        </w:rPr>
        <w:footnoteReference w:id="8"/>
      </w:r>
      <w:r w:rsidRPr="00361F5B">
        <w:t>, a zejména na článek 70 tohoto nařízení,</w:t>
      </w:r>
    </w:p>
    <w:p w:rsidR="004057D0" w:rsidRPr="00361F5B" w:rsidRDefault="004057D0" w:rsidP="004057D0">
      <w:pPr>
        <w:pStyle w:val="NormalHanging12a"/>
      </w:pPr>
      <w:r w:rsidRPr="00361F5B">
        <w:t>–</w:t>
      </w:r>
      <w:r w:rsidRPr="00361F5B">
        <w:tab/>
        <w:t>s ohledem na nařízení Evropského parlamentu a Rady (EU) č. 1093/2010 ze dne 24. listopadu 2010 o zřízení Evropského orgánu dohledu (Evropského orgánu pro bankovnictví), o změně rozhodnutí č. 716/2009/ES a o zrušení rozhodnutí Komise 2009/78/ES</w:t>
      </w:r>
      <w:r w:rsidRPr="00361F5B">
        <w:rPr>
          <w:rStyle w:val="FootnoteReference"/>
        </w:rPr>
        <w:footnoteReference w:id="9"/>
      </w:r>
      <w:r w:rsidRPr="00361F5B">
        <w:t>, a zejména na článek 64 tohoto nařízení,</w:t>
      </w:r>
    </w:p>
    <w:p w:rsidR="004057D0" w:rsidRPr="00361F5B" w:rsidRDefault="004057D0" w:rsidP="004057D0">
      <w:pPr>
        <w:pStyle w:val="NormalHanging12a"/>
      </w:pPr>
      <w:r w:rsidRPr="00361F5B">
        <w:t>–</w:t>
      </w:r>
      <w:r w:rsidRPr="00361F5B">
        <w:tab/>
        <w:t xml:space="preserve">s ohledem na nařízení Komise v přenesené pravomoci (EU) 2019/715 ze dne 18. prosince 2018 o rámcovém finančním nařízení pro subjekty zřízené podle </w:t>
      </w:r>
      <w:r w:rsidR="00C9266A" w:rsidRPr="00C9266A">
        <w:t>Smlouvy o fungování Evropské unie</w:t>
      </w:r>
      <w:r w:rsidRPr="00361F5B">
        <w:t xml:space="preserve"> a Smlouvy o Euratomu a uvedené v článku 70 nařízení Evropského parlamentu a Rady (EU, Euratom) 2018/1046</w:t>
      </w:r>
      <w:r w:rsidRPr="00361F5B">
        <w:rPr>
          <w:rStyle w:val="FootnoteReference"/>
        </w:rPr>
        <w:footnoteReference w:id="10"/>
      </w:r>
      <w:r w:rsidRPr="00361F5B">
        <w:t>, a zejména na článek 105 tohoto nařízení,</w:t>
      </w:r>
    </w:p>
    <w:p w:rsidR="004057D0" w:rsidRPr="00361F5B" w:rsidRDefault="004057D0" w:rsidP="004057D0">
      <w:pPr>
        <w:pStyle w:val="NormalHanging12a"/>
      </w:pPr>
      <w:r w:rsidRPr="00361F5B">
        <w:t>–</w:t>
      </w:r>
      <w:r w:rsidRPr="00361F5B">
        <w:tab/>
        <w:t>s ohledem na článek 100 a přílohu V jednacího řádu,</w:t>
      </w:r>
    </w:p>
    <w:p w:rsidR="004057D0" w:rsidRPr="00361F5B" w:rsidRDefault="004057D0" w:rsidP="004057D0">
      <w:pPr>
        <w:pStyle w:val="NormalHanging12a"/>
      </w:pPr>
      <w:r w:rsidRPr="00361F5B">
        <w:t>–</w:t>
      </w:r>
      <w:r w:rsidRPr="00361F5B">
        <w:tab/>
        <w:t>s ohledem na zprávu Výboru pro rozpočtovou kontrolu (A9</w:t>
      </w:r>
      <w:r w:rsidRPr="00361F5B">
        <w:noBreakHyphen/>
        <w:t>0111/2024),</w:t>
      </w:r>
    </w:p>
    <w:p w:rsidR="004057D0" w:rsidRPr="00361F5B" w:rsidRDefault="004057D0" w:rsidP="004057D0">
      <w:pPr>
        <w:pStyle w:val="NormalHanging12a"/>
      </w:pPr>
      <w:r w:rsidRPr="00361F5B">
        <w:t>1.</w:t>
      </w:r>
      <w:r w:rsidRPr="00361F5B">
        <w:tab/>
        <w:t>schvaluje uzavření účtů Evropského orgánu pro bankovnictví za rozpočtový rok 2022;</w:t>
      </w:r>
    </w:p>
    <w:p w:rsidR="004057D0" w:rsidRPr="00361F5B" w:rsidRDefault="004057D0" w:rsidP="005B3661">
      <w:pPr>
        <w:pStyle w:val="NormalHanging12a"/>
      </w:pPr>
      <w:r w:rsidRPr="00361F5B">
        <w:t>2.</w:t>
      </w:r>
      <w:r w:rsidRPr="00361F5B">
        <w:tab/>
        <w:t xml:space="preserve">pověřuje svou předsedkyni, aby předala toto rozhodnutí výkonnému řediteli Evropského orgánu pro bankovnictví, Radě, Komisi a Účetnímu dvoru a aby zajistila jeho </w:t>
      </w:r>
      <w:r w:rsidRPr="00361F5B">
        <w:lastRenderedPageBreak/>
        <w:t xml:space="preserve">zveřejnění v </w:t>
      </w:r>
      <w:r w:rsidRPr="00361F5B">
        <w:rPr>
          <w:i/>
        </w:rPr>
        <w:t>Úředním věstníku Evropské unie</w:t>
      </w:r>
      <w:r w:rsidRPr="00361F5B">
        <w:t xml:space="preserve"> (řada L).</w:t>
      </w:r>
    </w:p>
    <w:p w:rsidR="004057D0" w:rsidRPr="00361F5B" w:rsidRDefault="004057D0" w:rsidP="004057D0">
      <w:pPr>
        <w:pStyle w:val="PageHeading"/>
        <w:sectPr w:rsidR="004057D0" w:rsidRPr="00361F5B" w:rsidSect="00361F5B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567" w:footer="567" w:gutter="0"/>
          <w:cols w:space="720"/>
          <w:noEndnote/>
          <w:docGrid w:linePitch="326"/>
        </w:sectPr>
      </w:pPr>
    </w:p>
    <w:p w:rsidR="004057D0" w:rsidRPr="005B3661" w:rsidRDefault="004057D0" w:rsidP="005B3661">
      <w:pPr>
        <w:pStyle w:val="PageHeading"/>
        <w:jc w:val="left"/>
        <w:rPr>
          <w:rFonts w:ascii="Times New Roman" w:hAnsi="Times New Roman" w:cs="Times New Roman"/>
        </w:rPr>
      </w:pPr>
      <w:bookmarkStart w:id="10" w:name="_Toc161911371"/>
      <w:r w:rsidRPr="005B3661">
        <w:rPr>
          <w:rFonts w:ascii="Times New Roman" w:hAnsi="Times New Roman" w:cs="Times New Roman"/>
        </w:rPr>
        <w:lastRenderedPageBreak/>
        <w:t xml:space="preserve">3. </w:t>
      </w:r>
      <w:r w:rsidR="005B3661">
        <w:rPr>
          <w:rFonts w:ascii="Times New Roman" w:hAnsi="Times New Roman" w:cs="Times New Roman"/>
        </w:rPr>
        <w:t>Usnesení E</w:t>
      </w:r>
      <w:r w:rsidR="005B3661" w:rsidRPr="005B3661">
        <w:rPr>
          <w:rFonts w:ascii="Times New Roman" w:hAnsi="Times New Roman" w:cs="Times New Roman"/>
        </w:rPr>
        <w:t>vropského parlamentu</w:t>
      </w:r>
      <w:bookmarkEnd w:id="10"/>
      <w:r w:rsidR="005B3661" w:rsidRPr="005B3661">
        <w:rPr>
          <w:rFonts w:ascii="Times New Roman" w:hAnsi="Times New Roman" w:cs="Times New Roman"/>
        </w:rPr>
        <w:t xml:space="preserve"> ze dne 11. dubna 2024 obsahující</w:t>
      </w:r>
      <w:r w:rsidRPr="005B3661">
        <w:rPr>
          <w:rFonts w:ascii="Times New Roman" w:hAnsi="Times New Roman" w:cs="Times New Roman"/>
        </w:rPr>
        <w:t xml:space="preserve"> připomínky, které jsou nedílnou součástí rozhodnutí o udělení absolutoria za plnění rozpočtu Evropského orgánu pro bankovnictví na rozpočtový rok 2022</w:t>
      </w:r>
      <w:r w:rsidR="005B3661" w:rsidRPr="005B3661">
        <w:rPr>
          <w:rFonts w:ascii="Times New Roman" w:hAnsi="Times New Roman" w:cs="Times New Roman"/>
        </w:rPr>
        <w:t xml:space="preserve"> </w:t>
      </w:r>
      <w:r w:rsidRPr="005B3661">
        <w:rPr>
          <w:rFonts w:ascii="Times New Roman" w:hAnsi="Times New Roman" w:cs="Times New Roman"/>
        </w:rPr>
        <w:t>(2023/2146(DEC))</w:t>
      </w:r>
    </w:p>
    <w:p w:rsidR="004057D0" w:rsidRPr="00361F5B" w:rsidRDefault="004057D0" w:rsidP="004057D0">
      <w:pPr>
        <w:pStyle w:val="EPComma"/>
      </w:pPr>
      <w:r w:rsidRPr="00361F5B">
        <w:rPr>
          <w:i/>
        </w:rPr>
        <w:t>Evropský parlament</w:t>
      </w:r>
      <w:r w:rsidRPr="00361F5B">
        <w:t>,</w:t>
      </w:r>
    </w:p>
    <w:p w:rsidR="004057D0" w:rsidRPr="00361F5B" w:rsidRDefault="004057D0" w:rsidP="004057D0">
      <w:pPr>
        <w:pStyle w:val="NormalHanging12a"/>
      </w:pPr>
      <w:r w:rsidRPr="00361F5B">
        <w:t>–</w:t>
      </w:r>
      <w:r w:rsidRPr="00361F5B">
        <w:tab/>
        <w:t>s ohledem na své rozhodnutí o udělení absolutoria za plnění rozpočtu Evropského orgánu pro bankovnictví na rozpočtový rok 2022,</w:t>
      </w:r>
    </w:p>
    <w:p w:rsidR="004057D0" w:rsidRPr="00361F5B" w:rsidRDefault="004057D0" w:rsidP="004057D0">
      <w:pPr>
        <w:pStyle w:val="NormalHanging12a"/>
      </w:pPr>
      <w:r w:rsidRPr="00361F5B">
        <w:t>–</w:t>
      </w:r>
      <w:r w:rsidRPr="00361F5B">
        <w:tab/>
        <w:t>s ohledem na článek 100 a přílohu V jednacího řádu,</w:t>
      </w:r>
    </w:p>
    <w:p w:rsidR="004057D0" w:rsidRPr="00361F5B" w:rsidRDefault="004057D0" w:rsidP="004057D0">
      <w:pPr>
        <w:pStyle w:val="NormalHanging12a"/>
      </w:pPr>
      <w:r w:rsidRPr="00361F5B">
        <w:t>–</w:t>
      </w:r>
      <w:r w:rsidRPr="00361F5B">
        <w:tab/>
        <w:t>s ohledem na zprávu Výboru pro rozpočtovou kontrolu (A9</w:t>
      </w:r>
      <w:r w:rsidRPr="00361F5B">
        <w:noBreakHyphen/>
        <w:t>0111/2024),</w:t>
      </w:r>
    </w:p>
    <w:p w:rsidR="004057D0" w:rsidRPr="00361F5B" w:rsidRDefault="004057D0" w:rsidP="004057D0">
      <w:pPr>
        <w:widowControl/>
        <w:spacing w:after="240"/>
        <w:ind w:left="567" w:hanging="567"/>
        <w:rPr>
          <w:szCs w:val="24"/>
        </w:rPr>
      </w:pPr>
      <w:r w:rsidRPr="00361F5B">
        <w:t>A.</w:t>
      </w:r>
      <w:r w:rsidRPr="00361F5B">
        <w:tab/>
        <w:t>vzhledem k tomu, že konečný rozpočet Evropského orgánu pro bankovnictví (dále jen „orgán“) na rok 2022 činil podle jeho výkazu příjmů a výdajů</w:t>
      </w:r>
      <w:r w:rsidRPr="00361F5B">
        <w:rPr>
          <w:rStyle w:val="FootnoteReference"/>
          <w:szCs w:val="24"/>
        </w:rPr>
        <w:footnoteReference w:id="11"/>
      </w:r>
      <w:r w:rsidRPr="00361F5B">
        <w:t xml:space="preserve"> 50 315 014 EUR; vzhledem k tomu, že orgán je především financován z příspěvku Unie (18 685 999 EUR) a z příspěvků vnitrostátních orgánů dohledu členských států a pozorovatelů (31 629 015 EUR);</w:t>
      </w:r>
    </w:p>
    <w:p w:rsidR="004057D0" w:rsidRPr="00361F5B" w:rsidRDefault="004057D0" w:rsidP="004057D0">
      <w:pPr>
        <w:widowControl/>
        <w:spacing w:after="240"/>
        <w:ind w:left="567" w:hanging="567"/>
      </w:pPr>
      <w:r w:rsidRPr="00361F5B">
        <w:t>B.</w:t>
      </w:r>
      <w:r w:rsidRPr="00361F5B">
        <w:tab/>
        <w:t>vzhledem k tomu, že Účetní dvůr ve své zprávě o roční účetní závěrce Evropského orgánu pro bankovnictví za rozpočtový rok 2022 (dále jen „zpráva Účetního dvora“) prohlásil, že získal přiměřenou jistotu, že účetní závěrka orgánu je spolehlivá a uskutečněné operace jsou legální a správné;</w:t>
      </w:r>
    </w:p>
    <w:p w:rsidR="004057D0" w:rsidRPr="00361F5B" w:rsidRDefault="004057D0" w:rsidP="004057D0">
      <w:pPr>
        <w:widowControl/>
        <w:spacing w:after="240"/>
        <w:ind w:left="567" w:hanging="567"/>
        <w:rPr>
          <w:b/>
          <w:i/>
          <w:szCs w:val="24"/>
        </w:rPr>
      </w:pPr>
      <w:r w:rsidRPr="00361F5B">
        <w:rPr>
          <w:b/>
          <w:i/>
        </w:rPr>
        <w:t>Rozpočtové a finanční řízení</w:t>
      </w:r>
    </w:p>
    <w:p w:rsidR="004057D0" w:rsidRPr="00361F5B" w:rsidRDefault="004057D0" w:rsidP="004057D0">
      <w:pPr>
        <w:pStyle w:val="NormalHanging12a"/>
        <w:widowControl/>
        <w:rPr>
          <w:szCs w:val="24"/>
        </w:rPr>
      </w:pPr>
      <w:r w:rsidRPr="00361F5B">
        <w:t>1.</w:t>
      </w:r>
      <w:r w:rsidRPr="00361F5B">
        <w:tab/>
        <w:t>s uspokojením konstatuje, že výsledkem úsilí o monitorování rozpočtu během rozpočtového roku 2022 byla míra plnění prostředků na závazky na běžný rok 99,56 %, což oproti roku 2021 znamená zvýšení o 1,05 %; dále konstatuje, že míra využití prostředků na platby v běžném roce činila 87,00 %, což ve srovnání s rokem 2021 představuje zvýšení o 3,00 %;</w:t>
      </w:r>
    </w:p>
    <w:p w:rsidR="004057D0" w:rsidRPr="00361F5B" w:rsidRDefault="004057D0" w:rsidP="004057D0">
      <w:pPr>
        <w:widowControl/>
        <w:spacing w:after="240"/>
        <w:ind w:left="567" w:hanging="567"/>
        <w:rPr>
          <w:b/>
          <w:i/>
          <w:szCs w:val="24"/>
        </w:rPr>
      </w:pPr>
      <w:r w:rsidRPr="00361F5B">
        <w:rPr>
          <w:b/>
          <w:i/>
        </w:rPr>
        <w:t>Výkonnost</w:t>
      </w:r>
    </w:p>
    <w:p w:rsidR="004057D0" w:rsidRPr="00361F5B" w:rsidRDefault="004057D0" w:rsidP="004057D0">
      <w:pPr>
        <w:pStyle w:val="NormalHanging12a"/>
        <w:widowControl/>
        <w:rPr>
          <w:szCs w:val="24"/>
        </w:rPr>
      </w:pPr>
      <w:r w:rsidRPr="00361F5B">
        <w:t>2.</w:t>
      </w:r>
      <w:r w:rsidRPr="00361F5B">
        <w:tab/>
        <w:t xml:space="preserve">vítá skutečnost, že orgán i nadále používá k posuzování svých činností a jejich výsledků, pokud jde o dosažení cílů pracovního programu, určitá opatření jako klíčové ukazatele výkonnosti; konstatuje, že orgán ve svém pracovním programu na rok 2022 vymezil pět vertikálních priorit (např. monitorování a aktualizaci obezřetnostního rámce pro dohled a řešení krizí, přehodnocení a posílení </w:t>
      </w:r>
      <w:proofErr w:type="spellStart"/>
      <w:r w:rsidRPr="00361F5B">
        <w:t>celounijního</w:t>
      </w:r>
      <w:proofErr w:type="spellEnd"/>
      <w:r w:rsidRPr="00361F5B">
        <w:t xml:space="preserve"> rámce zátěžových testů) a dvě horizontální priority (poskytování nástrojů pro měření a řízení environmentálních, sociálních a správních rizik (rizik ESG) a monitorování a zmírňování dopadu pandemie COVID-19); konstatuje, že v roce 2022 orgán provedl 95 % z přibližně 250 úkolů stanovených v jeho pracovním programu, včetně 15 % úkolů, které musely být k pracovním úkonům přidány v průběhu roku; dále uznává, že se jedná o zlepšení ve srovnání s předchozím rokem;</w:t>
      </w:r>
    </w:p>
    <w:p w:rsidR="004057D0" w:rsidRPr="00361F5B" w:rsidRDefault="004057D0" w:rsidP="004057D0">
      <w:pPr>
        <w:pStyle w:val="NormalHanging12a"/>
        <w:widowControl/>
        <w:rPr>
          <w:szCs w:val="24"/>
        </w:rPr>
      </w:pPr>
      <w:r w:rsidRPr="00361F5B">
        <w:t>3.</w:t>
      </w:r>
      <w:r w:rsidRPr="00361F5B">
        <w:tab/>
        <w:t xml:space="preserve">je si vědom toho, že neodůvodněná útočná válka Ruska proti Ukrajině vedla orgán k tomu, aby uvažoval o problémech a nejistotách spojených s tímto konfliktem, které vznikají v oblastech spadajících do jeho působnosti, a odpovídajícím způsobem je řešil; </w:t>
      </w:r>
      <w:r w:rsidRPr="00361F5B">
        <w:lastRenderedPageBreak/>
        <w:t>vítá skutečnost, že v důsledku toho kladl orgán velký důraz na posuzování rizik pro banky a finanční sektor a přijal opatření k monitorování tohoto odvětví; dále konstatuje, že se orgán zaměřil na úsilí přispívající k uplatňování a prosazování uložených sankcí a na úroveň, která je bezprostředně relevantnější pro osoby postižené tímto konfliktem; vítá úsilí orgánu poskytovat pokyny za účelem usnadnění přístupu k finančnímu systému;</w:t>
      </w:r>
    </w:p>
    <w:p w:rsidR="004057D0" w:rsidRPr="00361F5B" w:rsidRDefault="004057D0" w:rsidP="004057D0">
      <w:pPr>
        <w:widowControl/>
        <w:spacing w:after="240"/>
        <w:ind w:left="567" w:hanging="567"/>
        <w:rPr>
          <w:szCs w:val="24"/>
        </w:rPr>
      </w:pPr>
      <w:r w:rsidRPr="00361F5B">
        <w:t>4.</w:t>
      </w:r>
      <w:r w:rsidRPr="00361F5B">
        <w:tab/>
        <w:t>konstatuje, že prostřednictvím reakcí na nejrůznější žádosti o poradenství v oblasti digitálních financí a souvisejících otázek přispěly některé z důležitých faktorů činnosti orgánu v roce 2022 k utváření legislativních postupů, což vyústilo v přijetí nařízení (EU) 2022/2554</w:t>
      </w:r>
      <w:r w:rsidRPr="00361F5B">
        <w:rPr>
          <w:rStyle w:val="FootnoteReference"/>
          <w:szCs w:val="24"/>
        </w:rPr>
        <w:footnoteReference w:id="12"/>
      </w:r>
      <w:r w:rsidRPr="00361F5B">
        <w:t xml:space="preserve"> a směrnice (EU) 2022/2556</w:t>
      </w:r>
      <w:r w:rsidRPr="00361F5B">
        <w:rPr>
          <w:rStyle w:val="FootnoteReference"/>
          <w:szCs w:val="24"/>
        </w:rPr>
        <w:footnoteReference w:id="13"/>
      </w:r>
      <w:r w:rsidRPr="00361F5B">
        <w:t xml:space="preserve"> (nařízení a směrnice o digitální provozní odolnosti) a nařízení (EU) 2023/1114</w:t>
      </w:r>
      <w:r w:rsidRPr="00361F5B">
        <w:rPr>
          <w:rStyle w:val="FootnoteReference"/>
          <w:szCs w:val="24"/>
        </w:rPr>
        <w:footnoteReference w:id="14"/>
      </w:r>
      <w:r w:rsidRPr="00361F5B">
        <w:t xml:space="preserve"> (nařízení o trzích </w:t>
      </w:r>
      <w:proofErr w:type="spellStart"/>
      <w:r w:rsidRPr="00361F5B">
        <w:t>kryptoaktiv</w:t>
      </w:r>
      <w:proofErr w:type="spellEnd"/>
      <w:r w:rsidRPr="00361F5B">
        <w:t xml:space="preserve">); konstatuje, že dalším ústředním bodem činnosti orgánu bylo zabránit zneužití finančního systému pro účely praní peněz a financování terorismu; dále konstatuje, že v popředí pracovní náplně orgánu bylo i nadále vypracování příslušného environmentálního, sociálního a správního rámce pro banky a monitorování dopadu pandemie COVID-19 na jejich rozvahy; bere na vědomí, že orgán rovněž v souladu s nařízením </w:t>
      </w:r>
      <w:r w:rsidR="008A382E">
        <w:t xml:space="preserve">(EU) </w:t>
      </w:r>
      <w:r w:rsidRPr="00361F5B">
        <w:t>č. 1093/2010 aktualizoval svůj pracovní plán srovnávacích hodnocení na období 2022–2023;</w:t>
      </w:r>
    </w:p>
    <w:p w:rsidR="004057D0" w:rsidRPr="00361F5B" w:rsidRDefault="004057D0" w:rsidP="004057D0">
      <w:pPr>
        <w:widowControl/>
        <w:spacing w:after="240"/>
        <w:ind w:left="567" w:hanging="567"/>
        <w:rPr>
          <w:b/>
          <w:i/>
          <w:szCs w:val="24"/>
        </w:rPr>
      </w:pPr>
      <w:r w:rsidRPr="00361F5B">
        <w:rPr>
          <w:b/>
          <w:i/>
        </w:rPr>
        <w:t>Efektivita a úspory</w:t>
      </w:r>
    </w:p>
    <w:p w:rsidR="004057D0" w:rsidRPr="00361F5B" w:rsidRDefault="004057D0" w:rsidP="004057D0">
      <w:pPr>
        <w:widowControl/>
        <w:spacing w:after="240"/>
        <w:ind w:left="567" w:hanging="567"/>
        <w:rPr>
          <w:szCs w:val="24"/>
        </w:rPr>
      </w:pPr>
      <w:r w:rsidRPr="00361F5B">
        <w:t>5.</w:t>
      </w:r>
      <w:r w:rsidRPr="00361F5B">
        <w:tab/>
        <w:t>vítá skutečnost, že orgán při zadávání veřejných zakázek zve k účasti na svých otevřených zadávacích řízeních i další agentury, kdykoli existuje možnost, že by mohly projevit zájem; konstatuje, že v roce 2022 byl orgán vedoucí agenturou v jednom interinstitucionálním zadávacím řízení, jehož se účastnily i Evropský orgán pro cenné papíry a trhy (ESMA) a Evropský orgán pro pojišťovnictví a zaměstnanecké penzijní pojištění (EIOPA); dále konstatuje, že orgán se rovněž účastnil mnoha interinstitucionálních řízení vedených jinými orgány, institucemi nebo subjekty Unie, převážně těch, která řídila Komise; všímá si, že v roce 2022 bylo z 96 platných rámcových smluv orgánu 77 % zadáno jinými orgány, institucemi nebo subjekty Unie;</w:t>
      </w:r>
    </w:p>
    <w:p w:rsidR="004057D0" w:rsidRPr="00361F5B" w:rsidRDefault="004057D0" w:rsidP="004057D0">
      <w:pPr>
        <w:widowControl/>
        <w:spacing w:after="240"/>
        <w:ind w:left="567" w:hanging="567"/>
        <w:rPr>
          <w:szCs w:val="24"/>
        </w:rPr>
      </w:pPr>
      <w:r w:rsidRPr="00361F5B">
        <w:t>6.</w:t>
      </w:r>
      <w:r w:rsidRPr="00361F5B">
        <w:tab/>
        <w:t>konstatuje, že Společný výbor evropských orgánů dohledu, v němž jsou sdruženy orgán, EIOPA, ESMA, Komise a Evropská rada pro systémová rizika, je klíčovým fórem pro diskusi o společných regulačních otázkách a dohodnutí se na společných iniciativách; připomíná, že společné iniciativy spojují různé pohledy, omezují zdvojování úsilí, podporují získávání znalostí a posilují vztahy mezi účastníky;</w:t>
      </w:r>
    </w:p>
    <w:p w:rsidR="004057D0" w:rsidRPr="00361F5B" w:rsidRDefault="004057D0" w:rsidP="004057D0">
      <w:pPr>
        <w:widowControl/>
        <w:spacing w:after="240"/>
        <w:ind w:left="567" w:hanging="567"/>
        <w:rPr>
          <w:bCs/>
          <w:szCs w:val="24"/>
        </w:rPr>
      </w:pPr>
      <w:r w:rsidRPr="00361F5B">
        <w:t>7.</w:t>
      </w:r>
      <w:r w:rsidRPr="00361F5B">
        <w:tab/>
        <w:t xml:space="preserve">vítá skutečnost, že se orgán zapojuje do rozsáhlých iniciativ v oblasti spolupráce a sdílení zdrojů s různými agenturami, jako je sdílení účetních služeb s orgánem ESMA nebo úředníka pro oblast bezpečnosti s orgánem EIOPA, společné IT projekty, investice </w:t>
      </w:r>
      <w:r w:rsidRPr="00361F5B">
        <w:lastRenderedPageBreak/>
        <w:t>do profesního rozvoje a poskytování zkušeností s cílem pomoci jiným agenturám při získávání certifikace EMAS; dále zdůrazňuje horizontální výhody spolupráce a přizpůsobování osvědčených postupů;</w:t>
      </w:r>
    </w:p>
    <w:p w:rsidR="004057D0" w:rsidRPr="00361F5B" w:rsidRDefault="004057D0" w:rsidP="004057D0">
      <w:pPr>
        <w:widowControl/>
        <w:spacing w:after="240"/>
        <w:ind w:left="567" w:hanging="567"/>
        <w:rPr>
          <w:szCs w:val="24"/>
        </w:rPr>
      </w:pPr>
      <w:r w:rsidRPr="00361F5B">
        <w:t>8.</w:t>
      </w:r>
      <w:r w:rsidRPr="00361F5B">
        <w:tab/>
        <w:t>oceňuje různé iniciativy orgánu, jako je optimalizace procesů, řízení zdrojů, digitalizace, posílení spolupráce a pěstování kultury neustálého zlepšování; konstatuje, že mezi klíčové strategie patří automatizace procesů (bezpapírové finanční transakce, hromadné zpracování plateb, nástroje pro pracovní toky), optimalizace zdrojů, rozhodování založené na datech, integrace technologií (</w:t>
      </w:r>
      <w:proofErr w:type="spellStart"/>
      <w:r w:rsidRPr="00361F5B">
        <w:t>cloudové</w:t>
      </w:r>
      <w:proofErr w:type="spellEnd"/>
      <w:r w:rsidRPr="00361F5B">
        <w:t xml:space="preserve"> služby, digitalizace lidských zdrojů), spolupráce prostřednictvím multifunkčních týmů a řízení projektů;</w:t>
      </w:r>
    </w:p>
    <w:p w:rsidR="004057D0" w:rsidRPr="00361F5B" w:rsidRDefault="004057D0" w:rsidP="004057D0">
      <w:pPr>
        <w:pStyle w:val="NormalHanging12a"/>
      </w:pPr>
      <w:r w:rsidRPr="00361F5B">
        <w:t>9.</w:t>
      </w:r>
      <w:r w:rsidRPr="00361F5B">
        <w:tab/>
        <w:t>zdůrazňuje, že orgán je aktivním členem sítě agentur EU a že neustále rozvíjí součinnost s ostatními evropskými orgány dohledu, jako je sdílení rezervních seznamů pro nábor zaměstnanců mezi orgánem a orgány ESMA a EIOPA;</w:t>
      </w:r>
    </w:p>
    <w:p w:rsidR="004057D0" w:rsidRPr="00361F5B" w:rsidRDefault="004057D0" w:rsidP="004057D0">
      <w:pPr>
        <w:widowControl/>
        <w:spacing w:after="240"/>
        <w:ind w:left="567" w:hanging="567"/>
        <w:rPr>
          <w:b/>
          <w:i/>
          <w:szCs w:val="24"/>
        </w:rPr>
      </w:pPr>
      <w:r w:rsidRPr="00361F5B">
        <w:rPr>
          <w:b/>
          <w:i/>
        </w:rPr>
        <w:t>Personální politika</w:t>
      </w:r>
    </w:p>
    <w:p w:rsidR="004057D0" w:rsidRPr="00361F5B" w:rsidRDefault="004057D0" w:rsidP="004057D0">
      <w:pPr>
        <w:widowControl/>
        <w:spacing w:after="240"/>
        <w:ind w:left="567" w:hanging="567"/>
        <w:rPr>
          <w:szCs w:val="24"/>
        </w:rPr>
      </w:pPr>
      <w:r w:rsidRPr="00361F5B">
        <w:t>10.</w:t>
      </w:r>
      <w:r w:rsidRPr="00361F5B">
        <w:tab/>
        <w:t>bere na vědomí, že ke dni 31. prosince 2022 byl plán pracovních míst naplněn z 98,14 %, přičemž ze 162 míst pro dočasné zaměstnance povolených v rozpočtu Unie (stejný počet povolených míst jako v roce 2021) jich bylo obsazeno 159; konstatuje, že kromě toho orgán v roce 2022 zaměstnával 44 smluvních zaměstnanců (z 50 povolených) a 13 vyslaných národních odborníků (z 19 povolených plus šest vyslaných národních odborníků, s nimiž nejsou spojeny žádné náklady);</w:t>
      </w:r>
    </w:p>
    <w:p w:rsidR="004057D0" w:rsidRPr="00361F5B" w:rsidRDefault="004057D0" w:rsidP="004057D0">
      <w:pPr>
        <w:widowControl/>
        <w:spacing w:after="240"/>
        <w:ind w:left="567" w:hanging="567"/>
        <w:rPr>
          <w:szCs w:val="24"/>
        </w:rPr>
      </w:pPr>
      <w:r w:rsidRPr="00361F5B">
        <w:t>11.</w:t>
      </w:r>
      <w:r w:rsidRPr="00361F5B">
        <w:tab/>
        <w:t>konstatuje, že celková míra fluktuace v roce 2022 činila 11,5 % (oproti 12 % v roce 2021); bere na vědomí, že celková míra fluktuace zahrnuje konec platnosti smlouvy vyslaných národních odborníků, jejichž smlouvy jsou ze své podstaty kratší, zatímco míra fluktuace u statutárních zaměstnanců (dočasní zaměstnanci a smluvní zaměstnanci) činila 9 % (přičemž u smluvních zaměstnanců byla o něco vyšší než u dočasných zaměstnanců); zdůrazňuje, že od roku 2020 začal orgán rozšiřovat svůj přístup k řízení talentů o další opatření na posílení postavení zaměstnanců a podporu dlouhodobého zapojení (silná hodnotová nabídka pro zaměstnance, programy profesního rozvoje uzpůsobené na míru, např. mentorství, iniciativy v oblasti pracovního a soukromého života, jako jsou sociální kluby atd.);</w:t>
      </w:r>
    </w:p>
    <w:p w:rsidR="004057D0" w:rsidRPr="00361F5B" w:rsidRDefault="004057D0" w:rsidP="004057D0">
      <w:pPr>
        <w:pStyle w:val="NormalHanging12a"/>
        <w:widowControl/>
        <w:rPr>
          <w:szCs w:val="24"/>
        </w:rPr>
      </w:pPr>
      <w:r w:rsidRPr="00361F5B">
        <w:t>12.</w:t>
      </w:r>
      <w:r w:rsidRPr="00361F5B">
        <w:tab/>
        <w:t>bere na vědomí zastoupení žen a mužů ve vrcholném a středním managementu orgánu, kdy je z 29 pracovníků a pracovnic ve vrcholném a středním managementu 16 mužů (55 %), a mezi všemi zaměstnanci orgánu, kde je 114 mužů z celkového počtu 222 zaměstnanců a zaměstnankyň (51 %); podporuje skutečnost, že orgán přijal chartu sítě agentur EU o rozmanitosti a začlenění; konstatuje, že orgán je členem sítě mezinárodních organizací „</w:t>
      </w:r>
      <w:proofErr w:type="spellStart"/>
      <w:r w:rsidRPr="00361F5B">
        <w:t>Choose</w:t>
      </w:r>
      <w:proofErr w:type="spellEnd"/>
      <w:r w:rsidRPr="00361F5B">
        <w:t xml:space="preserve"> Paris Region“ prosazujících rozmanité, inkluzivní a spravedlivé pracoviště a že součástí náboru zaměstnanců je poskytování zvláštních úprav osobám se zdravotním postižením;</w:t>
      </w:r>
    </w:p>
    <w:p w:rsidR="004057D0" w:rsidRPr="00361F5B" w:rsidRDefault="004057D0" w:rsidP="004057D0">
      <w:pPr>
        <w:widowControl/>
        <w:spacing w:after="240"/>
        <w:ind w:left="567" w:hanging="567"/>
        <w:rPr>
          <w:szCs w:val="24"/>
        </w:rPr>
      </w:pPr>
      <w:r w:rsidRPr="00361F5B">
        <w:t>13.</w:t>
      </w:r>
      <w:r w:rsidRPr="00361F5B">
        <w:tab/>
        <w:t xml:space="preserve">je si vědom toho, že v roce 2022 byl zahájen průzkum zapojení zaměstnanců, jehož výsledkem byla 71% míra odpovědí; konstatuje, že celkové příznivé skóre, které vyjadřuje zapojení zaměstnanců, činilo 65 %, což je o 1 % více než v předchozím průzkumu zapojení zaměstnanců z roku 2019 (i přes náročné období pandemie COVID-19), a to i ve srovnání s referenční </w:t>
      </w:r>
      <w:proofErr w:type="spellStart"/>
      <w:r w:rsidRPr="00361F5B">
        <w:t>meziagenturní</w:t>
      </w:r>
      <w:proofErr w:type="spellEnd"/>
      <w:r w:rsidRPr="00361F5B">
        <w:t xml:space="preserve"> hodnotou v rámci EU;</w:t>
      </w:r>
    </w:p>
    <w:p w:rsidR="004057D0" w:rsidRPr="00361F5B" w:rsidRDefault="004057D0" w:rsidP="004057D0">
      <w:pPr>
        <w:widowControl/>
        <w:spacing w:after="240"/>
        <w:ind w:left="567" w:hanging="567"/>
        <w:rPr>
          <w:b/>
          <w:i/>
          <w:szCs w:val="24"/>
        </w:rPr>
      </w:pPr>
      <w:r w:rsidRPr="00361F5B">
        <w:rPr>
          <w:b/>
          <w:i/>
        </w:rPr>
        <w:t>Prevence a řešení střetů zájmů a transparentnost</w:t>
      </w:r>
    </w:p>
    <w:p w:rsidR="004057D0" w:rsidRPr="00361F5B" w:rsidRDefault="004057D0" w:rsidP="004057D0">
      <w:pPr>
        <w:widowControl/>
        <w:spacing w:after="240"/>
        <w:ind w:left="567" w:hanging="567"/>
      </w:pPr>
      <w:r w:rsidRPr="00361F5B">
        <w:lastRenderedPageBreak/>
        <w:t>14.</w:t>
      </w:r>
      <w:r w:rsidRPr="00361F5B">
        <w:tab/>
        <w:t>vítá skutečnost, že orgán v roce 2022 zefektivnil proces týkající se etických otázek, zejména zavedením elektronického systému pracovních toků, včetně důkladnějšího a efektivnějšího posuzování oznámení o možných střetech zájmů odcházejících zaměstnanců a oznamování činností po skončení pracovního poměru;</w:t>
      </w:r>
    </w:p>
    <w:p w:rsidR="004057D0" w:rsidRPr="00361F5B" w:rsidRDefault="004057D0" w:rsidP="004057D0">
      <w:pPr>
        <w:pStyle w:val="NormalHanging12a"/>
      </w:pPr>
      <w:r w:rsidRPr="00361F5B">
        <w:t>15.</w:t>
      </w:r>
      <w:r w:rsidRPr="00361F5B">
        <w:tab/>
        <w:t xml:space="preserve">zdůrazňuje, že do učebních materiálů vzdělávacích programů orgánu zaměřených na etiku a integritu byly začleněny pokyny týkající se </w:t>
      </w:r>
      <w:proofErr w:type="spellStart"/>
      <w:r w:rsidRPr="00361F5B">
        <w:t>whistleblowingu</w:t>
      </w:r>
      <w:proofErr w:type="spellEnd"/>
      <w:r w:rsidRPr="00361F5B">
        <w:t>, které zahrnují protikorupční pokyny;</w:t>
      </w:r>
    </w:p>
    <w:p w:rsidR="004057D0" w:rsidRPr="00361F5B" w:rsidRDefault="004057D0" w:rsidP="004057D0">
      <w:pPr>
        <w:pStyle w:val="NormalHanging12a"/>
      </w:pPr>
      <w:r w:rsidRPr="00361F5B">
        <w:t>16.</w:t>
      </w:r>
      <w:r w:rsidRPr="00361F5B">
        <w:tab/>
        <w:t>oceňuje, že v roce 2022 přijala rada orgánů dohledu změnu svého jednacího řádu, jakož i jednacího řádu správní rady a mandátů stálých výborů pro řešení úpadků a pro boj proti praní peněz a financování terorismu, podle které se nesmí členové, kteří oznámili střet zájmů, bez výjimky účastnit jak hlasování, tak samotné diskuse;</w:t>
      </w:r>
    </w:p>
    <w:p w:rsidR="004057D0" w:rsidRPr="00361F5B" w:rsidRDefault="004057D0" w:rsidP="004057D0">
      <w:pPr>
        <w:widowControl/>
        <w:spacing w:after="240"/>
        <w:ind w:left="567" w:hanging="567"/>
        <w:rPr>
          <w:szCs w:val="24"/>
        </w:rPr>
      </w:pPr>
      <w:r w:rsidRPr="00361F5B">
        <w:t>17.</w:t>
      </w:r>
      <w:r w:rsidRPr="00361F5B">
        <w:tab/>
        <w:t>konstatuje, že po uzavření vyšetřování prováděného úřadem OLAF, kdy nebyly odhaleny žádné nesrovnalosti, pokud jde o dodržování příslušného právního rámce, obdržel orgán doporučení k přijetí správních opatření, zejména v oblasti pracovních smluv vrcholného vedení; všímá si, že šetření poukázalo na chybějící smluvní ustanovení týkající se nucené dovolené před ukončením pracovního poměru nebo přechodného období po skončení funkce; zdůrazňuje, že orgán v reakci na toto šetření zavedl v únoru 2022 do smluv pro ředitele, poradce a vyšší pozice nový článek; konstatuje, že orgán v důsledku omezení v právním rámci služebního řádu informoval úřad OLAF o tom, že nemůže zaměstnancům stanovit požadavky nad tento rámec, jako je například poskytnutí náhrady v případě, že je bývalému zaměstnanci zamezeno vykonávat pracovní činnost nebo provádění takové činnosti podléhá splnění podstatných podmínek;</w:t>
      </w:r>
    </w:p>
    <w:p w:rsidR="004057D0" w:rsidRPr="00361F5B" w:rsidRDefault="004057D0" w:rsidP="004057D0">
      <w:pPr>
        <w:widowControl/>
        <w:spacing w:after="240"/>
        <w:ind w:left="567" w:hanging="567"/>
        <w:rPr>
          <w:szCs w:val="24"/>
        </w:rPr>
      </w:pPr>
      <w:r w:rsidRPr="00361F5B">
        <w:t>18.</w:t>
      </w:r>
      <w:r w:rsidRPr="00361F5B">
        <w:tab/>
        <w:t>vítá skutečnost, že orgán zveřejňuje všechna setkání zaměstnanců s externími zúčastněnými stranami ze soukromého sektoru, přičemž v případě předsedy tak v souladu s článkem 49a nařízení (EU) č. 1093/2010 činí do dvou týdnů od příslušného setkání a totožný postup uplatňuje i u výkonného ředitele, přestože článek 52a uvedeného nařízení sice vyžaduje, aby byly schůzky výkonného ředitele zveřejňovány, ale neupřesňuje, v jaké časové lhůtě; konstatuje, že v případě setkání jiných zaměstnanců se zúčastněnými stranami ze soukromého sektoru se zveřejňování informací provádí čtvrtletně;</w:t>
      </w:r>
    </w:p>
    <w:p w:rsidR="004057D0" w:rsidRPr="00361F5B" w:rsidRDefault="004057D0" w:rsidP="004057D0">
      <w:pPr>
        <w:widowControl/>
        <w:spacing w:after="240"/>
        <w:ind w:left="567" w:hanging="567"/>
        <w:rPr>
          <w:szCs w:val="24"/>
        </w:rPr>
      </w:pPr>
      <w:r w:rsidRPr="00361F5B">
        <w:t>19.</w:t>
      </w:r>
      <w:r w:rsidRPr="00361F5B">
        <w:tab/>
        <w:t xml:space="preserve">upozorňuje na uzavření jednoho případu </w:t>
      </w:r>
      <w:proofErr w:type="spellStart"/>
      <w:r w:rsidRPr="00361F5B">
        <w:t>whistleblowingu</w:t>
      </w:r>
      <w:proofErr w:type="spellEnd"/>
      <w:r w:rsidRPr="00361F5B">
        <w:t xml:space="preserve"> v roce 2022; konstatuje, že podniknuté kroky zahrnovaly kontaktování příslušného vnitrostátního orgánu s cílem porozumět obviněním a opatřením, která byla přijata na vnitrostátní úrovni, což vedlo k uzavření případu, aniž by orgán musel přijmout jakákoli opatření;</w:t>
      </w:r>
    </w:p>
    <w:p w:rsidR="004057D0" w:rsidRPr="00361F5B" w:rsidRDefault="004057D0" w:rsidP="004057D0">
      <w:pPr>
        <w:widowControl/>
        <w:spacing w:after="240"/>
        <w:ind w:left="567" w:hanging="567"/>
        <w:rPr>
          <w:szCs w:val="24"/>
        </w:rPr>
      </w:pPr>
      <w:r w:rsidRPr="00361F5B">
        <w:t>20.</w:t>
      </w:r>
      <w:r w:rsidRPr="00361F5B">
        <w:tab/>
        <w:t>připomíná, že životopisy členů řídících orgánů a náhradníků, vedoucích pracovníků a ředitelů jsou zveřejňovány na internetových stránkách orgánu; konstatuje, že tyto životopisy obsahují informace o odborné praxi a vzdělání; dále konstatuje, že pokud jde o odborníky, zveřejňuje orgán životopisy skupiny subjektů působících v bankovnictví;</w:t>
      </w:r>
    </w:p>
    <w:p w:rsidR="004057D0" w:rsidRPr="00361F5B" w:rsidRDefault="004057D0" w:rsidP="004057D0">
      <w:pPr>
        <w:widowControl/>
        <w:spacing w:after="240"/>
        <w:ind w:left="567" w:hanging="567"/>
        <w:rPr>
          <w:b/>
          <w:i/>
          <w:szCs w:val="24"/>
        </w:rPr>
      </w:pPr>
      <w:r w:rsidRPr="00361F5B">
        <w:rPr>
          <w:b/>
          <w:i/>
        </w:rPr>
        <w:t>Veřejné zakázky</w:t>
      </w:r>
    </w:p>
    <w:p w:rsidR="004057D0" w:rsidRPr="00361F5B" w:rsidRDefault="004057D0" w:rsidP="004057D0">
      <w:pPr>
        <w:widowControl/>
        <w:spacing w:after="240"/>
        <w:ind w:left="567" w:hanging="567"/>
        <w:rPr>
          <w:szCs w:val="24"/>
        </w:rPr>
      </w:pPr>
      <w:r w:rsidRPr="00361F5B">
        <w:t>21.</w:t>
      </w:r>
      <w:r w:rsidRPr="00361F5B">
        <w:tab/>
        <w:t xml:space="preserve">bere na vědomí, že podle Účetního dvora usiloval orgán o zadání zakázek na služby ve dvou otevřených nabídkových řízeních, z nichž jedno se týkalo průzkumu trhu finančních služeb a druhé konzultace o ochraně údajů; konstatuje, že v jednom </w:t>
      </w:r>
      <w:r w:rsidRPr="00361F5B">
        <w:lastRenderedPageBreak/>
        <w:t>nabídkovém řízení se překrývala kritéria pro výběr a kritéria pro zadání zakázky; zdůrazňuje, že takovéto překrývání je v rozporu s článkem 167 finančního nařízení, který stanoví, že kritéria pro výběr a kritéria pro zadání zakázky musí být zcela oddělena; konstatuje, že kritéria pro výběr se používají k hodnocení způsobilosti uchazečů a kritéria pro zadání zakázky k hodnocení ceny a kvality nabídek; s politováním konstatuje, že orgán v obou případech nadhodnotil maximální hodnotu zakázek kvůli nedostatkům v průzkumu tržních cen, který provedl před zahájením nabídkového řízení;</w:t>
      </w:r>
    </w:p>
    <w:p w:rsidR="004057D0" w:rsidRPr="00361F5B" w:rsidRDefault="004057D0" w:rsidP="004057D0">
      <w:pPr>
        <w:widowControl/>
        <w:spacing w:after="240"/>
        <w:ind w:left="567" w:hanging="567"/>
        <w:rPr>
          <w:szCs w:val="24"/>
        </w:rPr>
      </w:pPr>
      <w:r w:rsidRPr="00361F5B">
        <w:t>22.</w:t>
      </w:r>
      <w:r w:rsidRPr="00361F5B">
        <w:tab/>
        <w:t>konstatuje, že podle Účetního dvora byly napraveny nedostatky v zadávání veřejných zakázek oznámené v roce 2021, které se týkaly dvou samostatných jednacích řízení, neboť orgán nyní používá předlohy Komise, čímž uvedl svá řízení do souladu s připomínkou Účetního dvora;</w:t>
      </w:r>
    </w:p>
    <w:p w:rsidR="004057D0" w:rsidRPr="00361F5B" w:rsidRDefault="004057D0" w:rsidP="004057D0">
      <w:pPr>
        <w:widowControl/>
        <w:spacing w:after="240"/>
        <w:ind w:left="567" w:hanging="567"/>
        <w:rPr>
          <w:szCs w:val="24"/>
        </w:rPr>
      </w:pPr>
      <w:r w:rsidRPr="00361F5B">
        <w:t>23.</w:t>
      </w:r>
      <w:r w:rsidRPr="00361F5B">
        <w:tab/>
        <w:t>upozorňuje, že od rozpočtového roku 2020 předkládá Účetní dvůr každoročně nové připomínky týkající se zadávání veřejných zakázek u čtyř agentur včetně orgánu; připomíná, že cílem pravidel pro zadávání veřejných zakázek je umožnit zadavatelům získat zboží a služby, které potřebují, za nejlepší cenu, a zároveň zajistit spravedlivou hospodářskou soutěž mezi uchazeči a dodržování zásad transparentnosti, proporcionality, rovného zacházení a nediskriminace; vyzývá orgán, aby zajistil plný soulad s platnými pravidly pro zadávání veřejných zakázek s cílem dosáhnout co nejlepšího poměru mezi kvalitou a cenou;</w:t>
      </w:r>
    </w:p>
    <w:p w:rsidR="004057D0" w:rsidRPr="00361F5B" w:rsidRDefault="004057D0" w:rsidP="004057D0">
      <w:pPr>
        <w:widowControl/>
        <w:spacing w:after="240"/>
        <w:ind w:left="567" w:hanging="567"/>
        <w:rPr>
          <w:b/>
          <w:i/>
          <w:szCs w:val="24"/>
        </w:rPr>
      </w:pPr>
      <w:r w:rsidRPr="00361F5B">
        <w:rPr>
          <w:b/>
          <w:i/>
        </w:rPr>
        <w:t>Vnitřní kontrola</w:t>
      </w:r>
    </w:p>
    <w:p w:rsidR="004057D0" w:rsidRPr="00361F5B" w:rsidRDefault="004057D0" w:rsidP="004057D0">
      <w:pPr>
        <w:widowControl/>
        <w:spacing w:after="240"/>
        <w:ind w:left="567" w:hanging="567"/>
        <w:rPr>
          <w:szCs w:val="24"/>
        </w:rPr>
      </w:pPr>
      <w:r w:rsidRPr="00361F5B">
        <w:t>24.</w:t>
      </w:r>
      <w:r w:rsidRPr="00361F5B">
        <w:tab/>
        <w:t>připomíná, že orgán zahájil v roce 2021 spolupráci se specializovaným partnerem v oblasti řízení rizik s cílem posílit slučitelnost svého stávajícího programu řízení rizik s rámcem COSO pro řízení podnikových rizik (ERM) a že tato spolupráce pokračovala i v roce 2022; konstatuje, že v zájmu dalšího posílení vnitřních kontrol plánuje orgán svůj program řízení rizik do rámce COSO ERM začlenit a že hodlá zintenzivnit činnosti související s etikou a v roce 2023 poskytovat individualizovanou odbornou přípravu v oblasti vnitřních kontrol, a to s cílem zachovat celkový systém vnitřních kontrol a zvýšit jeho účinnost;</w:t>
      </w:r>
    </w:p>
    <w:p w:rsidR="004057D0" w:rsidRPr="00361F5B" w:rsidRDefault="004057D0" w:rsidP="004057D0">
      <w:pPr>
        <w:widowControl/>
        <w:spacing w:after="240"/>
        <w:ind w:left="567" w:hanging="567"/>
        <w:rPr>
          <w:szCs w:val="24"/>
        </w:rPr>
      </w:pPr>
      <w:r w:rsidRPr="00361F5B">
        <w:t>25.</w:t>
      </w:r>
      <w:r w:rsidRPr="00361F5B">
        <w:tab/>
        <w:t>konstatuje, že podle Účetního dvora byly napraveny nedostatky v oblasti vnitřní kontroly nahlášené v roce 2021, které ovlivňovaly náborové postupy, neboť orgán své postupy odpovídajícím způsobem upravil;</w:t>
      </w:r>
    </w:p>
    <w:p w:rsidR="004057D0" w:rsidRPr="00361F5B" w:rsidRDefault="004057D0" w:rsidP="004057D0">
      <w:pPr>
        <w:widowControl/>
        <w:spacing w:after="240"/>
        <w:ind w:left="567" w:hanging="567"/>
        <w:rPr>
          <w:b/>
          <w:i/>
          <w:szCs w:val="24"/>
        </w:rPr>
      </w:pPr>
      <w:r w:rsidRPr="00361F5B">
        <w:rPr>
          <w:b/>
          <w:i/>
        </w:rPr>
        <w:t>Další připomínky</w:t>
      </w:r>
    </w:p>
    <w:p w:rsidR="004057D0" w:rsidRPr="00361F5B" w:rsidRDefault="004057D0" w:rsidP="004057D0">
      <w:pPr>
        <w:widowControl/>
        <w:spacing w:after="240"/>
        <w:ind w:left="567" w:hanging="567"/>
        <w:rPr>
          <w:szCs w:val="24"/>
        </w:rPr>
      </w:pPr>
      <w:r w:rsidRPr="00361F5B">
        <w:t>26.</w:t>
      </w:r>
      <w:r w:rsidRPr="00361F5B">
        <w:tab/>
        <w:t>vítá skutečnost, že orgán v roce 2022 i nadále propagoval svou práci a výstupy prostřednictvím široké škály komunikačních kanálů, jako jsou jeho internetové stránky, rozhovory s tiskem a platformy sociálních médií; konstatuje, že orgán rovněž zvýšil počet dynamických vizualizací dat s cílem prezentovat velké množství dat komplexnějším a srozumitelnějším způsobem, zveřejnil 149 tiskových zpráv a informací, propagoval svou práci v tisku a médiích, uskutečnil 74 rozhovorů a brífinků s tiskem a odpověděl e-mailem na 706 dotazů;</w:t>
      </w:r>
    </w:p>
    <w:p w:rsidR="004057D0" w:rsidRPr="00361F5B" w:rsidRDefault="004057D0" w:rsidP="004057D0">
      <w:pPr>
        <w:pStyle w:val="NormalHanging12a"/>
        <w:widowControl/>
      </w:pPr>
      <w:r w:rsidRPr="00361F5B">
        <w:t>27.</w:t>
      </w:r>
      <w:r w:rsidRPr="00361F5B">
        <w:tab/>
        <w:t xml:space="preserve">vítá skutečnost, že v roce 2022 byl orgánu udělen certifikát systému pro environmentální řízení podniků a audit (EMAS) a že orgán úspěšně dosáhl svých environmentálních cílů na rok 2022 v oblasti cestování, energií, odpadů, zadávání </w:t>
      </w:r>
      <w:r w:rsidRPr="00361F5B">
        <w:lastRenderedPageBreak/>
        <w:t>veřejných zakázek a hlavní činnosti;</w:t>
      </w:r>
      <w:r w:rsidRPr="00361F5B">
        <w:rPr>
          <w:color w:val="374151"/>
        </w:rPr>
        <w:t xml:space="preserve"> </w:t>
      </w:r>
      <w:r w:rsidRPr="00361F5B">
        <w:t xml:space="preserve">zdůrazňuje, že k dosaženým úspěchům patří minimálně 50% snížení činností souvisejících s cestováním, 10% snížení spotřeby energie v budovách, závazek recyklovat alespoň 70 % odpadu a zohlednění dopadu na životní prostředí </w:t>
      </w:r>
      <w:proofErr w:type="gramStart"/>
      <w:r w:rsidRPr="00361F5B">
        <w:t>ve 100</w:t>
      </w:r>
      <w:proofErr w:type="gramEnd"/>
      <w:r w:rsidRPr="00361F5B">
        <w:t> % zakázek zadaných orgánem;</w:t>
      </w:r>
    </w:p>
    <w:p w:rsidR="004057D0" w:rsidRPr="00361F5B" w:rsidRDefault="004057D0" w:rsidP="004057D0">
      <w:pPr>
        <w:pStyle w:val="NormalHanging12a"/>
        <w:widowControl/>
      </w:pPr>
      <w:r w:rsidRPr="00361F5B">
        <w:t>28.</w:t>
      </w:r>
      <w:r w:rsidRPr="00361F5B">
        <w:tab/>
        <w:t>chválí orgán za to, že se zavázal snížit v roce 2022 spotřebu energie o 10 % (ve srovnání s rokem 2019); poukazuje na skutečnost, že orgán zavedl ve snaze o dosažení tohoto cíle opatření, jako je změna harmonogramu vytápění a snížení stanovených teplot na termostatech, úplný přechod na dodávky energie z obnovitelných zdrojů, denní sledování měřičů za účelem vyhodnocení přijatých opatření a provedení informační kampaně pro zaměstnance o úsporách energie; konstatuje, že do konce roku 2022 bylo dosaženo snížení spotřeby energie o 16,4 % (ve srovnání s rokem 2019);</w:t>
      </w:r>
    </w:p>
    <w:p w:rsidR="004057D0" w:rsidRPr="00361F5B" w:rsidRDefault="004057D0" w:rsidP="004057D0">
      <w:pPr>
        <w:pStyle w:val="NormalCenter12a"/>
        <w:widowControl/>
        <w:ind w:left="567" w:hanging="567"/>
      </w:pPr>
      <w:r w:rsidRPr="00361F5B">
        <w:t>°</w:t>
      </w:r>
    </w:p>
    <w:p w:rsidR="004057D0" w:rsidRPr="00361F5B" w:rsidRDefault="004057D0" w:rsidP="004057D0">
      <w:pPr>
        <w:pStyle w:val="NormalCenter12a"/>
        <w:widowControl/>
        <w:ind w:left="567" w:hanging="567"/>
      </w:pPr>
      <w:r w:rsidRPr="00361F5B">
        <w:t>°</w:t>
      </w:r>
      <w:r w:rsidRPr="00361F5B">
        <w:tab/>
        <w:t>°</w:t>
      </w:r>
    </w:p>
    <w:p w:rsidR="004057D0" w:rsidRPr="00361F5B" w:rsidRDefault="004057D0" w:rsidP="004057D0">
      <w:pPr>
        <w:pStyle w:val="NormalHanging12a"/>
      </w:pPr>
      <w:r w:rsidRPr="00361F5B">
        <w:t>29.</w:t>
      </w:r>
      <w:r w:rsidRPr="00361F5B">
        <w:tab/>
        <w:t>pokud jde o další připomínky, které jsou připojeny k rozhodnutí o udělení absolutoria a jsou horizontální povahy, o</w:t>
      </w:r>
      <w:r w:rsidR="005B3661">
        <w:t>dkazuje na své usnesení ze dne 11.</w:t>
      </w:r>
      <w:r w:rsidRPr="00361F5B">
        <w:t xml:space="preserve"> dubna 2024</w:t>
      </w:r>
      <w:r w:rsidRPr="00361F5B">
        <w:rPr>
          <w:vertAlign w:val="superscript"/>
        </w:rPr>
        <w:footnoteReference w:id="15"/>
      </w:r>
      <w:r w:rsidRPr="00361F5B">
        <w:t xml:space="preserve"> o výkonnosti, finančním řízení a kontrole agentur.</w:t>
      </w:r>
    </w:p>
    <w:p w:rsidR="004057D0" w:rsidRPr="00361F5B" w:rsidRDefault="004057D0" w:rsidP="004057D0"/>
    <w:sectPr w:rsidR="004057D0" w:rsidRPr="00361F5B" w:rsidSect="00361F5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1D16" w:rsidRPr="00361F5B" w:rsidRDefault="004F1D16">
      <w:r w:rsidRPr="00361F5B">
        <w:separator/>
      </w:r>
    </w:p>
  </w:endnote>
  <w:endnote w:type="continuationSeparator" w:id="0">
    <w:p w:rsidR="004F1D16" w:rsidRPr="00361F5B" w:rsidRDefault="004F1D16">
      <w:r w:rsidRPr="00361F5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57D0" w:rsidRPr="00361F5B" w:rsidRDefault="004057D0" w:rsidP="00A348F7">
    <w:pPr>
      <w:pStyle w:val="EPFooter"/>
    </w:pPr>
    <w:r w:rsidRPr="00361F5B">
      <w:t>PE</w:t>
    </w:r>
    <w:r w:rsidRPr="00361F5B">
      <w:rPr>
        <w:rStyle w:val="HideTWBExt"/>
      </w:rPr>
      <w:t>&lt;</w:t>
    </w:r>
    <w:proofErr w:type="spellStart"/>
    <w:r w:rsidRPr="00361F5B">
      <w:rPr>
        <w:rStyle w:val="HideTWBExt"/>
      </w:rPr>
      <w:t>NoPE</w:t>
    </w:r>
    <w:proofErr w:type="spellEnd"/>
    <w:r w:rsidRPr="00361F5B">
      <w:rPr>
        <w:rStyle w:val="HideTWBExt"/>
      </w:rPr>
      <w:t>&gt;</w:t>
    </w:r>
    <w:r w:rsidRPr="00361F5B">
      <w:t>753.513</w:t>
    </w:r>
    <w:r w:rsidRPr="00361F5B">
      <w:rPr>
        <w:rStyle w:val="HideTWBExt"/>
      </w:rPr>
      <w:t>&lt;/</w:t>
    </w:r>
    <w:proofErr w:type="spellStart"/>
    <w:r w:rsidRPr="00361F5B">
      <w:rPr>
        <w:rStyle w:val="HideTWBExt"/>
      </w:rPr>
      <w:t>NoPE</w:t>
    </w:r>
    <w:proofErr w:type="spellEnd"/>
    <w:r w:rsidRPr="00361F5B">
      <w:rPr>
        <w:rStyle w:val="HideTWBExt"/>
      </w:rPr>
      <w:t>&gt;&lt;Version&gt;</w:t>
    </w:r>
    <w:r w:rsidRPr="00361F5B">
      <w:t>v02-00</w:t>
    </w:r>
    <w:r w:rsidRPr="00361F5B">
      <w:rPr>
        <w:rStyle w:val="HideTWBExt"/>
      </w:rPr>
      <w:t>&lt;/</w:t>
    </w:r>
    <w:proofErr w:type="spellStart"/>
    <w:r w:rsidRPr="00361F5B">
      <w:rPr>
        <w:rStyle w:val="HideTWBExt"/>
      </w:rPr>
      <w:t>Version</w:t>
    </w:r>
    <w:proofErr w:type="spellEnd"/>
    <w:r w:rsidRPr="00361F5B">
      <w:rPr>
        <w:rStyle w:val="HideTWBExt"/>
      </w:rPr>
      <w:t>&gt;</w:t>
    </w:r>
    <w:r w:rsidRPr="00361F5B">
      <w:tab/>
    </w:r>
    <w:r w:rsidRPr="00361F5B">
      <w:fldChar w:fldCharType="begin"/>
    </w:r>
    <w:r w:rsidRPr="00361F5B">
      <w:instrText xml:space="preserve"> PAGE  \* MERGEFORMAT </w:instrText>
    </w:r>
    <w:r w:rsidRPr="00361F5B">
      <w:fldChar w:fldCharType="separate"/>
    </w:r>
    <w:r w:rsidRPr="00361F5B">
      <w:rPr>
        <w:noProof/>
      </w:rPr>
      <w:t>4</w:t>
    </w:r>
    <w:r w:rsidRPr="00361F5B">
      <w:fldChar w:fldCharType="end"/>
    </w:r>
    <w:r w:rsidRPr="00361F5B">
      <w:t>/</w:t>
    </w:r>
    <w:r w:rsidR="008A382E">
      <w:fldChar w:fldCharType="begin"/>
    </w:r>
    <w:r w:rsidR="008A382E">
      <w:instrText xml:space="preserve"> NUMPAGES  \* MERGEFORMAT </w:instrText>
    </w:r>
    <w:r w:rsidR="008A382E">
      <w:fldChar w:fldCharType="separate"/>
    </w:r>
    <w:r w:rsidRPr="00361F5B">
      <w:rPr>
        <w:noProof/>
      </w:rPr>
      <w:t>4</w:t>
    </w:r>
    <w:r w:rsidR="008A382E">
      <w:rPr>
        <w:noProof/>
      </w:rPr>
      <w:fldChar w:fldCharType="end"/>
    </w:r>
    <w:r w:rsidRPr="00361F5B">
      <w:tab/>
    </w:r>
    <w:r w:rsidRPr="00361F5B">
      <w:rPr>
        <w:rStyle w:val="HideTWBExt"/>
      </w:rPr>
      <w:t>&lt;PathFdR&gt;</w:t>
    </w:r>
    <w:r w:rsidRPr="00361F5B">
      <w:t>RR\1298889CS.docx</w:t>
    </w:r>
    <w:r w:rsidRPr="00361F5B">
      <w:rPr>
        <w:rStyle w:val="HideTWBExt"/>
      </w:rPr>
      <w:t>&lt;/</w:t>
    </w:r>
    <w:proofErr w:type="spellStart"/>
    <w:r w:rsidRPr="00361F5B">
      <w:rPr>
        <w:rStyle w:val="HideTWBExt"/>
      </w:rPr>
      <w:t>PathFdR</w:t>
    </w:r>
    <w:proofErr w:type="spellEnd"/>
    <w:r w:rsidRPr="00361F5B">
      <w:rPr>
        <w:rStyle w:val="HideTWBExt"/>
      </w:rPr>
      <w:t>&gt;</w:t>
    </w:r>
  </w:p>
  <w:p w:rsidR="004057D0" w:rsidRPr="00361F5B" w:rsidRDefault="004057D0" w:rsidP="00A348F7">
    <w:pPr>
      <w:pStyle w:val="EPFooter2"/>
    </w:pPr>
    <w:r w:rsidRPr="00361F5B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057D0" w:rsidRPr="00361F5B" w:rsidRDefault="004057D0" w:rsidP="00A348F7">
    <w:pPr>
      <w:pStyle w:val="EPFooter"/>
    </w:pPr>
    <w:r w:rsidRPr="00361F5B">
      <w:rPr>
        <w:rStyle w:val="HideTWBExt"/>
      </w:rPr>
      <w:t>&lt;PathFdR&gt;</w:t>
    </w:r>
    <w:r w:rsidRPr="00361F5B">
      <w:t>RR\1298889CS.docx</w:t>
    </w:r>
    <w:r w:rsidRPr="00361F5B">
      <w:rPr>
        <w:rStyle w:val="HideTWBExt"/>
      </w:rPr>
      <w:t>&lt;/</w:t>
    </w:r>
    <w:proofErr w:type="spellStart"/>
    <w:r w:rsidRPr="00361F5B">
      <w:rPr>
        <w:rStyle w:val="HideTWBExt"/>
      </w:rPr>
      <w:t>PathFdR</w:t>
    </w:r>
    <w:proofErr w:type="spellEnd"/>
    <w:r w:rsidRPr="00361F5B">
      <w:rPr>
        <w:rStyle w:val="HideTWBExt"/>
      </w:rPr>
      <w:t>&gt;</w:t>
    </w:r>
    <w:r w:rsidRPr="00361F5B">
      <w:tab/>
    </w:r>
    <w:r w:rsidRPr="00361F5B">
      <w:tab/>
      <w:t>PE</w:t>
    </w:r>
    <w:r w:rsidRPr="00361F5B">
      <w:rPr>
        <w:rStyle w:val="HideTWBExt"/>
      </w:rPr>
      <w:t>&lt;</w:t>
    </w:r>
    <w:proofErr w:type="spellStart"/>
    <w:r w:rsidRPr="00361F5B">
      <w:rPr>
        <w:rStyle w:val="HideTWBExt"/>
      </w:rPr>
      <w:t>NoPE</w:t>
    </w:r>
    <w:proofErr w:type="spellEnd"/>
    <w:r w:rsidRPr="00361F5B">
      <w:rPr>
        <w:rStyle w:val="HideTWBExt"/>
      </w:rPr>
      <w:t>&gt;</w:t>
    </w:r>
    <w:r w:rsidRPr="00361F5B">
      <w:t>753.513</w:t>
    </w:r>
    <w:r w:rsidRPr="00361F5B">
      <w:rPr>
        <w:rStyle w:val="HideTWBExt"/>
      </w:rPr>
      <w:t>&lt;/</w:t>
    </w:r>
    <w:proofErr w:type="spellStart"/>
    <w:r w:rsidRPr="00361F5B">
      <w:rPr>
        <w:rStyle w:val="HideTWBExt"/>
      </w:rPr>
      <w:t>NoPE</w:t>
    </w:r>
    <w:proofErr w:type="spellEnd"/>
    <w:r w:rsidRPr="00361F5B">
      <w:rPr>
        <w:rStyle w:val="HideTWBExt"/>
      </w:rPr>
      <w:t>&gt;&lt;Version&gt;</w:t>
    </w:r>
    <w:r w:rsidRPr="00361F5B">
      <w:t>v02-00</w:t>
    </w:r>
    <w:r w:rsidRPr="00361F5B">
      <w:rPr>
        <w:rStyle w:val="HideTWBExt"/>
      </w:rPr>
      <w:t>&lt;/</w:t>
    </w:r>
    <w:proofErr w:type="spellStart"/>
    <w:r w:rsidRPr="00361F5B">
      <w:rPr>
        <w:rStyle w:val="HideTWBExt"/>
      </w:rPr>
      <w:t>Version</w:t>
    </w:r>
    <w:proofErr w:type="spellEnd"/>
    <w:r w:rsidRPr="00361F5B">
      <w:rPr>
        <w:rStyle w:val="HideTWBExt"/>
      </w:rPr>
      <w:t>&gt;</w:t>
    </w:r>
  </w:p>
  <w:p w:rsidR="004057D0" w:rsidRPr="00361F5B" w:rsidRDefault="004057D0" w:rsidP="00A348F7">
    <w:pPr>
      <w:pStyle w:val="EPFooter2"/>
    </w:pPr>
    <w:r w:rsidRPr="00361F5B">
      <w:t>CS</w:t>
    </w:r>
    <w:r w:rsidRPr="00361F5B">
      <w:tab/>
    </w:r>
    <w:r w:rsidRPr="00361F5B">
      <w:rPr>
        <w:b w:val="0"/>
        <w:i/>
        <w:color w:val="C0C0C0"/>
        <w:sz w:val="22"/>
      </w:rPr>
      <w:t>Jednotná v rozmanitosti</w:t>
    </w:r>
    <w:r w:rsidRPr="00361F5B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61F5B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61F5B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61F5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1D16" w:rsidRPr="00361F5B" w:rsidRDefault="004F1D16">
      <w:r w:rsidRPr="00361F5B">
        <w:separator/>
      </w:r>
    </w:p>
  </w:footnote>
  <w:footnote w:type="continuationSeparator" w:id="0">
    <w:p w:rsidR="004F1D16" w:rsidRPr="00361F5B" w:rsidRDefault="004F1D16">
      <w:r w:rsidRPr="00361F5B">
        <w:continuationSeparator/>
      </w:r>
    </w:p>
  </w:footnote>
  <w:footnote w:id="1">
    <w:p w:rsidR="004057D0" w:rsidRPr="00361F5B" w:rsidRDefault="004057D0" w:rsidP="00361F5B">
      <w:pPr>
        <w:pStyle w:val="FootnoteText"/>
        <w:ind w:left="567" w:hanging="567"/>
        <w:rPr>
          <w:sz w:val="24"/>
          <w:lang w:val="cs-CZ"/>
        </w:rPr>
      </w:pPr>
      <w:r w:rsidRPr="00361F5B">
        <w:rPr>
          <w:rStyle w:val="FootnoteReference"/>
          <w:sz w:val="24"/>
          <w:lang w:val="cs-CZ"/>
        </w:rPr>
        <w:footnoteRef/>
      </w:r>
      <w:r w:rsidR="00361F5B" w:rsidRPr="00361F5B">
        <w:rPr>
          <w:sz w:val="24"/>
          <w:lang w:val="cs-CZ"/>
        </w:rPr>
        <w:t xml:space="preserve"> </w:t>
      </w:r>
      <w:r w:rsidR="00361F5B" w:rsidRPr="00361F5B">
        <w:rPr>
          <w:sz w:val="24"/>
          <w:lang w:val="cs-CZ"/>
        </w:rPr>
        <w:tab/>
      </w:r>
      <w:proofErr w:type="spellStart"/>
      <w:r w:rsidRPr="00361F5B">
        <w:rPr>
          <w:sz w:val="24"/>
          <w:lang w:val="cs-CZ"/>
        </w:rPr>
        <w:t>Úř</w:t>
      </w:r>
      <w:proofErr w:type="spellEnd"/>
      <w:r w:rsidRPr="00361F5B">
        <w:rPr>
          <w:sz w:val="24"/>
          <w:lang w:val="cs-CZ"/>
        </w:rPr>
        <w:t xml:space="preserve">. </w:t>
      </w:r>
      <w:proofErr w:type="spellStart"/>
      <w:proofErr w:type="gramStart"/>
      <w:r w:rsidRPr="00361F5B">
        <w:rPr>
          <w:sz w:val="24"/>
          <w:lang w:val="cs-CZ"/>
        </w:rPr>
        <w:t>věst</w:t>
      </w:r>
      <w:proofErr w:type="spellEnd"/>
      <w:proofErr w:type="gramEnd"/>
      <w:r w:rsidRPr="00361F5B">
        <w:rPr>
          <w:sz w:val="24"/>
          <w:lang w:val="cs-CZ"/>
        </w:rPr>
        <w:t xml:space="preserve">. C, C/2023/594, </w:t>
      </w:r>
      <w:proofErr w:type="gramStart"/>
      <w:r w:rsidRPr="00361F5B">
        <w:rPr>
          <w:sz w:val="24"/>
          <w:lang w:val="cs-CZ"/>
        </w:rPr>
        <w:t>27.10.2023</w:t>
      </w:r>
      <w:proofErr w:type="gramEnd"/>
      <w:r w:rsidRPr="00361F5B">
        <w:rPr>
          <w:sz w:val="24"/>
          <w:lang w:val="cs-CZ"/>
        </w:rPr>
        <w:t>.</w:t>
      </w:r>
    </w:p>
  </w:footnote>
  <w:footnote w:id="2">
    <w:p w:rsidR="004057D0" w:rsidRPr="00361F5B" w:rsidRDefault="004057D0" w:rsidP="00361F5B">
      <w:pPr>
        <w:pStyle w:val="FootnoteText"/>
        <w:ind w:left="567" w:hanging="567"/>
        <w:rPr>
          <w:sz w:val="24"/>
          <w:lang w:val="cs-CZ"/>
        </w:rPr>
      </w:pPr>
      <w:r w:rsidRPr="00361F5B">
        <w:rPr>
          <w:rStyle w:val="FootnoteReference"/>
          <w:sz w:val="24"/>
          <w:lang w:val="cs-CZ"/>
        </w:rPr>
        <w:footnoteRef/>
      </w:r>
      <w:r w:rsidR="00361F5B" w:rsidRPr="00361F5B">
        <w:rPr>
          <w:sz w:val="24"/>
          <w:lang w:val="cs-CZ"/>
        </w:rPr>
        <w:t xml:space="preserve"> </w:t>
      </w:r>
      <w:r w:rsidR="00361F5B" w:rsidRPr="00361F5B">
        <w:rPr>
          <w:sz w:val="24"/>
          <w:lang w:val="cs-CZ"/>
        </w:rPr>
        <w:tab/>
      </w:r>
      <w:proofErr w:type="spellStart"/>
      <w:r w:rsidRPr="00361F5B">
        <w:rPr>
          <w:sz w:val="24"/>
          <w:lang w:val="cs-CZ"/>
        </w:rPr>
        <w:t>Úř</w:t>
      </w:r>
      <w:proofErr w:type="spellEnd"/>
      <w:r w:rsidRPr="00361F5B">
        <w:rPr>
          <w:sz w:val="24"/>
          <w:lang w:val="cs-CZ"/>
        </w:rPr>
        <w:t xml:space="preserve">. </w:t>
      </w:r>
      <w:proofErr w:type="spellStart"/>
      <w:proofErr w:type="gramStart"/>
      <w:r w:rsidRPr="00361F5B">
        <w:rPr>
          <w:sz w:val="24"/>
          <w:lang w:val="cs-CZ"/>
        </w:rPr>
        <w:t>věst</w:t>
      </w:r>
      <w:proofErr w:type="spellEnd"/>
      <w:proofErr w:type="gramEnd"/>
      <w:r w:rsidRPr="00361F5B">
        <w:rPr>
          <w:sz w:val="24"/>
          <w:lang w:val="cs-CZ"/>
        </w:rPr>
        <w:t xml:space="preserve">. C, C/2023/112, </w:t>
      </w:r>
      <w:proofErr w:type="gramStart"/>
      <w:r w:rsidRPr="00361F5B">
        <w:rPr>
          <w:sz w:val="24"/>
          <w:lang w:val="cs-CZ"/>
        </w:rPr>
        <w:t>12.10.2023</w:t>
      </w:r>
      <w:proofErr w:type="gramEnd"/>
      <w:r w:rsidRPr="00361F5B">
        <w:rPr>
          <w:sz w:val="24"/>
          <w:lang w:val="cs-CZ"/>
        </w:rPr>
        <w:t>.</w:t>
      </w:r>
    </w:p>
  </w:footnote>
  <w:footnote w:id="3">
    <w:p w:rsidR="004057D0" w:rsidRPr="00361F5B" w:rsidRDefault="004057D0" w:rsidP="00361F5B">
      <w:pPr>
        <w:pStyle w:val="FootnoteText"/>
        <w:ind w:left="567" w:hanging="567"/>
        <w:rPr>
          <w:sz w:val="24"/>
          <w:lang w:val="cs-CZ"/>
        </w:rPr>
      </w:pPr>
      <w:r w:rsidRPr="00361F5B">
        <w:rPr>
          <w:rStyle w:val="FootnoteReference"/>
          <w:sz w:val="24"/>
          <w:lang w:val="cs-CZ"/>
        </w:rPr>
        <w:footnoteRef/>
      </w:r>
      <w:r w:rsidR="00361F5B" w:rsidRPr="00361F5B">
        <w:rPr>
          <w:sz w:val="24"/>
          <w:lang w:val="cs-CZ"/>
        </w:rPr>
        <w:t xml:space="preserve"> </w:t>
      </w:r>
      <w:r w:rsidR="00361F5B" w:rsidRPr="00361F5B">
        <w:rPr>
          <w:sz w:val="24"/>
          <w:lang w:val="cs-CZ"/>
        </w:rPr>
        <w:tab/>
      </w:r>
      <w:proofErr w:type="spellStart"/>
      <w:r w:rsidRPr="00361F5B">
        <w:rPr>
          <w:sz w:val="24"/>
          <w:lang w:val="cs-CZ"/>
        </w:rPr>
        <w:t>Úř</w:t>
      </w:r>
      <w:proofErr w:type="spellEnd"/>
      <w:r w:rsidRPr="00361F5B">
        <w:rPr>
          <w:sz w:val="24"/>
          <w:lang w:val="cs-CZ"/>
        </w:rPr>
        <w:t xml:space="preserve">. </w:t>
      </w:r>
      <w:proofErr w:type="spellStart"/>
      <w:proofErr w:type="gramStart"/>
      <w:r w:rsidRPr="00361F5B">
        <w:rPr>
          <w:sz w:val="24"/>
          <w:lang w:val="cs-CZ"/>
        </w:rPr>
        <w:t>věst</w:t>
      </w:r>
      <w:proofErr w:type="spellEnd"/>
      <w:proofErr w:type="gramEnd"/>
      <w:r w:rsidRPr="00361F5B">
        <w:rPr>
          <w:sz w:val="24"/>
          <w:lang w:val="cs-CZ"/>
        </w:rPr>
        <w:t xml:space="preserve">. L 193, </w:t>
      </w:r>
      <w:proofErr w:type="gramStart"/>
      <w:r w:rsidRPr="00361F5B">
        <w:rPr>
          <w:sz w:val="24"/>
          <w:lang w:val="cs-CZ"/>
        </w:rPr>
        <w:t>30.7.2018</w:t>
      </w:r>
      <w:proofErr w:type="gramEnd"/>
      <w:r w:rsidRPr="00361F5B">
        <w:rPr>
          <w:sz w:val="24"/>
          <w:lang w:val="cs-CZ"/>
        </w:rPr>
        <w:t>, s. 1.</w:t>
      </w:r>
    </w:p>
  </w:footnote>
  <w:footnote w:id="4">
    <w:p w:rsidR="004057D0" w:rsidRPr="00361F5B" w:rsidRDefault="004057D0" w:rsidP="00361F5B">
      <w:pPr>
        <w:pStyle w:val="FootnoteText"/>
        <w:ind w:left="567" w:hanging="567"/>
        <w:rPr>
          <w:sz w:val="24"/>
          <w:lang w:val="cs-CZ"/>
        </w:rPr>
      </w:pPr>
      <w:r w:rsidRPr="00361F5B">
        <w:rPr>
          <w:rStyle w:val="FootnoteReference"/>
          <w:sz w:val="24"/>
          <w:lang w:val="cs-CZ"/>
        </w:rPr>
        <w:footnoteRef/>
      </w:r>
      <w:r w:rsidR="00361F5B" w:rsidRPr="00361F5B">
        <w:rPr>
          <w:sz w:val="24"/>
          <w:lang w:val="cs-CZ"/>
        </w:rPr>
        <w:t xml:space="preserve"> </w:t>
      </w:r>
      <w:r w:rsidR="00361F5B" w:rsidRPr="00361F5B">
        <w:rPr>
          <w:sz w:val="24"/>
          <w:lang w:val="cs-CZ"/>
        </w:rPr>
        <w:tab/>
      </w:r>
      <w:proofErr w:type="spellStart"/>
      <w:r w:rsidRPr="00361F5B">
        <w:rPr>
          <w:sz w:val="24"/>
          <w:lang w:val="cs-CZ"/>
        </w:rPr>
        <w:t>Úř</w:t>
      </w:r>
      <w:proofErr w:type="spellEnd"/>
      <w:r w:rsidRPr="00361F5B">
        <w:rPr>
          <w:sz w:val="24"/>
          <w:lang w:val="cs-CZ"/>
        </w:rPr>
        <w:t xml:space="preserve">. </w:t>
      </w:r>
      <w:proofErr w:type="spellStart"/>
      <w:proofErr w:type="gramStart"/>
      <w:r w:rsidRPr="00361F5B">
        <w:rPr>
          <w:sz w:val="24"/>
          <w:lang w:val="cs-CZ"/>
        </w:rPr>
        <w:t>věst</w:t>
      </w:r>
      <w:proofErr w:type="spellEnd"/>
      <w:proofErr w:type="gramEnd"/>
      <w:r w:rsidRPr="00361F5B">
        <w:rPr>
          <w:sz w:val="24"/>
          <w:lang w:val="cs-CZ"/>
        </w:rPr>
        <w:t xml:space="preserve">. L 331, </w:t>
      </w:r>
      <w:proofErr w:type="gramStart"/>
      <w:r w:rsidRPr="00361F5B">
        <w:rPr>
          <w:sz w:val="24"/>
          <w:lang w:val="cs-CZ"/>
        </w:rPr>
        <w:t>15.12.2010</w:t>
      </w:r>
      <w:proofErr w:type="gramEnd"/>
      <w:r w:rsidRPr="00361F5B">
        <w:rPr>
          <w:sz w:val="24"/>
          <w:lang w:val="cs-CZ"/>
        </w:rPr>
        <w:t>, s. 12.</w:t>
      </w:r>
    </w:p>
  </w:footnote>
  <w:footnote w:id="5">
    <w:p w:rsidR="004057D0" w:rsidRPr="00361F5B" w:rsidRDefault="004057D0" w:rsidP="00361F5B">
      <w:pPr>
        <w:pStyle w:val="FootnoteText"/>
        <w:ind w:left="567" w:hanging="567"/>
        <w:rPr>
          <w:sz w:val="24"/>
          <w:lang w:val="cs-CZ"/>
        </w:rPr>
      </w:pPr>
      <w:r w:rsidRPr="00361F5B">
        <w:rPr>
          <w:rStyle w:val="FootnoteReference"/>
          <w:sz w:val="24"/>
          <w:lang w:val="cs-CZ"/>
        </w:rPr>
        <w:footnoteRef/>
      </w:r>
      <w:r w:rsidR="00361F5B" w:rsidRPr="00361F5B">
        <w:rPr>
          <w:sz w:val="24"/>
          <w:lang w:val="cs-CZ"/>
        </w:rPr>
        <w:t xml:space="preserve"> </w:t>
      </w:r>
      <w:r w:rsidR="00361F5B" w:rsidRPr="00361F5B">
        <w:rPr>
          <w:sz w:val="24"/>
          <w:lang w:val="cs-CZ"/>
        </w:rPr>
        <w:tab/>
      </w:r>
      <w:proofErr w:type="spellStart"/>
      <w:r w:rsidRPr="00361F5B">
        <w:rPr>
          <w:sz w:val="24"/>
          <w:lang w:val="cs-CZ"/>
        </w:rPr>
        <w:t>Úř</w:t>
      </w:r>
      <w:proofErr w:type="spellEnd"/>
      <w:r w:rsidRPr="00361F5B">
        <w:rPr>
          <w:sz w:val="24"/>
          <w:lang w:val="cs-CZ"/>
        </w:rPr>
        <w:t xml:space="preserve">. </w:t>
      </w:r>
      <w:proofErr w:type="spellStart"/>
      <w:proofErr w:type="gramStart"/>
      <w:r w:rsidRPr="00361F5B">
        <w:rPr>
          <w:sz w:val="24"/>
          <w:lang w:val="cs-CZ"/>
        </w:rPr>
        <w:t>věst</w:t>
      </w:r>
      <w:proofErr w:type="spellEnd"/>
      <w:proofErr w:type="gramEnd"/>
      <w:r w:rsidRPr="00361F5B">
        <w:rPr>
          <w:sz w:val="24"/>
          <w:lang w:val="cs-CZ"/>
        </w:rPr>
        <w:t xml:space="preserve">. L 122, </w:t>
      </w:r>
      <w:proofErr w:type="gramStart"/>
      <w:r w:rsidRPr="00361F5B">
        <w:rPr>
          <w:sz w:val="24"/>
          <w:lang w:val="cs-CZ"/>
        </w:rPr>
        <w:t>10.5.2019</w:t>
      </w:r>
      <w:proofErr w:type="gramEnd"/>
      <w:r w:rsidRPr="00361F5B">
        <w:rPr>
          <w:sz w:val="24"/>
          <w:lang w:val="cs-CZ"/>
        </w:rPr>
        <w:t>, s. 1.</w:t>
      </w:r>
    </w:p>
  </w:footnote>
  <w:footnote w:id="6">
    <w:p w:rsidR="004057D0" w:rsidRPr="00361F5B" w:rsidRDefault="004057D0" w:rsidP="00361F5B">
      <w:pPr>
        <w:pStyle w:val="FootnoteText"/>
        <w:ind w:left="567" w:hanging="567"/>
        <w:rPr>
          <w:sz w:val="24"/>
          <w:lang w:val="cs-CZ"/>
        </w:rPr>
      </w:pPr>
      <w:r w:rsidRPr="00361F5B">
        <w:rPr>
          <w:rStyle w:val="FootnoteReference"/>
          <w:sz w:val="24"/>
          <w:lang w:val="cs-CZ"/>
        </w:rPr>
        <w:footnoteRef/>
      </w:r>
      <w:r w:rsidR="00361F5B" w:rsidRPr="00361F5B">
        <w:rPr>
          <w:sz w:val="24"/>
          <w:lang w:val="cs-CZ"/>
        </w:rPr>
        <w:t xml:space="preserve"> </w:t>
      </w:r>
      <w:r w:rsidR="00361F5B" w:rsidRPr="00361F5B">
        <w:rPr>
          <w:sz w:val="24"/>
          <w:lang w:val="cs-CZ"/>
        </w:rPr>
        <w:tab/>
      </w:r>
      <w:proofErr w:type="spellStart"/>
      <w:r w:rsidRPr="00361F5B">
        <w:rPr>
          <w:sz w:val="24"/>
          <w:lang w:val="cs-CZ"/>
        </w:rPr>
        <w:t>Úř</w:t>
      </w:r>
      <w:proofErr w:type="spellEnd"/>
      <w:r w:rsidRPr="00361F5B">
        <w:rPr>
          <w:sz w:val="24"/>
          <w:lang w:val="cs-CZ"/>
        </w:rPr>
        <w:t xml:space="preserve">. </w:t>
      </w:r>
      <w:proofErr w:type="spellStart"/>
      <w:proofErr w:type="gramStart"/>
      <w:r w:rsidRPr="00361F5B">
        <w:rPr>
          <w:sz w:val="24"/>
          <w:lang w:val="cs-CZ"/>
        </w:rPr>
        <w:t>věst</w:t>
      </w:r>
      <w:proofErr w:type="spellEnd"/>
      <w:proofErr w:type="gramEnd"/>
      <w:r w:rsidRPr="00361F5B">
        <w:rPr>
          <w:sz w:val="24"/>
          <w:lang w:val="cs-CZ"/>
        </w:rPr>
        <w:t xml:space="preserve">. C, C/2023/594, </w:t>
      </w:r>
      <w:proofErr w:type="gramStart"/>
      <w:r w:rsidRPr="00361F5B">
        <w:rPr>
          <w:sz w:val="24"/>
          <w:lang w:val="cs-CZ"/>
        </w:rPr>
        <w:t>27.10.2023</w:t>
      </w:r>
      <w:proofErr w:type="gramEnd"/>
      <w:r w:rsidRPr="00361F5B">
        <w:rPr>
          <w:sz w:val="24"/>
          <w:lang w:val="cs-CZ"/>
        </w:rPr>
        <w:t>.</w:t>
      </w:r>
    </w:p>
  </w:footnote>
  <w:footnote w:id="7">
    <w:p w:rsidR="004057D0" w:rsidRPr="00361F5B" w:rsidRDefault="004057D0" w:rsidP="00361F5B">
      <w:pPr>
        <w:pStyle w:val="FootnoteText"/>
        <w:ind w:left="567" w:hanging="567"/>
        <w:rPr>
          <w:sz w:val="24"/>
          <w:lang w:val="cs-CZ"/>
        </w:rPr>
      </w:pPr>
      <w:r w:rsidRPr="00361F5B">
        <w:rPr>
          <w:rStyle w:val="FootnoteReference"/>
          <w:sz w:val="24"/>
          <w:lang w:val="cs-CZ"/>
        </w:rPr>
        <w:footnoteRef/>
      </w:r>
      <w:r w:rsidR="00361F5B" w:rsidRPr="00361F5B">
        <w:rPr>
          <w:sz w:val="24"/>
          <w:lang w:val="cs-CZ"/>
        </w:rPr>
        <w:t xml:space="preserve"> </w:t>
      </w:r>
      <w:r w:rsidR="00361F5B" w:rsidRPr="00361F5B">
        <w:rPr>
          <w:sz w:val="24"/>
          <w:lang w:val="cs-CZ"/>
        </w:rPr>
        <w:tab/>
      </w:r>
      <w:proofErr w:type="spellStart"/>
      <w:r w:rsidRPr="00361F5B">
        <w:rPr>
          <w:sz w:val="24"/>
          <w:lang w:val="cs-CZ"/>
        </w:rPr>
        <w:t>Úř</w:t>
      </w:r>
      <w:proofErr w:type="spellEnd"/>
      <w:r w:rsidRPr="00361F5B">
        <w:rPr>
          <w:sz w:val="24"/>
          <w:lang w:val="cs-CZ"/>
        </w:rPr>
        <w:t xml:space="preserve">. </w:t>
      </w:r>
      <w:proofErr w:type="spellStart"/>
      <w:proofErr w:type="gramStart"/>
      <w:r w:rsidRPr="00361F5B">
        <w:rPr>
          <w:sz w:val="24"/>
          <w:lang w:val="cs-CZ"/>
        </w:rPr>
        <w:t>věst</w:t>
      </w:r>
      <w:proofErr w:type="spellEnd"/>
      <w:proofErr w:type="gramEnd"/>
      <w:r w:rsidRPr="00361F5B">
        <w:rPr>
          <w:sz w:val="24"/>
          <w:lang w:val="cs-CZ"/>
        </w:rPr>
        <w:t xml:space="preserve">. C, C/2023/112, </w:t>
      </w:r>
      <w:proofErr w:type="gramStart"/>
      <w:r w:rsidRPr="00361F5B">
        <w:rPr>
          <w:sz w:val="24"/>
          <w:lang w:val="cs-CZ"/>
        </w:rPr>
        <w:t>12.10.2023</w:t>
      </w:r>
      <w:proofErr w:type="gramEnd"/>
      <w:r w:rsidRPr="00361F5B">
        <w:rPr>
          <w:sz w:val="24"/>
          <w:lang w:val="cs-CZ"/>
        </w:rPr>
        <w:t>.</w:t>
      </w:r>
    </w:p>
  </w:footnote>
  <w:footnote w:id="8">
    <w:p w:rsidR="004057D0" w:rsidRPr="00361F5B" w:rsidRDefault="004057D0" w:rsidP="00361F5B">
      <w:pPr>
        <w:pStyle w:val="FootnoteText"/>
        <w:ind w:left="567" w:hanging="567"/>
        <w:rPr>
          <w:sz w:val="24"/>
          <w:lang w:val="cs-CZ"/>
        </w:rPr>
      </w:pPr>
      <w:r w:rsidRPr="00361F5B">
        <w:rPr>
          <w:rStyle w:val="FootnoteReference"/>
          <w:sz w:val="24"/>
          <w:lang w:val="cs-CZ"/>
        </w:rPr>
        <w:footnoteRef/>
      </w:r>
      <w:r w:rsidR="00361F5B" w:rsidRPr="00361F5B">
        <w:rPr>
          <w:sz w:val="24"/>
          <w:lang w:val="cs-CZ"/>
        </w:rPr>
        <w:t xml:space="preserve"> </w:t>
      </w:r>
      <w:r w:rsidR="00361F5B" w:rsidRPr="00361F5B">
        <w:rPr>
          <w:sz w:val="24"/>
          <w:lang w:val="cs-CZ"/>
        </w:rPr>
        <w:tab/>
      </w:r>
      <w:proofErr w:type="spellStart"/>
      <w:r w:rsidRPr="00361F5B">
        <w:rPr>
          <w:sz w:val="24"/>
          <w:lang w:val="cs-CZ"/>
        </w:rPr>
        <w:t>Úř</w:t>
      </w:r>
      <w:proofErr w:type="spellEnd"/>
      <w:r w:rsidRPr="00361F5B">
        <w:rPr>
          <w:sz w:val="24"/>
          <w:lang w:val="cs-CZ"/>
        </w:rPr>
        <w:t xml:space="preserve">. </w:t>
      </w:r>
      <w:proofErr w:type="spellStart"/>
      <w:proofErr w:type="gramStart"/>
      <w:r w:rsidRPr="00361F5B">
        <w:rPr>
          <w:sz w:val="24"/>
          <w:lang w:val="cs-CZ"/>
        </w:rPr>
        <w:t>věst</w:t>
      </w:r>
      <w:proofErr w:type="spellEnd"/>
      <w:proofErr w:type="gramEnd"/>
      <w:r w:rsidRPr="00361F5B">
        <w:rPr>
          <w:sz w:val="24"/>
          <w:lang w:val="cs-CZ"/>
        </w:rPr>
        <w:t xml:space="preserve">. L 193, </w:t>
      </w:r>
      <w:proofErr w:type="gramStart"/>
      <w:r w:rsidRPr="00361F5B">
        <w:rPr>
          <w:sz w:val="24"/>
          <w:lang w:val="cs-CZ"/>
        </w:rPr>
        <w:t>30.7.2018</w:t>
      </w:r>
      <w:proofErr w:type="gramEnd"/>
      <w:r w:rsidRPr="00361F5B">
        <w:rPr>
          <w:sz w:val="24"/>
          <w:lang w:val="cs-CZ"/>
        </w:rPr>
        <w:t>, s. 1.</w:t>
      </w:r>
    </w:p>
  </w:footnote>
  <w:footnote w:id="9">
    <w:p w:rsidR="004057D0" w:rsidRPr="00361F5B" w:rsidRDefault="004057D0" w:rsidP="00361F5B">
      <w:pPr>
        <w:pStyle w:val="FootnoteText"/>
        <w:ind w:left="567" w:hanging="567"/>
        <w:rPr>
          <w:sz w:val="24"/>
          <w:lang w:val="cs-CZ"/>
        </w:rPr>
      </w:pPr>
      <w:r w:rsidRPr="00361F5B">
        <w:rPr>
          <w:rStyle w:val="FootnoteReference"/>
          <w:sz w:val="24"/>
          <w:lang w:val="cs-CZ"/>
        </w:rPr>
        <w:footnoteRef/>
      </w:r>
      <w:r w:rsidR="00361F5B" w:rsidRPr="00361F5B">
        <w:rPr>
          <w:sz w:val="24"/>
          <w:lang w:val="cs-CZ"/>
        </w:rPr>
        <w:t xml:space="preserve"> </w:t>
      </w:r>
      <w:r w:rsidR="00361F5B" w:rsidRPr="00361F5B">
        <w:rPr>
          <w:sz w:val="24"/>
          <w:lang w:val="cs-CZ"/>
        </w:rPr>
        <w:tab/>
      </w:r>
      <w:proofErr w:type="spellStart"/>
      <w:r w:rsidRPr="00361F5B">
        <w:rPr>
          <w:sz w:val="24"/>
          <w:lang w:val="cs-CZ"/>
        </w:rPr>
        <w:t>Úř</w:t>
      </w:r>
      <w:proofErr w:type="spellEnd"/>
      <w:r w:rsidRPr="00361F5B">
        <w:rPr>
          <w:sz w:val="24"/>
          <w:lang w:val="cs-CZ"/>
        </w:rPr>
        <w:t xml:space="preserve">. </w:t>
      </w:r>
      <w:proofErr w:type="spellStart"/>
      <w:proofErr w:type="gramStart"/>
      <w:r w:rsidRPr="00361F5B">
        <w:rPr>
          <w:sz w:val="24"/>
          <w:lang w:val="cs-CZ"/>
        </w:rPr>
        <w:t>věst</w:t>
      </w:r>
      <w:proofErr w:type="spellEnd"/>
      <w:proofErr w:type="gramEnd"/>
      <w:r w:rsidRPr="00361F5B">
        <w:rPr>
          <w:sz w:val="24"/>
          <w:lang w:val="cs-CZ"/>
        </w:rPr>
        <w:t xml:space="preserve">. L 331, </w:t>
      </w:r>
      <w:proofErr w:type="gramStart"/>
      <w:r w:rsidRPr="00361F5B">
        <w:rPr>
          <w:sz w:val="24"/>
          <w:lang w:val="cs-CZ"/>
        </w:rPr>
        <w:t>15.12.2010</w:t>
      </w:r>
      <w:proofErr w:type="gramEnd"/>
      <w:r w:rsidRPr="00361F5B">
        <w:rPr>
          <w:sz w:val="24"/>
          <w:lang w:val="cs-CZ"/>
        </w:rPr>
        <w:t>, s. 12.</w:t>
      </w:r>
    </w:p>
  </w:footnote>
  <w:footnote w:id="10">
    <w:p w:rsidR="004057D0" w:rsidRPr="00361F5B" w:rsidRDefault="004057D0" w:rsidP="00361F5B">
      <w:pPr>
        <w:pStyle w:val="FootnoteText"/>
        <w:ind w:left="567" w:hanging="567"/>
        <w:rPr>
          <w:sz w:val="24"/>
          <w:lang w:val="cs-CZ"/>
        </w:rPr>
      </w:pPr>
      <w:r w:rsidRPr="00361F5B">
        <w:rPr>
          <w:rStyle w:val="FootnoteReference"/>
          <w:sz w:val="24"/>
          <w:lang w:val="cs-CZ"/>
        </w:rPr>
        <w:footnoteRef/>
      </w:r>
      <w:r w:rsidR="00361F5B" w:rsidRPr="00361F5B">
        <w:rPr>
          <w:sz w:val="24"/>
          <w:lang w:val="cs-CZ"/>
        </w:rPr>
        <w:t xml:space="preserve"> </w:t>
      </w:r>
      <w:r w:rsidR="00361F5B" w:rsidRPr="00361F5B">
        <w:rPr>
          <w:sz w:val="24"/>
          <w:lang w:val="cs-CZ"/>
        </w:rPr>
        <w:tab/>
      </w:r>
      <w:proofErr w:type="spellStart"/>
      <w:r w:rsidRPr="00361F5B">
        <w:rPr>
          <w:sz w:val="24"/>
          <w:lang w:val="cs-CZ"/>
        </w:rPr>
        <w:t>Úř</w:t>
      </w:r>
      <w:proofErr w:type="spellEnd"/>
      <w:r w:rsidRPr="00361F5B">
        <w:rPr>
          <w:sz w:val="24"/>
          <w:lang w:val="cs-CZ"/>
        </w:rPr>
        <w:t xml:space="preserve">. </w:t>
      </w:r>
      <w:proofErr w:type="spellStart"/>
      <w:proofErr w:type="gramStart"/>
      <w:r w:rsidRPr="00361F5B">
        <w:rPr>
          <w:sz w:val="24"/>
          <w:lang w:val="cs-CZ"/>
        </w:rPr>
        <w:t>věst</w:t>
      </w:r>
      <w:proofErr w:type="spellEnd"/>
      <w:proofErr w:type="gramEnd"/>
      <w:r w:rsidRPr="00361F5B">
        <w:rPr>
          <w:sz w:val="24"/>
          <w:lang w:val="cs-CZ"/>
        </w:rPr>
        <w:t xml:space="preserve">. L 122, </w:t>
      </w:r>
      <w:proofErr w:type="gramStart"/>
      <w:r w:rsidRPr="00361F5B">
        <w:rPr>
          <w:sz w:val="24"/>
          <w:lang w:val="cs-CZ"/>
        </w:rPr>
        <w:t>10.5.2019</w:t>
      </w:r>
      <w:proofErr w:type="gramEnd"/>
      <w:r w:rsidRPr="00361F5B">
        <w:rPr>
          <w:sz w:val="24"/>
          <w:lang w:val="cs-CZ"/>
        </w:rPr>
        <w:t>, s. 1.</w:t>
      </w:r>
    </w:p>
  </w:footnote>
  <w:footnote w:id="11">
    <w:p w:rsidR="004057D0" w:rsidRPr="00361F5B" w:rsidRDefault="004057D0" w:rsidP="00361F5B">
      <w:pPr>
        <w:pStyle w:val="FootnoteText"/>
        <w:ind w:left="567" w:hanging="567"/>
        <w:rPr>
          <w:sz w:val="24"/>
          <w:lang w:val="cs-CZ"/>
        </w:rPr>
      </w:pPr>
      <w:r w:rsidRPr="00361F5B">
        <w:rPr>
          <w:rStyle w:val="FootnoteReference"/>
          <w:sz w:val="24"/>
          <w:lang w:val="cs-CZ"/>
        </w:rPr>
        <w:footnoteRef/>
      </w:r>
      <w:r w:rsidR="00361F5B" w:rsidRPr="00361F5B">
        <w:rPr>
          <w:sz w:val="24"/>
          <w:lang w:val="cs-CZ"/>
        </w:rPr>
        <w:t xml:space="preserve"> </w:t>
      </w:r>
      <w:r w:rsidR="00361F5B" w:rsidRPr="00361F5B">
        <w:rPr>
          <w:sz w:val="24"/>
          <w:lang w:val="cs-CZ"/>
        </w:rPr>
        <w:tab/>
      </w:r>
      <w:proofErr w:type="spellStart"/>
      <w:r w:rsidR="00BD156A">
        <w:rPr>
          <w:sz w:val="24"/>
          <w:lang w:val="cs-CZ"/>
        </w:rPr>
        <w:t>Úř</w:t>
      </w:r>
      <w:proofErr w:type="spellEnd"/>
      <w:r w:rsidR="00BD156A">
        <w:rPr>
          <w:sz w:val="24"/>
          <w:lang w:val="cs-CZ"/>
        </w:rPr>
        <w:t xml:space="preserve">. </w:t>
      </w:r>
      <w:proofErr w:type="spellStart"/>
      <w:proofErr w:type="gramStart"/>
      <w:r w:rsidR="00BD156A">
        <w:rPr>
          <w:sz w:val="24"/>
          <w:lang w:val="cs-CZ"/>
        </w:rPr>
        <w:t>věst</w:t>
      </w:r>
      <w:proofErr w:type="spellEnd"/>
      <w:proofErr w:type="gramEnd"/>
      <w:r w:rsidR="00BD156A">
        <w:rPr>
          <w:sz w:val="24"/>
          <w:lang w:val="cs-CZ"/>
        </w:rPr>
        <w:t>. C 73</w:t>
      </w:r>
      <w:r w:rsidRPr="00361F5B">
        <w:rPr>
          <w:sz w:val="24"/>
          <w:lang w:val="cs-CZ"/>
        </w:rPr>
        <w:t xml:space="preserve">, </w:t>
      </w:r>
      <w:proofErr w:type="gramStart"/>
      <w:r w:rsidRPr="00361F5B">
        <w:rPr>
          <w:sz w:val="24"/>
          <w:lang w:val="cs-CZ"/>
        </w:rPr>
        <w:t>28.2.2023</w:t>
      </w:r>
      <w:proofErr w:type="gramEnd"/>
      <w:r w:rsidRPr="00361F5B">
        <w:rPr>
          <w:sz w:val="24"/>
          <w:lang w:val="cs-CZ"/>
        </w:rPr>
        <w:t>, s. 102.</w:t>
      </w:r>
    </w:p>
  </w:footnote>
  <w:footnote w:id="12">
    <w:p w:rsidR="004057D0" w:rsidRPr="00361F5B" w:rsidRDefault="004057D0" w:rsidP="00361F5B">
      <w:pPr>
        <w:pStyle w:val="FootnoteText"/>
        <w:ind w:left="567" w:hanging="567"/>
        <w:rPr>
          <w:sz w:val="24"/>
          <w:lang w:val="cs-CZ"/>
        </w:rPr>
      </w:pPr>
      <w:r w:rsidRPr="00361F5B">
        <w:rPr>
          <w:rStyle w:val="FootnoteReference"/>
          <w:sz w:val="24"/>
          <w:lang w:val="cs-CZ"/>
        </w:rPr>
        <w:footnoteRef/>
      </w:r>
      <w:r w:rsidR="00361F5B" w:rsidRPr="00361F5B">
        <w:rPr>
          <w:sz w:val="24"/>
          <w:lang w:val="cs-CZ"/>
        </w:rPr>
        <w:t xml:space="preserve"> </w:t>
      </w:r>
      <w:r w:rsidR="00361F5B" w:rsidRPr="00361F5B">
        <w:rPr>
          <w:sz w:val="24"/>
          <w:lang w:val="cs-CZ"/>
        </w:rPr>
        <w:tab/>
      </w:r>
      <w:r w:rsidRPr="00361F5B">
        <w:rPr>
          <w:sz w:val="24"/>
          <w:lang w:val="cs-CZ"/>
        </w:rPr>
        <w:t>Nařízení Evropského parlamentu a Rady (EU) 2022/2554 ze dne 14. prosince 2022 o digitální provozní odolnosti finančního sektoru a o změně nařízení (ES) č. 1060/2009, (EU) č. 648/2012, (EU) č. 600/2014, (EU) č. 909/2014 a (EU) 2016/1011 (</w:t>
      </w:r>
      <w:proofErr w:type="spellStart"/>
      <w:r w:rsidRPr="00361F5B">
        <w:rPr>
          <w:sz w:val="24"/>
          <w:lang w:val="cs-CZ"/>
        </w:rPr>
        <w:t>Úř</w:t>
      </w:r>
      <w:proofErr w:type="spellEnd"/>
      <w:r w:rsidRPr="00361F5B">
        <w:rPr>
          <w:sz w:val="24"/>
          <w:lang w:val="cs-CZ"/>
        </w:rPr>
        <w:t xml:space="preserve">. </w:t>
      </w:r>
      <w:proofErr w:type="spellStart"/>
      <w:proofErr w:type="gramStart"/>
      <w:r w:rsidRPr="00361F5B">
        <w:rPr>
          <w:sz w:val="24"/>
          <w:lang w:val="cs-CZ"/>
        </w:rPr>
        <w:t>věst</w:t>
      </w:r>
      <w:proofErr w:type="spellEnd"/>
      <w:proofErr w:type="gramEnd"/>
      <w:r w:rsidRPr="00361F5B">
        <w:rPr>
          <w:sz w:val="24"/>
          <w:lang w:val="cs-CZ"/>
        </w:rPr>
        <w:t xml:space="preserve">. L 333, </w:t>
      </w:r>
      <w:proofErr w:type="gramStart"/>
      <w:r w:rsidRPr="00361F5B">
        <w:rPr>
          <w:sz w:val="24"/>
          <w:lang w:val="cs-CZ"/>
        </w:rPr>
        <w:t>27.12.2022</w:t>
      </w:r>
      <w:proofErr w:type="gramEnd"/>
      <w:r w:rsidRPr="00361F5B">
        <w:rPr>
          <w:sz w:val="24"/>
          <w:lang w:val="cs-CZ"/>
        </w:rPr>
        <w:t>, s. 1).</w:t>
      </w:r>
    </w:p>
  </w:footnote>
  <w:footnote w:id="13">
    <w:p w:rsidR="004057D0" w:rsidRPr="00361F5B" w:rsidRDefault="004057D0" w:rsidP="00361F5B">
      <w:pPr>
        <w:pStyle w:val="FootnoteText"/>
        <w:ind w:left="567" w:hanging="567"/>
        <w:rPr>
          <w:sz w:val="24"/>
          <w:lang w:val="cs-CZ"/>
        </w:rPr>
      </w:pPr>
      <w:r w:rsidRPr="00361F5B">
        <w:rPr>
          <w:rStyle w:val="FootnoteReference"/>
          <w:sz w:val="24"/>
          <w:lang w:val="cs-CZ"/>
        </w:rPr>
        <w:footnoteRef/>
      </w:r>
      <w:r w:rsidR="00361F5B" w:rsidRPr="00361F5B">
        <w:rPr>
          <w:sz w:val="24"/>
          <w:lang w:val="cs-CZ"/>
        </w:rPr>
        <w:t xml:space="preserve"> </w:t>
      </w:r>
      <w:r w:rsidR="00361F5B" w:rsidRPr="00361F5B">
        <w:rPr>
          <w:sz w:val="24"/>
          <w:lang w:val="cs-CZ"/>
        </w:rPr>
        <w:tab/>
      </w:r>
      <w:r w:rsidRPr="00361F5B">
        <w:rPr>
          <w:sz w:val="24"/>
          <w:lang w:val="cs-CZ"/>
        </w:rPr>
        <w:t>Směrnice Evropského parlamentu a Rady (EU) 2022/2556 ze dne 14. prosince 2022, kterou se mění směrnice 2009/65/ES, 2009/138/ES, 2011/61/EU, 2013/36/EU, 2014/59/EU, 2014/65/EU, (EU) 2015/2366 a (EU) 2016/2341, pokud jde o digitální provozní odolnost finančního sektoru (</w:t>
      </w:r>
      <w:proofErr w:type="spellStart"/>
      <w:r w:rsidRPr="00361F5B">
        <w:rPr>
          <w:sz w:val="24"/>
          <w:lang w:val="cs-CZ"/>
        </w:rPr>
        <w:t>Úř</w:t>
      </w:r>
      <w:proofErr w:type="spellEnd"/>
      <w:r w:rsidRPr="00361F5B">
        <w:rPr>
          <w:sz w:val="24"/>
          <w:lang w:val="cs-CZ"/>
        </w:rPr>
        <w:t>. </w:t>
      </w:r>
      <w:proofErr w:type="spellStart"/>
      <w:proofErr w:type="gramStart"/>
      <w:r w:rsidRPr="00361F5B">
        <w:rPr>
          <w:sz w:val="24"/>
          <w:lang w:val="cs-CZ"/>
        </w:rPr>
        <w:t>věst</w:t>
      </w:r>
      <w:proofErr w:type="spellEnd"/>
      <w:proofErr w:type="gramEnd"/>
      <w:r w:rsidRPr="00361F5B">
        <w:rPr>
          <w:sz w:val="24"/>
          <w:lang w:val="cs-CZ"/>
        </w:rPr>
        <w:t xml:space="preserve">. L 333, </w:t>
      </w:r>
      <w:proofErr w:type="gramStart"/>
      <w:r w:rsidRPr="00361F5B">
        <w:rPr>
          <w:sz w:val="24"/>
          <w:lang w:val="cs-CZ"/>
        </w:rPr>
        <w:t>27.12.2022</w:t>
      </w:r>
      <w:proofErr w:type="gramEnd"/>
      <w:r w:rsidRPr="00361F5B">
        <w:rPr>
          <w:sz w:val="24"/>
          <w:lang w:val="cs-CZ"/>
        </w:rPr>
        <w:t>, s. 153).</w:t>
      </w:r>
    </w:p>
  </w:footnote>
  <w:footnote w:id="14">
    <w:p w:rsidR="004057D0" w:rsidRPr="00361F5B" w:rsidRDefault="004057D0" w:rsidP="00361F5B">
      <w:pPr>
        <w:pStyle w:val="FootnoteText"/>
        <w:ind w:left="567" w:hanging="567"/>
        <w:rPr>
          <w:sz w:val="24"/>
          <w:lang w:val="cs-CZ"/>
        </w:rPr>
      </w:pPr>
      <w:r w:rsidRPr="00361F5B">
        <w:rPr>
          <w:rStyle w:val="FootnoteReference"/>
          <w:sz w:val="24"/>
          <w:lang w:val="cs-CZ"/>
        </w:rPr>
        <w:footnoteRef/>
      </w:r>
      <w:r w:rsidR="00361F5B" w:rsidRPr="00361F5B">
        <w:rPr>
          <w:sz w:val="24"/>
          <w:lang w:val="cs-CZ"/>
        </w:rPr>
        <w:t xml:space="preserve"> </w:t>
      </w:r>
      <w:r w:rsidR="00361F5B" w:rsidRPr="00361F5B">
        <w:rPr>
          <w:sz w:val="24"/>
          <w:lang w:val="cs-CZ"/>
        </w:rPr>
        <w:tab/>
      </w:r>
      <w:r w:rsidRPr="00361F5B">
        <w:rPr>
          <w:sz w:val="24"/>
          <w:lang w:val="cs-CZ"/>
        </w:rPr>
        <w:t xml:space="preserve">Nařízení Evropského parlamentu a Rady (EU) 2023/1114 ze dne 31. května 2023 o trzích </w:t>
      </w:r>
      <w:proofErr w:type="spellStart"/>
      <w:r w:rsidRPr="00361F5B">
        <w:rPr>
          <w:sz w:val="24"/>
          <w:lang w:val="cs-CZ"/>
        </w:rPr>
        <w:t>kryptoaktiv</w:t>
      </w:r>
      <w:proofErr w:type="spellEnd"/>
      <w:r w:rsidRPr="00361F5B">
        <w:rPr>
          <w:sz w:val="24"/>
          <w:lang w:val="cs-CZ"/>
        </w:rPr>
        <w:t xml:space="preserve"> a o změně nařízení (EU) č. 1093/2010 a (EU) č. 1095/2010 a směrnic 2013/36/EU a (EU) 2019/1937 (</w:t>
      </w:r>
      <w:proofErr w:type="spellStart"/>
      <w:r w:rsidRPr="00361F5B">
        <w:rPr>
          <w:sz w:val="24"/>
          <w:lang w:val="cs-CZ"/>
        </w:rPr>
        <w:t>Úř</w:t>
      </w:r>
      <w:proofErr w:type="spellEnd"/>
      <w:r w:rsidRPr="00361F5B">
        <w:rPr>
          <w:sz w:val="24"/>
          <w:lang w:val="cs-CZ"/>
        </w:rPr>
        <w:t>. </w:t>
      </w:r>
      <w:proofErr w:type="spellStart"/>
      <w:proofErr w:type="gramStart"/>
      <w:r w:rsidRPr="00361F5B">
        <w:rPr>
          <w:sz w:val="24"/>
          <w:lang w:val="cs-CZ"/>
        </w:rPr>
        <w:t>věst</w:t>
      </w:r>
      <w:proofErr w:type="spellEnd"/>
      <w:proofErr w:type="gramEnd"/>
      <w:r w:rsidRPr="00361F5B">
        <w:rPr>
          <w:sz w:val="24"/>
          <w:lang w:val="cs-CZ"/>
        </w:rPr>
        <w:t xml:space="preserve">. L 150, </w:t>
      </w:r>
      <w:proofErr w:type="gramStart"/>
      <w:r w:rsidRPr="00361F5B">
        <w:rPr>
          <w:sz w:val="24"/>
          <w:lang w:val="cs-CZ"/>
        </w:rPr>
        <w:t>9.6.2023</w:t>
      </w:r>
      <w:proofErr w:type="gramEnd"/>
      <w:r w:rsidRPr="00361F5B">
        <w:rPr>
          <w:sz w:val="24"/>
          <w:lang w:val="cs-CZ"/>
        </w:rPr>
        <w:t>, s. 40).</w:t>
      </w:r>
    </w:p>
  </w:footnote>
  <w:footnote w:id="15">
    <w:p w:rsidR="004057D0" w:rsidRPr="00361F5B" w:rsidRDefault="004057D0" w:rsidP="00361F5B">
      <w:pPr>
        <w:pStyle w:val="FootnoteText"/>
        <w:ind w:left="567" w:hanging="567"/>
        <w:rPr>
          <w:sz w:val="24"/>
          <w:lang w:val="cs-CZ"/>
        </w:rPr>
      </w:pPr>
      <w:r w:rsidRPr="00361F5B">
        <w:rPr>
          <w:rStyle w:val="FootnoteReference"/>
          <w:sz w:val="24"/>
          <w:lang w:val="cs-CZ"/>
        </w:rPr>
        <w:footnoteRef/>
      </w:r>
      <w:r w:rsidR="00361F5B" w:rsidRPr="00361F5B">
        <w:rPr>
          <w:sz w:val="24"/>
          <w:lang w:val="cs-CZ"/>
        </w:rPr>
        <w:t xml:space="preserve"> </w:t>
      </w:r>
      <w:r w:rsidR="00361F5B" w:rsidRPr="00361F5B">
        <w:rPr>
          <w:sz w:val="24"/>
          <w:lang w:val="cs-CZ"/>
        </w:rPr>
        <w:tab/>
      </w:r>
      <w:r w:rsidR="007640C6">
        <w:rPr>
          <w:sz w:val="24"/>
          <w:lang w:val="cs-CZ"/>
        </w:rPr>
        <w:t>Přijaté texty, P9_TA(2024)0280</w:t>
      </w:r>
      <w:r w:rsidRPr="00361F5B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61F5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61F5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61F5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11/2024"/>
    <w:docVar w:name="dvlangue" w:val="CS"/>
    <w:docVar w:name="dvnumam" w:val="0"/>
    <w:docVar w:name="dvpe" w:val="753.513"/>
    <w:docVar w:name="dvrapporteur" w:val="Zpravodaj: "/>
    <w:docVar w:name="dvtitre" w:val="1. Rozhodnutí Evropského parlamentu ze dne.... 2024 o udělení absolutoria za plnění rozpočtu Evropského orgánu pro bankovnictví na rozpočtový rok 2022(2023/2146(DEC))"/>
  </w:docVars>
  <w:rsids>
    <w:rsidRoot w:val="004F1D1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61F5B"/>
    <w:rsid w:val="00395FA1"/>
    <w:rsid w:val="003E15D4"/>
    <w:rsid w:val="004057D0"/>
    <w:rsid w:val="00411CCE"/>
    <w:rsid w:val="0041666E"/>
    <w:rsid w:val="00421060"/>
    <w:rsid w:val="00471C19"/>
    <w:rsid w:val="004867E3"/>
    <w:rsid w:val="00494A28"/>
    <w:rsid w:val="004C0004"/>
    <w:rsid w:val="004C5D52"/>
    <w:rsid w:val="004F1D16"/>
    <w:rsid w:val="0050519A"/>
    <w:rsid w:val="005072A1"/>
    <w:rsid w:val="00514517"/>
    <w:rsid w:val="00545827"/>
    <w:rsid w:val="00560270"/>
    <w:rsid w:val="005B3661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40C6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382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156A"/>
    <w:rsid w:val="00BD48FE"/>
    <w:rsid w:val="00BD7BD8"/>
    <w:rsid w:val="00BE6ADC"/>
    <w:rsid w:val="00C05BFE"/>
    <w:rsid w:val="00C23CD4"/>
    <w:rsid w:val="00C61C0C"/>
    <w:rsid w:val="00C9266A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6DC3F9"/>
  <w15:chartTrackingRefBased/>
  <w15:docId w15:val="{B689E892-75A4-4017-8C0D-9A8BB9AEC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4057D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4057D0"/>
    <w:pPr>
      <w:spacing w:before="480" w:after="240"/>
    </w:pPr>
  </w:style>
  <w:style w:type="paragraph" w:customStyle="1" w:styleId="PageHeading">
    <w:name w:val="PageHeading"/>
    <w:basedOn w:val="Normal"/>
    <w:rsid w:val="004057D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4057D0"/>
    <w:rPr>
      <w:b/>
    </w:rPr>
  </w:style>
  <w:style w:type="paragraph" w:customStyle="1" w:styleId="NormalHanging12a">
    <w:name w:val="NormalHanging12a"/>
    <w:basedOn w:val="Normal"/>
    <w:link w:val="NormalHanging12aChar"/>
    <w:rsid w:val="004057D0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4057D0"/>
    <w:pPr>
      <w:spacing w:after="240"/>
      <w:jc w:val="center"/>
    </w:pPr>
  </w:style>
  <w:style w:type="paragraph" w:styleId="Header">
    <w:name w:val="header"/>
    <w:basedOn w:val="Normal"/>
    <w:link w:val="HeaderChar"/>
    <w:rsid w:val="004057D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057D0"/>
    <w:rPr>
      <w:sz w:val="24"/>
      <w:lang w:val="cs-CZ"/>
    </w:rPr>
  </w:style>
  <w:style w:type="paragraph" w:customStyle="1" w:styleId="EPFooter">
    <w:name w:val="EPFooter"/>
    <w:basedOn w:val="Normal"/>
    <w:rsid w:val="004057D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NormalHanging12aChar">
    <w:name w:val="NormalHanging12a Char"/>
    <w:link w:val="NormalHanging12a"/>
    <w:locked/>
    <w:rsid w:val="004057D0"/>
    <w:rPr>
      <w:sz w:val="24"/>
      <w:lang w:val="cs-CZ"/>
    </w:rPr>
  </w:style>
  <w:style w:type="paragraph" w:styleId="Footer">
    <w:name w:val="footer"/>
    <w:basedOn w:val="Normal"/>
    <w:link w:val="FooterChar"/>
    <w:rsid w:val="005B366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B3661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6C932E-9E87-4146-9D99-E20771F74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3091</Words>
  <Characters>18028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Jindra Konopková</cp:lastModifiedBy>
  <cp:revision>2</cp:revision>
  <cp:lastPrinted>2004-11-19T15:42:00Z</cp:lastPrinted>
  <dcterms:created xsi:type="dcterms:W3CDTF">2024-05-15T11:53:00Z</dcterms:created>
  <dcterms:modified xsi:type="dcterms:W3CDTF">2024-05-15T11:53:00Z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P9_TA(2024)0262_</vt:lpwstr>
  </property>
  <property fmtid="{D5CDD505-2E9C-101B-9397-08002B2CF9AE}" pid="4" name="&lt;Type&gt;">
    <vt:lpwstr>RR</vt:lpwstr>
  </property>
</Properties>
</file>