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3BDD" w14:paraId="7FBC6640" w14:textId="77777777" w:rsidTr="0010095E">
        <w:trPr>
          <w:trHeight w:hRule="exact" w:val="1418"/>
        </w:trPr>
        <w:tc>
          <w:tcPr>
            <w:tcW w:w="6804" w:type="dxa"/>
            <w:shd w:val="clear" w:color="auto" w:fill="auto"/>
            <w:vAlign w:val="center"/>
          </w:tcPr>
          <w:p w14:paraId="2EF8A45D" w14:textId="77777777" w:rsidR="00751A4A" w:rsidRPr="00843BDD" w:rsidRDefault="00DD2B88" w:rsidP="0010095E">
            <w:pPr>
              <w:pStyle w:val="EPName"/>
            </w:pPr>
            <w:r w:rsidRPr="00843BDD">
              <w:t>Europa-Parlamentet</w:t>
            </w:r>
          </w:p>
          <w:p w14:paraId="13C649EC" w14:textId="77777777" w:rsidR="00751A4A" w:rsidRPr="00843BDD" w:rsidRDefault="00817416" w:rsidP="00756632">
            <w:pPr>
              <w:pStyle w:val="EPTerm"/>
              <w:rPr>
                <w:rStyle w:val="HideTWBExt"/>
                <w:noProof w:val="0"/>
                <w:vanish w:val="0"/>
                <w:color w:val="auto"/>
              </w:rPr>
            </w:pPr>
            <w:r w:rsidRPr="00843BDD">
              <w:t>2019-2024</w:t>
            </w:r>
          </w:p>
        </w:tc>
        <w:tc>
          <w:tcPr>
            <w:tcW w:w="2268" w:type="dxa"/>
            <w:shd w:val="clear" w:color="auto" w:fill="auto"/>
          </w:tcPr>
          <w:p w14:paraId="390E96CF" w14:textId="77777777" w:rsidR="00751A4A" w:rsidRPr="00843BDD" w:rsidRDefault="00187494" w:rsidP="0010095E">
            <w:pPr>
              <w:pStyle w:val="EPLogo"/>
            </w:pPr>
            <w:r w:rsidRPr="00843BDD">
              <w:rPr>
                <w:noProof/>
                <w:lang w:val="en-GB"/>
              </w:rPr>
              <w:drawing>
                <wp:inline distT="0" distB="0" distL="0" distR="0" wp14:anchorId="68E22B58" wp14:editId="47A5B3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ABAA65" w14:textId="77777777" w:rsidR="00D058B8" w:rsidRPr="00843BDD" w:rsidRDefault="00D058B8" w:rsidP="004C5D52">
      <w:pPr>
        <w:pStyle w:val="LineTop"/>
      </w:pPr>
    </w:p>
    <w:p w14:paraId="49B4DC5A" w14:textId="77777777" w:rsidR="00680577" w:rsidRPr="00843BDD" w:rsidRDefault="00DD2B88" w:rsidP="00680577">
      <w:pPr>
        <w:pStyle w:val="EPBodyTA1"/>
      </w:pPr>
      <w:r w:rsidRPr="00843BDD">
        <w:t>VEDTAGNE TEKSTER</w:t>
      </w:r>
    </w:p>
    <w:p w14:paraId="3A7645AF" w14:textId="77777777" w:rsidR="00D058B8" w:rsidRPr="00843BDD" w:rsidRDefault="00D058B8" w:rsidP="00D058B8">
      <w:pPr>
        <w:pStyle w:val="LineBottom"/>
      </w:pPr>
    </w:p>
    <w:p w14:paraId="665C0E02" w14:textId="59C5B7D6" w:rsidR="00DD2B88" w:rsidRPr="00843BDD" w:rsidRDefault="00DD2B88" w:rsidP="00DD2B88">
      <w:pPr>
        <w:pStyle w:val="ATHeading1"/>
      </w:pPr>
      <w:bookmarkStart w:id="0" w:name="TANumber"/>
      <w:r w:rsidRPr="00843BDD">
        <w:t>P9_</w:t>
      </w:r>
      <w:proofErr w:type="gramStart"/>
      <w:r w:rsidRPr="00843BDD">
        <w:t>TA(</w:t>
      </w:r>
      <w:proofErr w:type="gramEnd"/>
      <w:r w:rsidRPr="00843BDD">
        <w:t>2024)0</w:t>
      </w:r>
      <w:r w:rsidR="00A97016">
        <w:t>262</w:t>
      </w:r>
      <w:bookmarkEnd w:id="0"/>
    </w:p>
    <w:p w14:paraId="74924ED8" w14:textId="77777777" w:rsidR="00DD2B88" w:rsidRPr="00843BDD" w:rsidRDefault="00DD2B88" w:rsidP="00DD2B88">
      <w:pPr>
        <w:pStyle w:val="ATHeading2"/>
      </w:pPr>
      <w:bookmarkStart w:id="1" w:name="title"/>
      <w:r w:rsidRPr="00843BDD">
        <w:t>Decharge 2022: Den Europæiske Banktilsynsmyndighed</w:t>
      </w:r>
      <w:bookmarkEnd w:id="1"/>
    </w:p>
    <w:p w14:paraId="2BE7B8CB" w14:textId="77777777" w:rsidR="00DD2B88" w:rsidRPr="00843BDD" w:rsidRDefault="00DD2B88" w:rsidP="00DD2B88">
      <w:pPr>
        <w:rPr>
          <w:i/>
          <w:vanish/>
        </w:rPr>
      </w:pPr>
      <w:r w:rsidRPr="00843BDD">
        <w:rPr>
          <w:i/>
        </w:rPr>
        <w:fldChar w:fldCharType="begin"/>
      </w:r>
      <w:r w:rsidRPr="00843BDD">
        <w:rPr>
          <w:i/>
        </w:rPr>
        <w:instrText xml:space="preserve"> TC"(</w:instrText>
      </w:r>
      <w:bookmarkStart w:id="2" w:name="DocNumber"/>
      <w:r w:rsidRPr="00843BDD">
        <w:rPr>
          <w:i/>
        </w:rPr>
        <w:instrText>A9-0111/2024</w:instrText>
      </w:r>
      <w:bookmarkEnd w:id="2"/>
      <w:r w:rsidRPr="00843BDD">
        <w:rPr>
          <w:i/>
        </w:rPr>
        <w:instrText xml:space="preserve"> - Ordfører: Petri </w:instrText>
      </w:r>
      <w:proofErr w:type="spellStart"/>
      <w:r w:rsidRPr="00843BDD">
        <w:rPr>
          <w:i/>
        </w:rPr>
        <w:instrText>Sarvamaa</w:instrText>
      </w:r>
      <w:proofErr w:type="spellEnd"/>
      <w:r w:rsidRPr="00843BDD">
        <w:rPr>
          <w:i/>
        </w:rPr>
        <w:instrText xml:space="preserve">)"\l3 \n&gt; \* MERGEFORMAT </w:instrText>
      </w:r>
      <w:r w:rsidRPr="00843BDD">
        <w:rPr>
          <w:i/>
        </w:rPr>
        <w:fldChar w:fldCharType="end"/>
      </w:r>
    </w:p>
    <w:p w14:paraId="73A91531" w14:textId="77777777" w:rsidR="00DD2B88" w:rsidRPr="00843BDD" w:rsidRDefault="00DD2B88" w:rsidP="00DD2B88">
      <w:pPr>
        <w:rPr>
          <w:vanish/>
        </w:rPr>
      </w:pPr>
      <w:bookmarkStart w:id="3" w:name="Commission"/>
      <w:r w:rsidRPr="00843BDD">
        <w:rPr>
          <w:vanish/>
        </w:rPr>
        <w:t>Budgetkontroludvalget</w:t>
      </w:r>
      <w:bookmarkEnd w:id="3"/>
    </w:p>
    <w:p w14:paraId="389EE3A6" w14:textId="77777777" w:rsidR="00DD2B88" w:rsidRPr="00843BDD" w:rsidRDefault="00DD2B88" w:rsidP="00DD2B88">
      <w:pPr>
        <w:rPr>
          <w:vanish/>
        </w:rPr>
      </w:pPr>
      <w:bookmarkStart w:id="4" w:name="PE"/>
      <w:r w:rsidRPr="00843BDD">
        <w:rPr>
          <w:vanish/>
        </w:rPr>
        <w:t>PE753.513</w:t>
      </w:r>
      <w:bookmarkEnd w:id="4"/>
    </w:p>
    <w:p w14:paraId="4290320B" w14:textId="77777777" w:rsidR="00DD2B88" w:rsidRPr="00843BDD" w:rsidRDefault="00DD2B88" w:rsidP="00DD2B88">
      <w:pPr>
        <w:pStyle w:val="ATHeading3"/>
      </w:pPr>
      <w:bookmarkStart w:id="5" w:name="Sujet"/>
      <w:r w:rsidRPr="00843BDD">
        <w:t>1. Europa-Parlamentets afgørelse af 11. april 2024 om decharge for gennemførelsen af budgettet for Den Europæiske Banktilsynsmyndighed for regnskabsåret 2022</w:t>
      </w:r>
      <w:bookmarkEnd w:id="5"/>
      <w:r w:rsidRPr="00843BDD">
        <w:t xml:space="preserve"> </w:t>
      </w:r>
      <w:bookmarkStart w:id="6" w:name="References"/>
      <w:r w:rsidRPr="00843BDD">
        <w:t>(2023/2146(DEC))</w:t>
      </w:r>
      <w:bookmarkEnd w:id="6"/>
    </w:p>
    <w:p w14:paraId="30DCA890" w14:textId="77777777" w:rsidR="004967E3" w:rsidRPr="00843BDD" w:rsidRDefault="004967E3" w:rsidP="004967E3">
      <w:pPr>
        <w:pStyle w:val="EPComma"/>
      </w:pPr>
      <w:bookmarkStart w:id="7" w:name="TextBodyBegin"/>
      <w:bookmarkEnd w:id="7"/>
      <w:r w:rsidRPr="00843BDD">
        <w:rPr>
          <w:i/>
        </w:rPr>
        <w:t>Europa-Parlamentet</w:t>
      </w:r>
      <w:r w:rsidRPr="00843BDD">
        <w:t>,</w:t>
      </w:r>
    </w:p>
    <w:p w14:paraId="1C3B6A9D" w14:textId="77777777" w:rsidR="004967E3" w:rsidRPr="00843BDD" w:rsidRDefault="004967E3" w:rsidP="004967E3">
      <w:pPr>
        <w:pStyle w:val="NormalHanging12a"/>
      </w:pPr>
      <w:r w:rsidRPr="00843BDD">
        <w:t>–</w:t>
      </w:r>
      <w:r w:rsidRPr="00843BDD">
        <w:tab/>
        <w:t>der henviser til det endelige årsregnskab for Den Europæiske Banktilsynsmyndighed for regnskabsåret 2022,</w:t>
      </w:r>
    </w:p>
    <w:p w14:paraId="2E75DBC2" w14:textId="77777777" w:rsidR="004967E3" w:rsidRPr="00843BDD" w:rsidRDefault="004967E3" w:rsidP="004967E3">
      <w:pPr>
        <w:pStyle w:val="NormalHanging12a"/>
      </w:pPr>
      <w:r w:rsidRPr="00843BDD">
        <w:t>–</w:t>
      </w:r>
      <w:r w:rsidRPr="00843BDD">
        <w:tab/>
        <w:t>der henviser til Revisionsrettens årsberetning om EU-agenturerne for regnskabsåret 2022, med agenturernes svar</w:t>
      </w:r>
      <w:r w:rsidRPr="00843BDD">
        <w:rPr>
          <w:rStyle w:val="FootnoteReference"/>
        </w:rPr>
        <w:footnoteReference w:id="1"/>
      </w:r>
      <w:r w:rsidRPr="00843BDD">
        <w:t>,</w:t>
      </w:r>
    </w:p>
    <w:p w14:paraId="7A7C6954" w14:textId="77777777" w:rsidR="004967E3" w:rsidRPr="00843BDD" w:rsidRDefault="004967E3" w:rsidP="004967E3">
      <w:pPr>
        <w:pStyle w:val="NormalHanging12a"/>
      </w:pPr>
      <w:r w:rsidRPr="00843BDD">
        <w:t>–</w:t>
      </w:r>
      <w:r w:rsidRPr="00843BDD">
        <w:tab/>
        <w:t>der henviser til Revisionsrettens erklæring for regnskabsåret 2022 om regnskabernes rigtighed</w:t>
      </w:r>
      <w:r w:rsidRPr="00843BDD">
        <w:rPr>
          <w:rStyle w:val="FootnoteReference"/>
        </w:rPr>
        <w:footnoteReference w:id="2"/>
      </w:r>
      <w:r w:rsidRPr="00843BDD">
        <w:t xml:space="preserve"> og de underliggende transaktioners lovlighed og formelle rigtighed, jf. artikel 287 i traktaten om Den Europæiske Unions funktionsmåde,</w:t>
      </w:r>
    </w:p>
    <w:p w14:paraId="11E1C324" w14:textId="5F5BCC27" w:rsidR="004967E3" w:rsidRPr="00843BDD" w:rsidRDefault="004967E3" w:rsidP="004967E3">
      <w:pPr>
        <w:pStyle w:val="NormalHanging12a"/>
      </w:pPr>
      <w:r w:rsidRPr="00843BDD">
        <w:t>–</w:t>
      </w:r>
      <w:r w:rsidRPr="00843BDD">
        <w:tab/>
        <w:t>der henviser til Rådets henstilling af 22. februar 2024 om decharge til myndigheden for gennemførelsen af budgettet for regnskabsåret 2022 (0</w:t>
      </w:r>
      <w:r w:rsidR="00686908" w:rsidRPr="00843BDD">
        <w:t>6180</w:t>
      </w:r>
      <w:r w:rsidRPr="00843BDD">
        <w:t>/2024 – C9</w:t>
      </w:r>
      <w:r w:rsidRPr="00843BDD">
        <w:noBreakHyphen/>
        <w:t>00</w:t>
      </w:r>
      <w:r w:rsidR="00686908" w:rsidRPr="00843BDD">
        <w:t>84</w:t>
      </w:r>
      <w:r w:rsidRPr="00843BDD">
        <w:t>/2024),</w:t>
      </w:r>
    </w:p>
    <w:p w14:paraId="1D07E6DD" w14:textId="77777777" w:rsidR="004967E3" w:rsidRPr="00843BDD" w:rsidRDefault="004967E3" w:rsidP="004967E3">
      <w:pPr>
        <w:pStyle w:val="NormalHanging12a"/>
      </w:pPr>
      <w:r w:rsidRPr="00843BDD">
        <w:t>–</w:t>
      </w:r>
      <w:r w:rsidRPr="00843BDD">
        <w:tab/>
        <w:t>der henviser til artikel 319 i traktaten om Den Europæiske Unions funktionsmåde,</w:t>
      </w:r>
    </w:p>
    <w:p w14:paraId="53307B42" w14:textId="77777777" w:rsidR="004967E3" w:rsidRPr="00843BDD" w:rsidRDefault="004967E3" w:rsidP="004967E3">
      <w:pPr>
        <w:pStyle w:val="NormalHanging12a"/>
      </w:pPr>
      <w:r w:rsidRPr="00843BDD">
        <w:t>–</w:t>
      </w:r>
      <w:r w:rsidRPr="00843BDD">
        <w:tab/>
        <w:t xml:space="preserve">der henviser til Europa-Parlamentets og Rådets forordning (EU, </w:t>
      </w:r>
      <w:proofErr w:type="spellStart"/>
      <w:r w:rsidRPr="00843BDD">
        <w:t>Euratom</w:t>
      </w:r>
      <w:proofErr w:type="spellEnd"/>
      <w:r w:rsidRPr="00843BDD">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43BDD">
        <w:t>Euratom</w:t>
      </w:r>
      <w:proofErr w:type="spellEnd"/>
      <w:r w:rsidRPr="00843BDD">
        <w:t>) nr. 966/2012</w:t>
      </w:r>
      <w:r w:rsidRPr="00843BDD">
        <w:rPr>
          <w:rStyle w:val="FootnoteReference"/>
        </w:rPr>
        <w:footnoteReference w:id="3"/>
      </w:r>
      <w:r w:rsidRPr="00843BDD">
        <w:t>, særlig artikel 70,</w:t>
      </w:r>
    </w:p>
    <w:p w14:paraId="05F57E0E" w14:textId="77777777" w:rsidR="004967E3" w:rsidRPr="00843BDD" w:rsidRDefault="004967E3" w:rsidP="004967E3">
      <w:pPr>
        <w:pStyle w:val="NormalHanging12a"/>
      </w:pPr>
      <w:r w:rsidRPr="00843BDD">
        <w:t>–</w:t>
      </w:r>
      <w:r w:rsidRPr="00843BDD">
        <w:tab/>
        <w:t xml:space="preserve">der henviser til Europa-Parlamentets og Rådets forordning (EU) nr. 1093/2010 af 24. november 2010 om oprettelse af en europæisk tilsynsmyndighed (Den Europæiske Banktilsynsmyndighed), om ændring af afgørelse nr. 716/2009/EF og om ophævelse af </w:t>
      </w:r>
      <w:r w:rsidRPr="00843BDD">
        <w:lastRenderedPageBreak/>
        <w:t>Kommissionens afgørelse 2009/78/EF</w:t>
      </w:r>
      <w:r w:rsidRPr="00843BDD">
        <w:rPr>
          <w:rStyle w:val="FootnoteReference"/>
        </w:rPr>
        <w:footnoteReference w:id="4"/>
      </w:r>
      <w:r w:rsidRPr="00843BDD">
        <w:t>, særlig artikel 64,</w:t>
      </w:r>
    </w:p>
    <w:p w14:paraId="35F181DB" w14:textId="77777777" w:rsidR="004967E3" w:rsidRPr="00843BDD" w:rsidRDefault="004967E3" w:rsidP="004967E3">
      <w:pPr>
        <w:pStyle w:val="NormalHanging12a"/>
      </w:pPr>
      <w:r w:rsidRPr="00843BDD">
        <w:t>–</w:t>
      </w:r>
      <w:r w:rsidRPr="00843BDD">
        <w:tab/>
        <w:t xml:space="preserve">der henviser til Kommissionens delegerede forordning (EU) 2019/715 af 18. december 2018 om </w:t>
      </w:r>
      <w:proofErr w:type="spellStart"/>
      <w:r w:rsidRPr="00843BDD">
        <w:t>rammefinansforordningen</w:t>
      </w:r>
      <w:proofErr w:type="spellEnd"/>
      <w:r w:rsidRPr="00843BDD">
        <w:t xml:space="preserve"> for de organer, der er nedsat i henhold til TEUF og </w:t>
      </w:r>
      <w:proofErr w:type="spellStart"/>
      <w:r w:rsidRPr="00843BDD">
        <w:t>Euratomtraktaten</w:t>
      </w:r>
      <w:proofErr w:type="spellEnd"/>
      <w:r w:rsidRPr="00843BDD">
        <w:t xml:space="preserve"> og omhandlet i artikel 70 i Europa-Parlamentets og Rådets forordning (EU, </w:t>
      </w:r>
      <w:proofErr w:type="spellStart"/>
      <w:r w:rsidRPr="00843BDD">
        <w:t>Euratom</w:t>
      </w:r>
      <w:proofErr w:type="spellEnd"/>
      <w:r w:rsidRPr="00843BDD">
        <w:t>) 2018/1046</w:t>
      </w:r>
      <w:r w:rsidRPr="00843BDD">
        <w:rPr>
          <w:rStyle w:val="FootnoteReference"/>
        </w:rPr>
        <w:footnoteReference w:id="5"/>
      </w:r>
      <w:r w:rsidRPr="00843BDD">
        <w:t>, særlig artikel 105,</w:t>
      </w:r>
    </w:p>
    <w:p w14:paraId="0D0F6CD4" w14:textId="77777777" w:rsidR="004967E3" w:rsidRPr="00843BDD" w:rsidRDefault="004967E3" w:rsidP="004967E3">
      <w:pPr>
        <w:pStyle w:val="NormalHanging12a"/>
      </w:pPr>
      <w:r w:rsidRPr="00843BDD">
        <w:t>–</w:t>
      </w:r>
      <w:r w:rsidRPr="00843BDD">
        <w:tab/>
        <w:t>der henviser til forretningsordenens artikel 100 og bilag V,</w:t>
      </w:r>
    </w:p>
    <w:p w14:paraId="23CEB252" w14:textId="77777777" w:rsidR="004967E3" w:rsidRPr="00843BDD" w:rsidRDefault="004967E3" w:rsidP="004967E3">
      <w:pPr>
        <w:pStyle w:val="NormalHanging12a"/>
      </w:pPr>
      <w:r w:rsidRPr="00843BDD">
        <w:t>–</w:t>
      </w:r>
      <w:r w:rsidRPr="00843BDD">
        <w:tab/>
        <w:t>der henviser til betænkning fra Budgetkontroludvalget (A9-0111/2024),</w:t>
      </w:r>
    </w:p>
    <w:p w14:paraId="4B9BBB32" w14:textId="77777777" w:rsidR="004967E3" w:rsidRPr="00843BDD" w:rsidRDefault="004967E3" w:rsidP="004967E3">
      <w:pPr>
        <w:pStyle w:val="NormalHanging12a"/>
      </w:pPr>
      <w:r w:rsidRPr="00843BDD">
        <w:t>1.</w:t>
      </w:r>
      <w:r w:rsidRPr="00843BDD">
        <w:tab/>
        <w:t>meddeler den administrerende direktør for Den Europæiske Banktilsynsmyndighed decharge for gennemførelsen af myndighedens budget for regnskabsåret 2022;</w:t>
      </w:r>
    </w:p>
    <w:p w14:paraId="30694AFA" w14:textId="77777777" w:rsidR="004967E3" w:rsidRPr="00843BDD" w:rsidRDefault="004967E3" w:rsidP="004967E3">
      <w:pPr>
        <w:pStyle w:val="NormalHanging12a"/>
      </w:pPr>
      <w:r w:rsidRPr="00843BDD">
        <w:t>2.</w:t>
      </w:r>
      <w:r w:rsidRPr="00843BDD">
        <w:tab/>
        <w:t>fremsætter sine bemærkninger i nedenstående beslutning;</w:t>
      </w:r>
    </w:p>
    <w:p w14:paraId="526E1C2E" w14:textId="77777777" w:rsidR="004967E3" w:rsidRPr="00843BDD" w:rsidRDefault="004967E3" w:rsidP="004967E3">
      <w:pPr>
        <w:pStyle w:val="NormalHanging12a"/>
      </w:pPr>
      <w:r w:rsidRPr="00843BDD">
        <w:t>3.</w:t>
      </w:r>
      <w:r w:rsidRPr="00843BDD">
        <w:tab/>
        <w:t xml:space="preserve">pålægger sin formand at sende denne afgørelse og beslutningen, der er en integrerende del heraf, til den administrerende direktør for Den Europæiske Banktilsynsmyndighed, Rådet, Kommissionen og Revisionsretten og drage omsorg for, at de offentliggøres i </w:t>
      </w:r>
      <w:r w:rsidRPr="00843BDD">
        <w:rPr>
          <w:i/>
          <w:iCs/>
        </w:rPr>
        <w:t>Den Europæiske Unions Tidende</w:t>
      </w:r>
      <w:r w:rsidRPr="00843BDD">
        <w:t xml:space="preserve"> (L-udgaven).</w:t>
      </w:r>
    </w:p>
    <w:p w14:paraId="653BF5DD" w14:textId="77777777" w:rsidR="004967E3" w:rsidRPr="00843BDD" w:rsidRDefault="004967E3" w:rsidP="004967E3"/>
    <w:p w14:paraId="4854015E" w14:textId="77777777" w:rsidR="004967E3" w:rsidRPr="00843BDD" w:rsidRDefault="004967E3" w:rsidP="004967E3">
      <w:pPr>
        <w:widowControl/>
        <w:rPr>
          <w:rFonts w:ascii="Arial" w:hAnsi="Arial" w:cs="Arial"/>
          <w:b/>
        </w:rPr>
        <w:sectPr w:rsidR="004967E3" w:rsidRPr="00843BDD" w:rsidSect="009B749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59C54412" w14:textId="77777777" w:rsidR="004967E3" w:rsidRPr="00843BDD" w:rsidRDefault="004967E3" w:rsidP="00AB25B2">
      <w:pPr>
        <w:pStyle w:val="ATHeading3"/>
      </w:pPr>
      <w:bookmarkStart w:id="8" w:name="_Toc161219517"/>
      <w:bookmarkStart w:id="9" w:name="_Toc161912863"/>
      <w:r w:rsidRPr="00843BDD">
        <w:lastRenderedPageBreak/>
        <w:t xml:space="preserve">2. </w:t>
      </w:r>
      <w:r w:rsidR="00AB25B2" w:rsidRPr="00843BDD">
        <w:t>Europa-Parlamentets afgørelse</w:t>
      </w:r>
      <w:bookmarkEnd w:id="8"/>
      <w:bookmarkEnd w:id="9"/>
      <w:r w:rsidR="00AB25B2" w:rsidRPr="00843BDD">
        <w:t xml:space="preserve"> af 11. april 2024 </w:t>
      </w:r>
      <w:r w:rsidRPr="00843BDD">
        <w:t>om afslutning af regnskaberne for Den Europæiske Banktilsynsmyndighed for regnskabsåret 2022</w:t>
      </w:r>
      <w:r w:rsidR="00AB25B2" w:rsidRPr="00843BDD">
        <w:t xml:space="preserve"> </w:t>
      </w:r>
      <w:r w:rsidRPr="00843BDD">
        <w:t>(2023/2146(DEC))</w:t>
      </w:r>
    </w:p>
    <w:p w14:paraId="7FD146F8" w14:textId="77777777" w:rsidR="004967E3" w:rsidRPr="00843BDD" w:rsidRDefault="004967E3" w:rsidP="004967E3">
      <w:pPr>
        <w:pStyle w:val="EPComma"/>
      </w:pPr>
      <w:r w:rsidRPr="00843BDD">
        <w:rPr>
          <w:i/>
          <w:iCs/>
        </w:rPr>
        <w:t>Europa-Parlamentet,</w:t>
      </w:r>
    </w:p>
    <w:p w14:paraId="1A9C8F88" w14:textId="77777777" w:rsidR="004967E3" w:rsidRPr="00843BDD" w:rsidRDefault="004967E3" w:rsidP="004967E3">
      <w:pPr>
        <w:pStyle w:val="NormalHanging12a"/>
      </w:pPr>
      <w:r w:rsidRPr="00843BDD">
        <w:t>–</w:t>
      </w:r>
      <w:r w:rsidRPr="00843BDD">
        <w:tab/>
        <w:t>der henviser til det endelige årsregnskab for Den Europæiske Banktilsynsmyndighed for regnskabsåret 2022,</w:t>
      </w:r>
    </w:p>
    <w:p w14:paraId="033B1C91" w14:textId="77777777" w:rsidR="004967E3" w:rsidRPr="00843BDD" w:rsidRDefault="004967E3" w:rsidP="004967E3">
      <w:pPr>
        <w:pStyle w:val="NormalHanging12a"/>
      </w:pPr>
      <w:r w:rsidRPr="00843BDD">
        <w:t>–</w:t>
      </w:r>
      <w:r w:rsidRPr="00843BDD">
        <w:tab/>
        <w:t>der henviser til Revisionsrettens årsberetning om EU-agenturerne for regnskabsåret 2022, med agenturernes svar</w:t>
      </w:r>
      <w:r w:rsidRPr="00843BDD">
        <w:rPr>
          <w:rStyle w:val="FootnoteReference"/>
        </w:rPr>
        <w:footnoteReference w:id="6"/>
      </w:r>
      <w:r w:rsidRPr="00843BDD">
        <w:t>,</w:t>
      </w:r>
    </w:p>
    <w:p w14:paraId="0DC39715" w14:textId="77777777" w:rsidR="004967E3" w:rsidRPr="00843BDD" w:rsidRDefault="004967E3" w:rsidP="004967E3">
      <w:pPr>
        <w:pStyle w:val="NormalHanging12a"/>
      </w:pPr>
      <w:r w:rsidRPr="00843BDD">
        <w:t>–</w:t>
      </w:r>
      <w:r w:rsidRPr="00843BDD">
        <w:tab/>
        <w:t>der henviser til Revisionsrettens erklæring for regnskabsåret 2022 om regnskabernes rigtighed</w:t>
      </w:r>
      <w:r w:rsidRPr="00843BDD">
        <w:rPr>
          <w:rStyle w:val="FootnoteReference"/>
        </w:rPr>
        <w:footnoteReference w:id="7"/>
      </w:r>
      <w:r w:rsidRPr="00843BDD">
        <w:t xml:space="preserve"> og de underliggende transaktioners lovlighed og formelle rigtighed, jf. artikel 287 i traktaten om Den Europæiske Unions funktionsmåde,</w:t>
      </w:r>
    </w:p>
    <w:p w14:paraId="2387C126" w14:textId="55A4F591" w:rsidR="004967E3" w:rsidRPr="00843BDD" w:rsidRDefault="004967E3" w:rsidP="004967E3">
      <w:pPr>
        <w:pStyle w:val="NormalHanging12a"/>
      </w:pPr>
      <w:r w:rsidRPr="00843BDD">
        <w:t>–</w:t>
      </w:r>
      <w:r w:rsidRPr="00843BDD">
        <w:tab/>
        <w:t>der henviser til Rådets henstilling af 22. februar 2024 om decharge til myndigheden for gennemførelsen af budgettet for regnskabsåret 2022 (0</w:t>
      </w:r>
      <w:r w:rsidR="00686908" w:rsidRPr="00843BDD">
        <w:t>6180</w:t>
      </w:r>
      <w:r w:rsidRPr="00843BDD">
        <w:t>/2024 – C9</w:t>
      </w:r>
      <w:r w:rsidRPr="00843BDD">
        <w:noBreakHyphen/>
        <w:t>00</w:t>
      </w:r>
      <w:r w:rsidR="00686908" w:rsidRPr="00843BDD">
        <w:t>84</w:t>
      </w:r>
      <w:r w:rsidRPr="00843BDD">
        <w:t>/2024),</w:t>
      </w:r>
    </w:p>
    <w:p w14:paraId="2A0981FB" w14:textId="77777777" w:rsidR="004967E3" w:rsidRPr="00843BDD" w:rsidRDefault="004967E3" w:rsidP="004967E3">
      <w:pPr>
        <w:pStyle w:val="NormalHanging12a"/>
      </w:pPr>
      <w:r w:rsidRPr="00843BDD">
        <w:t>–</w:t>
      </w:r>
      <w:r w:rsidRPr="00843BDD">
        <w:tab/>
        <w:t>der henviser til artikel 319 i traktaten om Den Europæiske Unions funktionsmåde,</w:t>
      </w:r>
    </w:p>
    <w:p w14:paraId="49CC5658" w14:textId="77777777" w:rsidR="004967E3" w:rsidRPr="00843BDD" w:rsidRDefault="004967E3" w:rsidP="004967E3">
      <w:pPr>
        <w:pStyle w:val="NormalHanging12a"/>
      </w:pPr>
      <w:r w:rsidRPr="00843BDD">
        <w:t>–</w:t>
      </w:r>
      <w:r w:rsidRPr="00843BDD">
        <w:tab/>
        <w:t xml:space="preserve">der henviser til Europa-Parlamentets og Rådets forordning (EU, </w:t>
      </w:r>
      <w:proofErr w:type="spellStart"/>
      <w:r w:rsidRPr="00843BDD">
        <w:t>Euratom</w:t>
      </w:r>
      <w:proofErr w:type="spellEnd"/>
      <w:r w:rsidRPr="00843BDD">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43BDD">
        <w:t>Euratom</w:t>
      </w:r>
      <w:proofErr w:type="spellEnd"/>
      <w:r w:rsidRPr="00843BDD">
        <w:t>) nr. 966/2012</w:t>
      </w:r>
      <w:r w:rsidRPr="00843BDD">
        <w:rPr>
          <w:rStyle w:val="FootnoteReference"/>
        </w:rPr>
        <w:footnoteReference w:id="8"/>
      </w:r>
      <w:r w:rsidRPr="00843BDD">
        <w:t>, særlig artikel 70,</w:t>
      </w:r>
    </w:p>
    <w:p w14:paraId="3F1957D8" w14:textId="77777777" w:rsidR="004967E3" w:rsidRPr="00843BDD" w:rsidRDefault="004967E3" w:rsidP="004967E3">
      <w:pPr>
        <w:pStyle w:val="NormalHanging12a"/>
      </w:pPr>
      <w:r w:rsidRPr="00843BDD">
        <w:t>–</w:t>
      </w:r>
      <w:r w:rsidRPr="00843BDD">
        <w:tab/>
        <w:t>der henviser til Europa-Parlamentets og Rådets forordning (EU) nr. 1093/2010 af 24. november 2010 om oprettelse af en europæisk tilsynsmyndighed (Den Europæiske Banktilsynsmyndighed), om ændring af afgørelse nr. 716/2009/EF og om ophævelse af Kommissionens afgørelse 2009/78/EF</w:t>
      </w:r>
      <w:r w:rsidRPr="00843BDD">
        <w:rPr>
          <w:rStyle w:val="FootnoteReference"/>
        </w:rPr>
        <w:footnoteReference w:id="9"/>
      </w:r>
      <w:r w:rsidRPr="00843BDD">
        <w:t>, særlig artikel 64,</w:t>
      </w:r>
    </w:p>
    <w:p w14:paraId="4A4BC632" w14:textId="77777777" w:rsidR="004967E3" w:rsidRPr="00843BDD" w:rsidRDefault="004967E3" w:rsidP="004967E3">
      <w:pPr>
        <w:pStyle w:val="NormalHanging12a"/>
      </w:pPr>
      <w:r w:rsidRPr="00843BDD">
        <w:t>–</w:t>
      </w:r>
      <w:r w:rsidRPr="00843BDD">
        <w:tab/>
        <w:t xml:space="preserve">der henviser til Kommissionens delegerede forordning (EU) 2019/715 af 18. december 2018 om </w:t>
      </w:r>
      <w:proofErr w:type="spellStart"/>
      <w:r w:rsidRPr="00843BDD">
        <w:t>rammefinansforordningen</w:t>
      </w:r>
      <w:proofErr w:type="spellEnd"/>
      <w:r w:rsidRPr="00843BDD">
        <w:t xml:space="preserve"> for de organer, der er nedsat i henhold til TEUF og </w:t>
      </w:r>
      <w:proofErr w:type="spellStart"/>
      <w:r w:rsidRPr="00843BDD">
        <w:t>Euratomtraktaten</w:t>
      </w:r>
      <w:proofErr w:type="spellEnd"/>
      <w:r w:rsidRPr="00843BDD">
        <w:t xml:space="preserve"> og omhandlet i artikel 70 i Europa-Parlamentets og Rådets forordning (EU, </w:t>
      </w:r>
      <w:proofErr w:type="spellStart"/>
      <w:r w:rsidRPr="00843BDD">
        <w:t>Euratom</w:t>
      </w:r>
      <w:proofErr w:type="spellEnd"/>
      <w:r w:rsidRPr="00843BDD">
        <w:t>) 2018/1046</w:t>
      </w:r>
      <w:r w:rsidRPr="00843BDD">
        <w:rPr>
          <w:rStyle w:val="FootnoteReference"/>
        </w:rPr>
        <w:footnoteReference w:id="10"/>
      </w:r>
      <w:r w:rsidRPr="00843BDD">
        <w:t>, særlig artikel 105,</w:t>
      </w:r>
    </w:p>
    <w:p w14:paraId="57FF4600" w14:textId="77777777" w:rsidR="004967E3" w:rsidRPr="00843BDD" w:rsidRDefault="004967E3" w:rsidP="004967E3">
      <w:pPr>
        <w:pStyle w:val="NormalHanging12a"/>
      </w:pPr>
      <w:r w:rsidRPr="00843BDD">
        <w:t>–</w:t>
      </w:r>
      <w:r w:rsidRPr="00843BDD">
        <w:tab/>
        <w:t>der henviser til forretningsordenens artikel 100 og bilag V,</w:t>
      </w:r>
    </w:p>
    <w:p w14:paraId="772D6608" w14:textId="77777777" w:rsidR="004967E3" w:rsidRPr="00843BDD" w:rsidRDefault="004967E3" w:rsidP="004967E3">
      <w:pPr>
        <w:pStyle w:val="NormalHanging12a"/>
      </w:pPr>
      <w:r w:rsidRPr="00843BDD">
        <w:t>–</w:t>
      </w:r>
      <w:r w:rsidRPr="00843BDD">
        <w:tab/>
        <w:t>der henviser til betænkning fra Budgetkontroludvalget (A9-0111/2024),</w:t>
      </w:r>
    </w:p>
    <w:p w14:paraId="23B040A9" w14:textId="77777777" w:rsidR="004967E3" w:rsidRPr="00843BDD" w:rsidRDefault="004967E3" w:rsidP="004967E3">
      <w:pPr>
        <w:pStyle w:val="NormalHanging12a"/>
      </w:pPr>
      <w:r w:rsidRPr="00843BDD">
        <w:t>1.</w:t>
      </w:r>
      <w:r w:rsidRPr="00843BDD">
        <w:tab/>
        <w:t>godkender afslutningen af regnskaberne for Den Europæiske Banktilsynsmyndighed for regnskabsåret 2022;</w:t>
      </w:r>
    </w:p>
    <w:p w14:paraId="3BAD61B2" w14:textId="77777777" w:rsidR="004967E3" w:rsidRPr="00843BDD" w:rsidRDefault="004967E3" w:rsidP="004967E3">
      <w:pPr>
        <w:pStyle w:val="NormalHanging12a"/>
      </w:pPr>
      <w:r w:rsidRPr="00843BDD">
        <w:t>2.</w:t>
      </w:r>
      <w:r w:rsidRPr="00843BDD">
        <w:tab/>
        <w:t xml:space="preserve">pålægger sin formand at sende denne afgørelse til den administrerende direktør for Den Europæiske Banktilsynsmyndighed, Rådet, Kommissionen og Revisionsretten og drage omsorg for, at den offentliggøres i </w:t>
      </w:r>
      <w:r w:rsidRPr="00843BDD">
        <w:rPr>
          <w:i/>
          <w:iCs/>
        </w:rPr>
        <w:t>Den Europæiske Unions Tidende</w:t>
      </w:r>
      <w:r w:rsidRPr="00843BDD">
        <w:t xml:space="preserve"> (L-udgaven).</w:t>
      </w:r>
    </w:p>
    <w:p w14:paraId="0589BC64" w14:textId="77777777" w:rsidR="004967E3" w:rsidRPr="00843BDD" w:rsidRDefault="004967E3" w:rsidP="004967E3"/>
    <w:p w14:paraId="100CE9D3" w14:textId="77777777" w:rsidR="004967E3" w:rsidRPr="00843BDD" w:rsidRDefault="004967E3" w:rsidP="004967E3">
      <w:pPr>
        <w:widowControl/>
        <w:rPr>
          <w:rFonts w:ascii="Arial" w:hAnsi="Arial" w:cs="Arial"/>
          <w:b/>
        </w:rPr>
        <w:sectPr w:rsidR="004967E3" w:rsidRPr="00843BDD" w:rsidSect="009B7490">
          <w:footnotePr>
            <w:numRestart w:val="eachPage"/>
          </w:footnotePr>
          <w:endnotePr>
            <w:numFmt w:val="decimal"/>
          </w:endnotePr>
          <w:pgSz w:w="11906" w:h="16838"/>
          <w:pgMar w:top="1134" w:right="1418" w:bottom="1418" w:left="1418" w:header="567" w:footer="567" w:gutter="0"/>
          <w:cols w:space="720"/>
          <w:docGrid w:linePitch="326"/>
        </w:sectPr>
      </w:pPr>
    </w:p>
    <w:p w14:paraId="5A72FE8B" w14:textId="77777777" w:rsidR="004967E3" w:rsidRPr="00843BDD" w:rsidRDefault="004967E3" w:rsidP="00AB25B2">
      <w:pPr>
        <w:pStyle w:val="ATHeading3"/>
      </w:pPr>
      <w:bookmarkStart w:id="10" w:name="_Toc161219518"/>
      <w:bookmarkStart w:id="11" w:name="_Toc161912864"/>
      <w:r w:rsidRPr="00843BDD">
        <w:t xml:space="preserve">3. </w:t>
      </w:r>
      <w:r w:rsidR="00AB25B2" w:rsidRPr="00843BDD">
        <w:t>Europa-Parlamentets beslutning</w:t>
      </w:r>
      <w:bookmarkEnd w:id="10"/>
      <w:bookmarkEnd w:id="11"/>
      <w:r w:rsidR="00AB25B2" w:rsidRPr="00843BDD">
        <w:t xml:space="preserve"> af 11. april 2024 </w:t>
      </w:r>
      <w:r w:rsidRPr="00843BDD">
        <w:t>med bemærkningerne, der er en integrerende del af afgørelsen om decharge for gennemførelsen af budgettet for Den Europæiske Banktilsynsmyndighed for regnskabsåret 2022</w:t>
      </w:r>
      <w:r w:rsidR="00AB25B2" w:rsidRPr="00843BDD">
        <w:t xml:space="preserve"> </w:t>
      </w:r>
      <w:r w:rsidRPr="00843BDD">
        <w:t>(2023/2146(DEC))</w:t>
      </w:r>
    </w:p>
    <w:p w14:paraId="089C11DC" w14:textId="77777777" w:rsidR="004967E3" w:rsidRPr="00843BDD" w:rsidRDefault="004967E3" w:rsidP="004967E3">
      <w:pPr>
        <w:pStyle w:val="EPComma"/>
      </w:pPr>
      <w:r w:rsidRPr="00843BDD">
        <w:rPr>
          <w:i/>
          <w:iCs/>
        </w:rPr>
        <w:t>Europa-Parlamentet,</w:t>
      </w:r>
    </w:p>
    <w:p w14:paraId="6665E5F5" w14:textId="77777777" w:rsidR="004967E3" w:rsidRPr="00843BDD" w:rsidRDefault="004967E3" w:rsidP="004967E3">
      <w:pPr>
        <w:pStyle w:val="NormalHanging12a"/>
      </w:pPr>
      <w:r w:rsidRPr="00843BDD">
        <w:t>–</w:t>
      </w:r>
      <w:r w:rsidRPr="00843BDD">
        <w:tab/>
        <w:t>der henviser til sin afgørelse om decharge for gennemførelsen af budgettet for Den Europæiske Banktilsynsmyndighed for regnskabsåret 2022,</w:t>
      </w:r>
    </w:p>
    <w:p w14:paraId="6E33DB51" w14:textId="77777777" w:rsidR="004967E3" w:rsidRPr="00843BDD" w:rsidRDefault="004967E3" w:rsidP="004967E3">
      <w:pPr>
        <w:pStyle w:val="NormalHanging12a"/>
      </w:pPr>
      <w:r w:rsidRPr="00843BDD">
        <w:t>–</w:t>
      </w:r>
      <w:r w:rsidRPr="00843BDD">
        <w:tab/>
        <w:t>der henviser til forretningsordenens artikel 100 og bilag V,</w:t>
      </w:r>
    </w:p>
    <w:p w14:paraId="5671A12B" w14:textId="77777777" w:rsidR="004967E3" w:rsidRPr="00843BDD" w:rsidRDefault="004967E3" w:rsidP="004967E3">
      <w:pPr>
        <w:pStyle w:val="NormalHanging12a"/>
      </w:pPr>
      <w:r w:rsidRPr="00843BDD">
        <w:t>–</w:t>
      </w:r>
      <w:r w:rsidRPr="00843BDD">
        <w:tab/>
        <w:t>der henviser til betænkning fra Budgetkontroludvalget (A9-0111/2024),</w:t>
      </w:r>
    </w:p>
    <w:p w14:paraId="6040DA71" w14:textId="77777777" w:rsidR="004967E3" w:rsidRPr="00843BDD" w:rsidRDefault="004967E3" w:rsidP="004967E3">
      <w:pPr>
        <w:widowControl/>
        <w:spacing w:after="240"/>
        <w:ind w:left="567" w:hanging="567"/>
        <w:rPr>
          <w:szCs w:val="24"/>
        </w:rPr>
      </w:pPr>
      <w:r w:rsidRPr="00843BDD">
        <w:t>A.</w:t>
      </w:r>
      <w:r w:rsidRPr="00843BDD">
        <w:tab/>
        <w:t>der henviser til, at det endelige budget for Den Europæiske Banktilsynsmyndighed ("myndigheden") for regnskabsåret 2022 ifølge dens oversigt over indtægter og udgifter</w:t>
      </w:r>
      <w:r w:rsidRPr="00843BDD">
        <w:rPr>
          <w:rStyle w:val="FootnoteReference"/>
          <w:szCs w:val="24"/>
        </w:rPr>
        <w:footnoteReference w:id="11"/>
      </w:r>
      <w:r w:rsidRPr="00843BDD">
        <w:t xml:space="preserve"> var på 50 315 014 EUR; der henviser til, at myndigheden primært finansieres ved hjælp af et bidrag fra Unionen (18 685 999 EUR) og bidrag fra de nationale tilsynsmyndigheder i medlems- og observatørstaterne (31 629 015 EUR);</w:t>
      </w:r>
    </w:p>
    <w:p w14:paraId="33090980" w14:textId="77777777" w:rsidR="004967E3" w:rsidRPr="00843BDD" w:rsidRDefault="004967E3" w:rsidP="004967E3">
      <w:pPr>
        <w:widowControl/>
        <w:spacing w:after="240"/>
        <w:ind w:left="567" w:hanging="567"/>
      </w:pPr>
      <w:r w:rsidRPr="00843BDD">
        <w:t>B.</w:t>
      </w:r>
      <w:r w:rsidRPr="00843BDD">
        <w:tab/>
        <w:t>der henviser til, at Revisionsretten i sin beretning om Den Europæiske Banktilsynsmyndigheds årsregnskab for regnskabsåret 2022 ("Revisionsrettens beretning") fastslår, at den har fået rimelig sikkerhed for, at myndighedens årsregnskab er rigtigt, og at de underliggende transaktioner er lovlige og formelt rigtige;</w:t>
      </w:r>
    </w:p>
    <w:p w14:paraId="7CBE5547" w14:textId="77777777" w:rsidR="004967E3" w:rsidRPr="00843BDD" w:rsidRDefault="004967E3" w:rsidP="004967E3">
      <w:pPr>
        <w:widowControl/>
        <w:spacing w:after="240"/>
        <w:ind w:left="567" w:hanging="567"/>
        <w:rPr>
          <w:b/>
          <w:i/>
          <w:szCs w:val="24"/>
        </w:rPr>
      </w:pPr>
      <w:r w:rsidRPr="00843BDD">
        <w:rPr>
          <w:b/>
          <w:i/>
        </w:rPr>
        <w:t>Budgetmæssig og økonomisk forvaltning</w:t>
      </w:r>
    </w:p>
    <w:p w14:paraId="2CDA8692" w14:textId="77777777" w:rsidR="004967E3" w:rsidRPr="00843BDD" w:rsidRDefault="004967E3" w:rsidP="004967E3">
      <w:pPr>
        <w:pStyle w:val="NormalHanging12a"/>
        <w:widowControl/>
        <w:rPr>
          <w:szCs w:val="24"/>
        </w:rPr>
      </w:pPr>
      <w:r w:rsidRPr="00843BDD">
        <w:t>1.</w:t>
      </w:r>
      <w:r w:rsidRPr="00843BDD">
        <w:tab/>
        <w:t>bemærker med tilfredshed, at budgetovervågningsindsatsen i regnskabsåret 2022 resulterede i en budgetgennemførelsesgrad for forpligtelsesbevillingerne for det pågældende år på 99,56 %, hvilket svarer til en stigning på 1,05 % i forhold til 2021; bemærker endvidere, at udnyttelsesgraden for betalingsbevillinger for det pågældende år var på 87,00 %, hvilket svarer til en stigning på 3,00 % sammenlignet med 2021;</w:t>
      </w:r>
    </w:p>
    <w:p w14:paraId="56695997" w14:textId="77777777" w:rsidR="004967E3" w:rsidRPr="00843BDD" w:rsidRDefault="004967E3" w:rsidP="004967E3">
      <w:pPr>
        <w:widowControl/>
        <w:spacing w:after="240"/>
        <w:ind w:left="567" w:hanging="567"/>
        <w:rPr>
          <w:b/>
          <w:i/>
          <w:szCs w:val="24"/>
        </w:rPr>
      </w:pPr>
      <w:r w:rsidRPr="00843BDD">
        <w:rPr>
          <w:b/>
          <w:i/>
        </w:rPr>
        <w:t>Performance</w:t>
      </w:r>
    </w:p>
    <w:p w14:paraId="229EEBCB" w14:textId="77777777" w:rsidR="004967E3" w:rsidRPr="00843BDD" w:rsidRDefault="004967E3" w:rsidP="004967E3">
      <w:pPr>
        <w:pStyle w:val="NormalHanging12a"/>
        <w:widowControl/>
        <w:rPr>
          <w:szCs w:val="24"/>
        </w:rPr>
      </w:pPr>
      <w:r w:rsidRPr="00843BDD">
        <w:t>2.</w:t>
      </w:r>
      <w:r w:rsidRPr="00843BDD">
        <w:tab/>
        <w:t>glæder sig over, at myndigheden fortsat anvender visse foranstaltninger som centrale resultatindikatorer til at vurdere sine aktiviteter og resultaterne heraf i forhold til at opfylde målene i arbejdsprogrammet; bemærker, at myndigheden for sit arbejdsprogram for 2022 har fastlagt fem vertikale prioriteter (f.eks. overvågning og ajourføring af tilsynsrammen for overvågning og afvikling, revision og styrkelse af den EU-dækkende ramme for stresstest) og to horisontale prioriteter (tilvejebringelse af værktøjer til måling og styring af miljømæssige, sociale og ledelsesmæssige risici (ESG) og overvågning og afbødning af virkningerne af covid-19); bemærker, at myndigheden i 2022 udførte 95 % af de ca. 250 opgaver, der var fastsat i dens arbejdsprogram, herunder 15 % af de opgaver, der skulle lægges til arbejdet i løbet af året; anerkender endvidere, at dette er en forbedring i forhold til det foregående år;</w:t>
      </w:r>
    </w:p>
    <w:p w14:paraId="45C8A0D7" w14:textId="77777777" w:rsidR="004967E3" w:rsidRPr="00843BDD" w:rsidRDefault="004967E3" w:rsidP="004967E3">
      <w:pPr>
        <w:pStyle w:val="NormalHanging12a"/>
        <w:widowControl/>
        <w:rPr>
          <w:szCs w:val="24"/>
        </w:rPr>
      </w:pPr>
      <w:r w:rsidRPr="00843BDD">
        <w:t>3.</w:t>
      </w:r>
      <w:r w:rsidRPr="00843BDD">
        <w:tab/>
        <w:t>er klar over, at den uberettigede russiske angrebskrig mod Ukraine har fået myndigheden til at tage højde for de udfordringer og usikkerheder, der opstod som følge af konflikten, for områder inden for dens ansvarsområde og til at håndtere dem på passende vis; glæder sig over, at myndigheden som et resultat heraf lagde særlig vægt på at vurdere risiciene for banker og den finansielle sektor og tog skridt til at overvåge denne sektor; bemærker endvidere, at myndigheden fokuserede på bestræbelser, der bidrog til anvendelsen og håndhævelsen af pålagte sanktioner og på et mere umiddelbart relevant niveau for personer berørt af denne konflikt, og glæder sig over myndighedens indsats for at lette adgangen til det finansielle system;</w:t>
      </w:r>
    </w:p>
    <w:p w14:paraId="3CCF26A1" w14:textId="00F88593" w:rsidR="004967E3" w:rsidRPr="00843BDD" w:rsidRDefault="004967E3" w:rsidP="004967E3">
      <w:pPr>
        <w:widowControl/>
        <w:spacing w:after="240"/>
        <w:ind w:left="567" w:hanging="567"/>
        <w:rPr>
          <w:szCs w:val="24"/>
        </w:rPr>
      </w:pPr>
      <w:r w:rsidRPr="00843BDD">
        <w:t>4.</w:t>
      </w:r>
      <w:r w:rsidRPr="00843BDD">
        <w:tab/>
        <w:t>bemærker, at nogle af de vigtige drivkræfter bag myndighedens aktiviteter i 2022 bidrog til udformningen af de lovgivningsmæssige procedurer, der førte til vedtagelsen af forordning (EU) 2022/2554</w:t>
      </w:r>
      <w:r w:rsidRPr="00843BDD">
        <w:rPr>
          <w:rStyle w:val="FootnoteReference"/>
          <w:szCs w:val="24"/>
        </w:rPr>
        <w:footnoteReference w:id="12"/>
      </w:r>
      <w:r w:rsidRPr="00843BDD">
        <w:t xml:space="preserve"> og direktiv (EU) 2022/2556</w:t>
      </w:r>
      <w:r w:rsidRPr="00843BDD">
        <w:rPr>
          <w:rStyle w:val="FootnoteReference"/>
          <w:szCs w:val="24"/>
        </w:rPr>
        <w:footnoteReference w:id="13"/>
      </w:r>
      <w:r w:rsidRPr="00843BDD">
        <w:t xml:space="preserve"> (forordningen og direktivet om digital operationel modstandsdygtighed i den finansielle sektor) samt forordning (EU) 2023/1114</w:t>
      </w:r>
      <w:r w:rsidRPr="00843BDD">
        <w:rPr>
          <w:rStyle w:val="FootnoteReference"/>
          <w:szCs w:val="24"/>
        </w:rPr>
        <w:footnoteReference w:id="14"/>
      </w:r>
      <w:r w:rsidRPr="00843BDD">
        <w:t xml:space="preserve"> (forordningen om markeder for </w:t>
      </w:r>
      <w:proofErr w:type="spellStart"/>
      <w:r w:rsidRPr="00843BDD">
        <w:t>kryptoaktiver</w:t>
      </w:r>
      <w:proofErr w:type="spellEnd"/>
      <w:r w:rsidRPr="00843BDD">
        <w:t xml:space="preserve">) som reaktion på forskellige opfordringer til rådgivning om digital finansiering og relaterede spørgsmål; bemærker, at et andet fokuspunkt var at forhindre anvendelsen af det finansielle system til hvidvask af penge og finansiering af terrorisme; bemærker endvidere, at udviklingen af en relevant miljømæssig, social og ledelsesmæssig ramme (ESG) for banker og for overvågning af covid-19's indvirkning på deres balancer forblev en prioritet i myndighedens arbejde; anerkender, at myndigheden også ajourførte sin arbejdsplan for peer </w:t>
      </w:r>
      <w:proofErr w:type="spellStart"/>
      <w:r w:rsidRPr="00843BDD">
        <w:t>review</w:t>
      </w:r>
      <w:proofErr w:type="spellEnd"/>
      <w:r w:rsidRPr="00843BDD">
        <w:t xml:space="preserve"> for perioden 2022-2023 i overensstemmelse med forordning </w:t>
      </w:r>
      <w:r w:rsidR="00BB3FF8">
        <w:t xml:space="preserve">(EU) </w:t>
      </w:r>
      <w:r w:rsidRPr="00843BDD">
        <w:t>nr.</w:t>
      </w:r>
      <w:r w:rsidR="00BB3FF8">
        <w:t> </w:t>
      </w:r>
      <w:bookmarkStart w:id="12" w:name="_GoBack"/>
      <w:bookmarkEnd w:id="12"/>
      <w:r w:rsidRPr="00843BDD">
        <w:t>1093/2010;</w:t>
      </w:r>
    </w:p>
    <w:p w14:paraId="7209D61D" w14:textId="77777777" w:rsidR="004967E3" w:rsidRPr="00843BDD" w:rsidRDefault="004967E3" w:rsidP="004967E3">
      <w:pPr>
        <w:widowControl/>
        <w:spacing w:after="240"/>
        <w:ind w:left="567" w:hanging="567"/>
        <w:rPr>
          <w:b/>
          <w:i/>
          <w:szCs w:val="24"/>
        </w:rPr>
      </w:pPr>
      <w:r w:rsidRPr="00843BDD">
        <w:rPr>
          <w:b/>
          <w:i/>
        </w:rPr>
        <w:t>Effektivitet og gevinster</w:t>
      </w:r>
    </w:p>
    <w:p w14:paraId="7E67F863" w14:textId="77777777" w:rsidR="004967E3" w:rsidRPr="00843BDD" w:rsidRDefault="004967E3" w:rsidP="004967E3">
      <w:pPr>
        <w:widowControl/>
        <w:spacing w:after="240"/>
        <w:ind w:left="567" w:hanging="567"/>
        <w:rPr>
          <w:szCs w:val="24"/>
        </w:rPr>
      </w:pPr>
      <w:r w:rsidRPr="00843BDD">
        <w:t>5.</w:t>
      </w:r>
      <w:r w:rsidRPr="00843BDD">
        <w:tab/>
        <w:t xml:space="preserve">glæder sig over myndighedens udbudsstrategi om at indbyde andre agenturer til at deltage i myndighedens åbne udbudsprocedurer, når der er mulighed for, at andre agenturer kan være interesserede; bemærker, at myndigheden i 2022 var det ledende agentur for en </w:t>
      </w:r>
      <w:proofErr w:type="spellStart"/>
      <w:r w:rsidRPr="00843BDD">
        <w:t>interinstitutionel</w:t>
      </w:r>
      <w:proofErr w:type="spellEnd"/>
      <w:r w:rsidRPr="00843BDD">
        <w:t xml:space="preserve"> udbudsprocedure, som Den Europæiske Værdipapir- og Markedstilsynsmyndighed (ESMA) og Den Europæiske Tilsynsmyndighed for Forsikrings- og Arbejdsmarkedspensionsordninger (EIOPA) deltog i; bemærker endvidere, at myndigheden også har deltaget i mange </w:t>
      </w:r>
      <w:proofErr w:type="spellStart"/>
      <w:r w:rsidRPr="00843BDD">
        <w:t>interinstitutionelle</w:t>
      </w:r>
      <w:proofErr w:type="spellEnd"/>
      <w:r w:rsidRPr="00843BDD">
        <w:t xml:space="preserve"> procedurer under ledelse af andre EU-institutioner, -organer, -kontorer eller -agenturer, hovedsagelig dem, der forvaltes af Kommissionen; bemærker, at 77 % af myndighedens 96 gældende rammekontrakter i 2022 blev indkøbt af andre EU-institutioner, -organer, -kontorer eller -agenturer;</w:t>
      </w:r>
    </w:p>
    <w:p w14:paraId="75B0F6DB" w14:textId="77777777" w:rsidR="004967E3" w:rsidRPr="00843BDD" w:rsidRDefault="004967E3" w:rsidP="004967E3">
      <w:pPr>
        <w:widowControl/>
        <w:spacing w:after="240"/>
        <w:ind w:left="567" w:hanging="567"/>
        <w:rPr>
          <w:szCs w:val="24"/>
        </w:rPr>
      </w:pPr>
      <w:r w:rsidRPr="00843BDD">
        <w:t>6.</w:t>
      </w:r>
      <w:r w:rsidRPr="00843BDD">
        <w:tab/>
        <w:t>bemærker, at Den Europæiske Tilsynsmyndigheds fælles udvalg, som samler EIOPA, ESMA, Kommissionen og Det Europæiske Udvalg for Systemiske Risici, udgør et centralt forum for drøftelse af fælles reguleringsmæssige spørgsmål og vedtagelse af fælles initiativer; minder om, at fælles initiativer samler forskellige perspektiver, mindsker dobbeltarbejde, fremmer læring og styrker forbindelserne mellem deltagerne;</w:t>
      </w:r>
    </w:p>
    <w:p w14:paraId="20FB2A5E" w14:textId="77777777" w:rsidR="004967E3" w:rsidRPr="00843BDD" w:rsidRDefault="004967E3" w:rsidP="004967E3">
      <w:pPr>
        <w:widowControl/>
        <w:spacing w:after="240"/>
        <w:ind w:left="567" w:hanging="567"/>
        <w:rPr>
          <w:bCs/>
          <w:szCs w:val="24"/>
        </w:rPr>
      </w:pPr>
      <w:r w:rsidRPr="00843BDD">
        <w:t>7.</w:t>
      </w:r>
      <w:r w:rsidRPr="00843BDD">
        <w:tab/>
        <w:t>glæder sig over, at myndigheden deltager i omfattende samarbejds- og ressourcedelingsinitiativer med forskellige agenturer, såsom fælles regnskabstjenester med ESMA, en fælles sikkerhedsansvarlig med EIOPA samt fælles IT-projekter, investering i karriereudvikling og tilvejebringelse af erfaring til at bistå andre agenturer med at opnå EMAS-certificering; understreger endvidere de horisontale fordele ved at arbejde sammen og tilpasse bedste praksis;</w:t>
      </w:r>
    </w:p>
    <w:p w14:paraId="5E9526E6" w14:textId="77777777" w:rsidR="004967E3" w:rsidRPr="00843BDD" w:rsidRDefault="004967E3" w:rsidP="004967E3">
      <w:pPr>
        <w:widowControl/>
        <w:spacing w:after="240"/>
        <w:ind w:left="567" w:hanging="567"/>
        <w:rPr>
          <w:szCs w:val="24"/>
        </w:rPr>
      </w:pPr>
      <w:r w:rsidRPr="00843BDD">
        <w:t>8.</w:t>
      </w:r>
      <w:r w:rsidRPr="00843BDD">
        <w:tab/>
        <w:t xml:space="preserve">roser myndigheden for at have iværksat forskellige initiativer såsom procesoptimering, ressourceforvaltning, digitalisering, styrkelse af samarbejdet og fremme af en kultur for løbende forbedringer; bemærker, at centrale strategier omfatter procesautomatisering (finansielle papirløse transaktioner, massebetalingsbyrde, </w:t>
      </w:r>
      <w:proofErr w:type="spellStart"/>
      <w:r w:rsidRPr="00843BDD">
        <w:t>workflowværktøjer</w:t>
      </w:r>
      <w:proofErr w:type="spellEnd"/>
      <w:r w:rsidRPr="00843BDD">
        <w:t>), ressourceoptimering, datadreven beslutningstagning, teknologiintegration (</w:t>
      </w:r>
      <w:proofErr w:type="spellStart"/>
      <w:r w:rsidRPr="00843BDD">
        <w:t>cloudtjenester</w:t>
      </w:r>
      <w:proofErr w:type="spellEnd"/>
      <w:r w:rsidRPr="00843BDD">
        <w:t>, digitalisering af menneskelige ressourcer), samarbejde gennem tværfaglige teams og projektforvaltning;</w:t>
      </w:r>
    </w:p>
    <w:p w14:paraId="1B021BBA" w14:textId="77777777" w:rsidR="004967E3" w:rsidRPr="00843BDD" w:rsidRDefault="004967E3" w:rsidP="004967E3">
      <w:pPr>
        <w:pStyle w:val="NormalHanging12a"/>
      </w:pPr>
      <w:r w:rsidRPr="00843BDD">
        <w:t>9.</w:t>
      </w:r>
      <w:r w:rsidRPr="00843BDD">
        <w:tab/>
        <w:t xml:space="preserve">understreger, at myndigheden er aktivt medlem af netværket af EU-agenturer, og at der konstant udvikles </w:t>
      </w:r>
      <w:proofErr w:type="spellStart"/>
      <w:r w:rsidRPr="00843BDD">
        <w:t>synergier</w:t>
      </w:r>
      <w:proofErr w:type="spellEnd"/>
      <w:r w:rsidRPr="00843BDD">
        <w:t xml:space="preserve"> med de andre europæiske tilsynsmyndigheder, såsom deling af ansættelsesreservelister mellem myndigheden, ESMA og EIOPA;</w:t>
      </w:r>
    </w:p>
    <w:p w14:paraId="3AEE5DB3" w14:textId="77777777" w:rsidR="004967E3" w:rsidRPr="00843BDD" w:rsidRDefault="004967E3" w:rsidP="004967E3">
      <w:pPr>
        <w:widowControl/>
        <w:spacing w:after="240"/>
        <w:ind w:left="567" w:hanging="567"/>
        <w:rPr>
          <w:b/>
          <w:i/>
          <w:szCs w:val="24"/>
        </w:rPr>
      </w:pPr>
      <w:r w:rsidRPr="00843BDD">
        <w:rPr>
          <w:b/>
          <w:i/>
        </w:rPr>
        <w:t>Personalepolitik</w:t>
      </w:r>
    </w:p>
    <w:p w14:paraId="658D7F88" w14:textId="77777777" w:rsidR="004967E3" w:rsidRPr="00843BDD" w:rsidRDefault="004967E3" w:rsidP="004967E3">
      <w:pPr>
        <w:widowControl/>
        <w:spacing w:after="240"/>
        <w:ind w:left="567" w:hanging="567"/>
        <w:rPr>
          <w:szCs w:val="24"/>
        </w:rPr>
      </w:pPr>
      <w:r w:rsidRPr="00843BDD">
        <w:t>10.</w:t>
      </w:r>
      <w:r w:rsidRPr="00843BDD">
        <w:tab/>
        <w:t>bemærker, at gennemførelsesgraden for stillingsfortegnelsen pr. 31. december 2022 var på 98,14 % med 159 stillinger som midlertidigt ansatte ud af de 162 stillinger som midlertidigt ansatte, der var godkendt i henhold til Unionens budget (det samme antal godkendte stillinger som i 2021); bemærker, at der desuden var 44 kontraktansatte (ud af 50 godkendte stillinger) og 13 udstationerede nationale eksperter (ud af 19 godkendte stillinger plus seks omkostningsfrit udstationerede nationale eksperter), som arbejdede for myndigheden i 2022;</w:t>
      </w:r>
    </w:p>
    <w:p w14:paraId="006266A4" w14:textId="77777777" w:rsidR="004967E3" w:rsidRPr="00843BDD" w:rsidRDefault="004967E3" w:rsidP="004967E3">
      <w:pPr>
        <w:widowControl/>
        <w:spacing w:after="240"/>
        <w:ind w:left="567" w:hanging="567"/>
        <w:rPr>
          <w:szCs w:val="24"/>
        </w:rPr>
      </w:pPr>
      <w:r w:rsidRPr="00843BDD">
        <w:t>11.</w:t>
      </w:r>
      <w:r w:rsidRPr="00843BDD">
        <w:tab/>
        <w:t>bemærker, at den samlede personaleomsætning i 2022 var på 11,5 % (sammenlignet med 12 % i 2021); noterer sig, at den samlede personaleomsætning omfatter udløbet af kontrakter for udstationerede nationale eksperter, hvis kontrakter i sagens natur er kortere, hvorimod personaleomsætningen for vedtægtsomfattet personale (midlertidigt ansatte og kontraktansatte) var på 9 % (lidt højere for kontraktansatte end midlertidigt ansatte); fremhæver, at myndigheden siden 2020 er begyndt at berige sin talentstyringstilgang med yderligere tiltag, der skal styrke personalet og støtte langsigtet engagement (en stærk værdipakke for medarbejderne ("</w:t>
      </w:r>
      <w:proofErr w:type="spellStart"/>
      <w:r w:rsidRPr="00843BDD">
        <w:t>Employee</w:t>
      </w:r>
      <w:proofErr w:type="spellEnd"/>
      <w:r w:rsidRPr="00843BDD">
        <w:t xml:space="preserve"> Value Proposition"), skræddersyede karriereudviklingsprogrammer såsom mentorordninger, initiativer til at skabe balance mellem arbejdsliv og privatliv såsom sociale klubber osv.);</w:t>
      </w:r>
    </w:p>
    <w:p w14:paraId="5A085A13" w14:textId="77777777" w:rsidR="004967E3" w:rsidRPr="00843BDD" w:rsidRDefault="004967E3" w:rsidP="004967E3">
      <w:pPr>
        <w:pStyle w:val="NormalHanging12a"/>
        <w:widowControl/>
        <w:rPr>
          <w:szCs w:val="24"/>
        </w:rPr>
      </w:pPr>
      <w:r w:rsidRPr="00843BDD">
        <w:t>12.</w:t>
      </w:r>
      <w:r w:rsidRPr="00843BDD">
        <w:tab/>
        <w:t>bemærker kønsfordelingen blandt myndighedens øverste ledelse og blandt dets mellemledere, hvor 16 ud af 29 er mænd (55 %), og blandt myndighedens samlede personale, hvor 114 ud af 222 ansatte (51 %) er mænd; støtter det forhold, at myndigheden har vedtaget netværket af EU-agenturers charter om mangfoldighed og inklusion; bemærker, at myndigheden er medlem af "</w:t>
      </w:r>
      <w:proofErr w:type="spellStart"/>
      <w:r w:rsidRPr="00843BDD">
        <w:t>Choose</w:t>
      </w:r>
      <w:proofErr w:type="spellEnd"/>
      <w:r w:rsidRPr="00843BDD">
        <w:t xml:space="preserve"> Paris Region", som er et netværk af internationale organisationer, der fremmer en mangfoldig, inklusiv og retfærdig arbejdsplads og tilbyder specifikke tilpasninger til personer med handicap som led i rekrutteringsprocessen;</w:t>
      </w:r>
    </w:p>
    <w:p w14:paraId="0D746319" w14:textId="77777777" w:rsidR="004967E3" w:rsidRPr="00843BDD" w:rsidRDefault="004967E3" w:rsidP="004967E3">
      <w:pPr>
        <w:widowControl/>
        <w:spacing w:after="240"/>
        <w:ind w:left="567" w:hanging="567"/>
        <w:rPr>
          <w:szCs w:val="24"/>
        </w:rPr>
      </w:pPr>
      <w:r w:rsidRPr="00843BDD">
        <w:t>13.</w:t>
      </w:r>
      <w:r w:rsidRPr="00843BDD">
        <w:tab/>
        <w:t xml:space="preserve">er klar over, at der i 2022 blev iværksat en undersøgelse af medarbejdernes inddragelse, som resulterede i en svarprocent på 71 %; bemærker, at den samlede positive score for medarbejdernes inddragelse var 65 %, hvilket er 1 % højere end i forbindelse med undersøgelsen i 2019 (på trods af den udfordrende </w:t>
      </w:r>
      <w:proofErr w:type="spellStart"/>
      <w:r w:rsidRPr="00843BDD">
        <w:t>covid</w:t>
      </w:r>
      <w:proofErr w:type="spellEnd"/>
      <w:r w:rsidRPr="00843BDD">
        <w:t xml:space="preserve">-periode) og sammenlignet med EU's </w:t>
      </w:r>
      <w:proofErr w:type="spellStart"/>
      <w:r w:rsidRPr="00843BDD">
        <w:t>benchmark</w:t>
      </w:r>
      <w:proofErr w:type="spellEnd"/>
      <w:r w:rsidRPr="00843BDD">
        <w:t xml:space="preserve"> for agenturerne;</w:t>
      </w:r>
    </w:p>
    <w:p w14:paraId="450A6FED" w14:textId="77777777" w:rsidR="004967E3" w:rsidRPr="00843BDD" w:rsidRDefault="004967E3" w:rsidP="004967E3">
      <w:pPr>
        <w:widowControl/>
        <w:spacing w:after="240"/>
        <w:ind w:left="567" w:hanging="567"/>
        <w:rPr>
          <w:b/>
          <w:i/>
          <w:szCs w:val="24"/>
        </w:rPr>
      </w:pPr>
      <w:r w:rsidRPr="00843BDD">
        <w:rPr>
          <w:b/>
          <w:i/>
        </w:rPr>
        <w:t>Forebyggelse og håndtering af interessekonflikter samt gennemsigtighed</w:t>
      </w:r>
    </w:p>
    <w:p w14:paraId="3C74B9A1" w14:textId="77777777" w:rsidR="004967E3" w:rsidRPr="00843BDD" w:rsidRDefault="004967E3" w:rsidP="004967E3">
      <w:pPr>
        <w:widowControl/>
        <w:spacing w:after="240"/>
        <w:ind w:left="567" w:hanging="567"/>
      </w:pPr>
      <w:r w:rsidRPr="00843BDD">
        <w:t>14.</w:t>
      </w:r>
      <w:r w:rsidRPr="00843BDD">
        <w:tab/>
        <w:t xml:space="preserve">glæder sig over, at myndigheden i 2022 strømlinede den etiske proces, navnlig gennem indførelsen af et elektronisk </w:t>
      </w:r>
      <w:proofErr w:type="spellStart"/>
      <w:r w:rsidRPr="00843BDD">
        <w:t>workflowsystem</w:t>
      </w:r>
      <w:proofErr w:type="spellEnd"/>
      <w:r w:rsidRPr="00843BDD">
        <w:t>, herunder en mere dybtgående og effektiv vurdering af underretninger om potentielle interessekonflikter hos afgående medarbejdere og meddelelser om aktiviteter efter fratrædelse;</w:t>
      </w:r>
    </w:p>
    <w:p w14:paraId="650229DB" w14:textId="77777777" w:rsidR="004967E3" w:rsidRPr="00843BDD" w:rsidRDefault="004967E3" w:rsidP="004967E3">
      <w:pPr>
        <w:pStyle w:val="NormalHanging12a"/>
      </w:pPr>
      <w:r w:rsidRPr="00843BDD">
        <w:t>15.</w:t>
      </w:r>
      <w:r w:rsidRPr="00843BDD">
        <w:tab/>
        <w:t xml:space="preserve">fremhæver, at retningslinjerne om </w:t>
      </w:r>
      <w:proofErr w:type="spellStart"/>
      <w:r w:rsidRPr="00843BDD">
        <w:t>whistleblowing</w:t>
      </w:r>
      <w:proofErr w:type="spellEnd"/>
      <w:r w:rsidRPr="00843BDD">
        <w:t>, der omfatter retningslinjer for bekæmpelse af korruption, er blevet indarbejdet i kursusmaterialet i myndighedens uddannelsesprogrammer med fokus på etik og integritet;</w:t>
      </w:r>
    </w:p>
    <w:p w14:paraId="1F0CA4A1" w14:textId="77777777" w:rsidR="004967E3" w:rsidRPr="00843BDD" w:rsidRDefault="004967E3" w:rsidP="004967E3">
      <w:pPr>
        <w:pStyle w:val="NormalHanging12a"/>
      </w:pPr>
      <w:r w:rsidRPr="00843BDD">
        <w:t>16.</w:t>
      </w:r>
      <w:r w:rsidRPr="00843BDD">
        <w:tab/>
        <w:t>værdsætter, at tilsynsrådet i 2022 vedtog en ændring af såvel sin egen som bestyrelsens forretningsorden samt af mandaterne for de stående udvalg om afvikling og om bekæmpelse af hvidvask af penge og finansiering af terrorisme, således at medlemmer, der har erklæret en interessekonflikt, uden undtagelse skal afstå fra at deltage i såvel afstemningen som i selve drøftelsen;</w:t>
      </w:r>
    </w:p>
    <w:p w14:paraId="431487CF" w14:textId="77777777" w:rsidR="004967E3" w:rsidRPr="00843BDD" w:rsidRDefault="004967E3" w:rsidP="004967E3">
      <w:pPr>
        <w:widowControl/>
        <w:spacing w:after="240"/>
        <w:ind w:left="567" w:hanging="567"/>
        <w:rPr>
          <w:szCs w:val="24"/>
        </w:rPr>
      </w:pPr>
      <w:r w:rsidRPr="00843BDD">
        <w:t>17.</w:t>
      </w:r>
      <w:r w:rsidRPr="00843BDD">
        <w:tab/>
        <w:t>bemærker, at myndigheden efter afslutningen af en OLAF-undersøgelse, hvor der ikke havde været tegn på regelstridigheder med hensyn til overholdelsen af de relevante retlige rammer, modtog en henstilling om at træffe administrative foranstaltninger, navnlig vedrørende ansættelseskontrakter for den øverste ledelse; bemærker, at undersøgelsen afslørede en mangel på kontraktlige bestemmelser vedrørende ikke-aktiv tjeneste eller en karensperiode; fremhæver, at myndigheden i februar 2022 som reaktion herpå indførte en ny artikel i kontrakter for direktører, rådgivere og derover; bemærker, at myndigheden som følge af begrænsninger inden for personalevedtægtens retlige rammer meddelte OLAF, at den ikke kan pålægge ansatte krav uden for denne ramme, såsom at yde kompensation, når en tidligere ansat er begrænset til at udøve en erhvervsmæssig aktivitet eller står over for betydelige betingelser i forbindelse hermed;</w:t>
      </w:r>
    </w:p>
    <w:p w14:paraId="05AAE971" w14:textId="77777777" w:rsidR="004967E3" w:rsidRPr="00843BDD" w:rsidRDefault="004967E3" w:rsidP="004967E3">
      <w:pPr>
        <w:widowControl/>
        <w:spacing w:after="240"/>
        <w:ind w:left="567" w:hanging="567"/>
        <w:rPr>
          <w:szCs w:val="24"/>
        </w:rPr>
      </w:pPr>
      <w:r w:rsidRPr="00843BDD">
        <w:t>18.</w:t>
      </w:r>
      <w:r w:rsidRPr="00843BDD">
        <w:tab/>
        <w:t>glæder sig over, at myndigheden offentliggør oplysninger om alle personalemøder med eksterne interessenter fra den private sektor inden for to uger efter formandens møde, (jf. artikel 49a i forordning (EU) nr. 1093/2010), og at dette også gælder for den administrerende direktør, selv om artikel 52a i den pågældende forordning fastlægger, at oplysninger om den administrerende direktørs møder skal offentliggøres, men ikke præciserer, hvor hurtigt efter mødernes afholdelse dette skal ske; bemærker, at oplysninger om møder mellem det øvrige personale og interessenter fra den private sektor offentliggøres hvert kvartal;</w:t>
      </w:r>
    </w:p>
    <w:p w14:paraId="08CA5458" w14:textId="77777777" w:rsidR="004967E3" w:rsidRPr="00843BDD" w:rsidRDefault="004967E3" w:rsidP="004967E3">
      <w:pPr>
        <w:widowControl/>
        <w:spacing w:after="240"/>
        <w:ind w:left="567" w:hanging="567"/>
        <w:rPr>
          <w:szCs w:val="24"/>
        </w:rPr>
      </w:pPr>
      <w:r w:rsidRPr="00843BDD">
        <w:t>19.</w:t>
      </w:r>
      <w:r w:rsidRPr="00843BDD">
        <w:tab/>
        <w:t xml:space="preserve">henleder opmærksomheden på afslutningen af en </w:t>
      </w:r>
      <w:proofErr w:type="spellStart"/>
      <w:r w:rsidRPr="00843BDD">
        <w:t>whistleblowersag</w:t>
      </w:r>
      <w:proofErr w:type="spellEnd"/>
      <w:r w:rsidRPr="00843BDD">
        <w:t xml:space="preserve"> i 2022; bemærker, at de foranstaltninger, der blev truffet, omfattede kontakt til en national kompetent myndighed for at forstå påstandene og de foranstaltninger, der blev truffet på nationalt plan, hvilket resulterede i, at sagen blev afsluttet, uden at myndigheden behøvede at foretage sig noget;</w:t>
      </w:r>
    </w:p>
    <w:p w14:paraId="55126199" w14:textId="77777777" w:rsidR="004967E3" w:rsidRPr="00843BDD" w:rsidRDefault="004967E3" w:rsidP="004967E3">
      <w:pPr>
        <w:widowControl/>
        <w:spacing w:after="240"/>
        <w:ind w:left="567" w:hanging="567"/>
        <w:rPr>
          <w:szCs w:val="24"/>
        </w:rPr>
      </w:pPr>
      <w:r w:rsidRPr="00843BDD">
        <w:t>20.</w:t>
      </w:r>
      <w:r w:rsidRPr="00843BDD">
        <w:tab/>
        <w:t>minder om, at CV'er for medlemmer af ledelsesorganer og den øverste ledelse samt for suppleanter og direktører offentliggøres på myndighedens websteder; bemærker, at disse CV'er omfatter oplysninger om erhvervserfaring og uddannelse; bemærker endvidere, at myndigheden for så vidt angår eksperter offentliggør CV'erne for medlemmer af interessentgruppen for banker;</w:t>
      </w:r>
    </w:p>
    <w:p w14:paraId="3D371C2C" w14:textId="77777777" w:rsidR="004967E3" w:rsidRPr="00843BDD" w:rsidRDefault="004967E3" w:rsidP="004967E3">
      <w:pPr>
        <w:widowControl/>
        <w:spacing w:after="240"/>
        <w:ind w:left="567" w:hanging="567"/>
        <w:rPr>
          <w:b/>
          <w:i/>
          <w:szCs w:val="24"/>
        </w:rPr>
      </w:pPr>
      <w:r w:rsidRPr="00843BDD">
        <w:rPr>
          <w:b/>
          <w:i/>
        </w:rPr>
        <w:t>Udbud</w:t>
      </w:r>
    </w:p>
    <w:p w14:paraId="0640ABEA" w14:textId="77777777" w:rsidR="004967E3" w:rsidRPr="00843BDD" w:rsidRDefault="004967E3" w:rsidP="004967E3">
      <w:pPr>
        <w:widowControl/>
        <w:spacing w:after="240"/>
        <w:ind w:left="567" w:hanging="567"/>
        <w:rPr>
          <w:szCs w:val="24"/>
        </w:rPr>
      </w:pPr>
      <w:r w:rsidRPr="00843BDD">
        <w:t>21.</w:t>
      </w:r>
      <w:r w:rsidRPr="00843BDD">
        <w:tab/>
        <w:t>noterer sig, at myndigheden ifølge Revisionsretten søgte at indkøbe tjenesteydelser ved hjælp af to offentlige udbud, ét om markedsundersøgelser vedrørende finansielle tjenesteydelser og ét om konsulenttjenester vedrørende databeskyttelse; bemærker, at der i det ene udbud var en overlapning mellem udvælgelseskriterierne og tildelingskriterierne; understreger, at en sådan overlapning er i strid med finansforordningens artikel 167, som fastsætter, at der skal være fuldstændig adskillelse mellem tildelings- og udvælgelseskriterierne; fastslår, at udvælgelseskriterier anvendes til at vurdere tilbudsgivernes kapacitet, og at tildelingskriterier anvendes til at vurdere tilbuddenes pris og kvalitet; bemærker med beklagelse, at myndigheden i begge tilfælde satte kontrakternes maksimumværdi for højt som følge af mangler i den undersøgelse af markedspriser, som den havde foretaget før iværksættelsen af udbuddet;</w:t>
      </w:r>
    </w:p>
    <w:p w14:paraId="7A0FE102" w14:textId="77777777" w:rsidR="004967E3" w:rsidRPr="00843BDD" w:rsidRDefault="004967E3" w:rsidP="004967E3">
      <w:pPr>
        <w:widowControl/>
        <w:spacing w:after="240"/>
        <w:ind w:left="567" w:hanging="567"/>
        <w:rPr>
          <w:szCs w:val="24"/>
        </w:rPr>
      </w:pPr>
      <w:r w:rsidRPr="00843BDD">
        <w:t>22.</w:t>
      </w:r>
      <w:r w:rsidRPr="00843BDD">
        <w:tab/>
        <w:t>bemærker, at den svaghed i forbindelse med udbud, der påvirkede to særskilte udbud med forhandling, som blev rapporteret i 2021, ifølge Revisionsretten er blevet korrigeret, eftersom myndigheden nu anvender Kommissionens skabeloner og således bringer sine procedurer i overensstemmelse med Revisionsrettens bemærkning;</w:t>
      </w:r>
    </w:p>
    <w:p w14:paraId="4E3801FC" w14:textId="77777777" w:rsidR="004967E3" w:rsidRPr="00843BDD" w:rsidRDefault="004967E3" w:rsidP="004967E3">
      <w:pPr>
        <w:widowControl/>
        <w:spacing w:after="240"/>
        <w:ind w:left="567" w:hanging="567"/>
        <w:rPr>
          <w:szCs w:val="24"/>
        </w:rPr>
      </w:pPr>
      <w:r w:rsidRPr="00843BDD">
        <w:t>23.</w:t>
      </w:r>
      <w:r w:rsidRPr="00843BDD">
        <w:tab/>
        <w:t>fremhæver, at Revisionsretten siden regnskabsåret 2020 hvert år har fremsat nye udbudsrelaterede bemærkninger for fire agenturer, herunder myndigheden; minder om, at reglerne for offentlige udbud skal sikre, at ordregivere kan indkøbe varer og tjenesteydelser til den bedste pris, at der er fair konkurrence mellem tilbudsgiverne, og at principperne om gennemsigtighed, proportionalitet, ligebehandling og ikkeforskelsbehandling overholdes; opfordrer myndigheden til at sikre fuld overholdelse af de gældende udbudsregler for offentlige indkøb, så der opnås mest mulig valuta for pengene;</w:t>
      </w:r>
    </w:p>
    <w:p w14:paraId="55B10EEA" w14:textId="77777777" w:rsidR="004967E3" w:rsidRPr="00843BDD" w:rsidRDefault="004967E3" w:rsidP="004967E3">
      <w:pPr>
        <w:widowControl/>
        <w:spacing w:after="240"/>
        <w:ind w:left="567" w:hanging="567"/>
        <w:rPr>
          <w:b/>
          <w:i/>
          <w:szCs w:val="24"/>
        </w:rPr>
      </w:pPr>
      <w:r w:rsidRPr="00843BDD">
        <w:rPr>
          <w:b/>
          <w:i/>
        </w:rPr>
        <w:t>Intern kontrol</w:t>
      </w:r>
    </w:p>
    <w:p w14:paraId="04961635" w14:textId="77777777" w:rsidR="004967E3" w:rsidRPr="00843BDD" w:rsidRDefault="004967E3" w:rsidP="004967E3">
      <w:pPr>
        <w:widowControl/>
        <w:spacing w:after="240"/>
        <w:ind w:left="567" w:hanging="567"/>
        <w:rPr>
          <w:szCs w:val="24"/>
        </w:rPr>
      </w:pPr>
      <w:r w:rsidRPr="00843BDD">
        <w:t>24.</w:t>
      </w:r>
      <w:r w:rsidRPr="00843BDD">
        <w:tab/>
        <w:t xml:space="preserve">minder om, at myndigheden i 2021 indledte et arbejde med en særlig risikostyringspartner for at forbedre foreneligheden af myndighedens nuværende risikostyringsprogram med COSO Enterprise </w:t>
      </w:r>
      <w:proofErr w:type="spellStart"/>
      <w:r w:rsidRPr="00843BDD">
        <w:t>Risk</w:t>
      </w:r>
      <w:proofErr w:type="spellEnd"/>
      <w:r w:rsidRPr="00843BDD">
        <w:t xml:space="preserve"> Management (ERM), og at dette arbejde blev fortsat i 2022; bemærker, at myndigheden for at styrke den interne kontrol yderligere planlægger at integrere sit risikostyringsprogram i COSO ERM-rammen, intensivere aktiviteter forbundet med etik og i 2023 tilbyde skræddersyet uddannelse i intern kontrol med det formål at opretholde og forbedre effektiviteten af det overordnede interne kontrolsystem;</w:t>
      </w:r>
    </w:p>
    <w:p w14:paraId="0CDE91A6" w14:textId="77777777" w:rsidR="004967E3" w:rsidRPr="00843BDD" w:rsidRDefault="004967E3" w:rsidP="004967E3">
      <w:pPr>
        <w:widowControl/>
        <w:spacing w:after="240"/>
        <w:ind w:left="567" w:hanging="567"/>
        <w:rPr>
          <w:szCs w:val="24"/>
        </w:rPr>
      </w:pPr>
      <w:r w:rsidRPr="00843BDD">
        <w:t>25.</w:t>
      </w:r>
      <w:r w:rsidRPr="00843BDD">
        <w:tab/>
        <w:t>bemærker, at svaghede</w:t>
      </w:r>
      <w:r w:rsidR="00686908" w:rsidRPr="00843BDD">
        <w:t>r</w:t>
      </w:r>
      <w:r w:rsidRPr="00843BDD">
        <w:t>n</w:t>
      </w:r>
      <w:r w:rsidR="00686908" w:rsidRPr="00843BDD">
        <w:t>e</w:t>
      </w:r>
      <w:r w:rsidRPr="00843BDD">
        <w:t xml:space="preserve"> i den interne kontrol, der blev rapporteret i 2021, ifølge Revisionsretten er blevet korrigeret, eftersom myndigheden ændrede sine procedurer på passende vis;</w:t>
      </w:r>
    </w:p>
    <w:p w14:paraId="51864F17" w14:textId="77777777" w:rsidR="004967E3" w:rsidRPr="00843BDD" w:rsidRDefault="004967E3" w:rsidP="004967E3">
      <w:pPr>
        <w:widowControl/>
        <w:spacing w:after="240"/>
        <w:ind w:left="567" w:hanging="567"/>
        <w:rPr>
          <w:b/>
          <w:i/>
          <w:szCs w:val="24"/>
        </w:rPr>
      </w:pPr>
      <w:r w:rsidRPr="00843BDD">
        <w:rPr>
          <w:b/>
          <w:i/>
        </w:rPr>
        <w:t>Øvrige bemærkninger</w:t>
      </w:r>
    </w:p>
    <w:p w14:paraId="289511A1" w14:textId="77777777" w:rsidR="004967E3" w:rsidRPr="00843BDD" w:rsidRDefault="004967E3" w:rsidP="004967E3">
      <w:pPr>
        <w:widowControl/>
        <w:spacing w:after="240"/>
        <w:ind w:left="567" w:hanging="567"/>
        <w:rPr>
          <w:szCs w:val="24"/>
        </w:rPr>
      </w:pPr>
      <w:r w:rsidRPr="00843BDD">
        <w:t>26.</w:t>
      </w:r>
      <w:r w:rsidRPr="00843BDD">
        <w:tab/>
        <w:t>glæder sig over, at myndigheden i 2022 fortsatte med at fremme sit arbejde og sine resultater via en bred vifte af kommunikationskanaler såsom virksomhedens websted, presseinterviews og sociale medieplatforme; bemærker, at myndigheden også øgede antallet af dynamiske datavisualiseringer med henblik på at præsentere store mængder data på en mere omfattende og letforståelig måde, og at den offentliggjorde 149 pressemeddelelser og nyhedsartikler, fremmede sit arbejde i pressen og i medierne, gennemførte 74 interviews og briefinger med pressen og besvarede 706 forespørgsler via e-mail;</w:t>
      </w:r>
    </w:p>
    <w:p w14:paraId="79D21305" w14:textId="77777777" w:rsidR="004967E3" w:rsidRPr="00843BDD" w:rsidRDefault="004967E3" w:rsidP="004967E3">
      <w:pPr>
        <w:pStyle w:val="NormalHanging12a"/>
        <w:widowControl/>
      </w:pPr>
      <w:r w:rsidRPr="00843BDD">
        <w:t>27.</w:t>
      </w:r>
      <w:r w:rsidRPr="00843BDD">
        <w:tab/>
        <w:t>glæder sig over, at myndigheden i 2022 blev tildelt certifikatet fra ordningen for miljøledelse og miljørevision (EMAS) og med succes opfyldte sine miljømålsætninger og -mål for 2022 inden for rejser, energi, affald, udbud og kerneaktiviteter;</w:t>
      </w:r>
      <w:r w:rsidRPr="00843BDD">
        <w:rPr>
          <w:color w:val="374151"/>
        </w:rPr>
        <w:t xml:space="preserve"> </w:t>
      </w:r>
      <w:r w:rsidRPr="00843BDD">
        <w:t>fremhæver, at disse resultater omfatter en reduktion på mindst 50 % i rejserelaterede aktiviteter, et fald på 10 % i bygningers energiforbrug, en forpligtelse til at genanvende mindst 70 % af affaldet og til i 100 % af de kontrakter, som myndigheden har indgået, at tage hensyn til miljøpåvirkningen;</w:t>
      </w:r>
    </w:p>
    <w:p w14:paraId="0B30963D" w14:textId="77777777" w:rsidR="004967E3" w:rsidRPr="00843BDD" w:rsidRDefault="004967E3" w:rsidP="004967E3">
      <w:pPr>
        <w:pStyle w:val="NormalHanging12a"/>
        <w:widowControl/>
      </w:pPr>
      <w:r w:rsidRPr="00843BDD">
        <w:t>28.</w:t>
      </w:r>
      <w:r w:rsidRPr="00843BDD">
        <w:tab/>
        <w:t>roser myndigheden for at have forpligtet sig til at reducere energiforbruget med 10 % i 2022 (sammenlignet med 2019); påpeger, at myndigheden med henblik på at nå dette mål har indført foranstaltninger, såsom omlægning af opvarmningsplanerne, sænkelse af termostaternes indstillingstemperatur, overgang til udelukkende at bruge energi fra vedvarende energikilder, daglig overvågning af målere for at evaluere de trufne foranstaltninger og gennemførelse af en oplysningskampagne om energibesparelser rettet mod personalet; bemærker, at den opnåede energireduktion var på 16,4 % ved udgangen af 2022 (sammenlignet med 2019);</w:t>
      </w:r>
    </w:p>
    <w:p w14:paraId="62005988" w14:textId="77777777" w:rsidR="004967E3" w:rsidRPr="00843BDD" w:rsidRDefault="004967E3" w:rsidP="004967E3">
      <w:pPr>
        <w:pStyle w:val="NormalCenter12a"/>
        <w:widowControl/>
        <w:ind w:left="567" w:hanging="567"/>
      </w:pPr>
      <w:r w:rsidRPr="00843BDD">
        <w:t>°</w:t>
      </w:r>
    </w:p>
    <w:p w14:paraId="42779929" w14:textId="77777777" w:rsidR="004967E3" w:rsidRPr="00843BDD" w:rsidRDefault="004967E3" w:rsidP="004967E3">
      <w:pPr>
        <w:pStyle w:val="NormalCenter12a"/>
        <w:widowControl/>
        <w:ind w:left="567" w:hanging="567"/>
      </w:pPr>
      <w:r w:rsidRPr="00843BDD">
        <w:t>°</w:t>
      </w:r>
      <w:r w:rsidRPr="00843BDD">
        <w:tab/>
        <w:t>°</w:t>
      </w:r>
    </w:p>
    <w:p w14:paraId="013BA32C" w14:textId="346D9883" w:rsidR="004967E3" w:rsidRPr="00843BDD" w:rsidRDefault="004967E3" w:rsidP="004967E3">
      <w:pPr>
        <w:pStyle w:val="NormalHanging12a"/>
      </w:pPr>
      <w:r w:rsidRPr="00843BDD">
        <w:t>29.</w:t>
      </w:r>
      <w:r w:rsidRPr="00843BDD">
        <w:tab/>
        <w:t xml:space="preserve">henviser med hensyn til de øvrige bemærkninger, der ledsager dechargeafgørelsen, og som er af horisontal karakter, til sin beslutning af </w:t>
      </w:r>
      <w:r w:rsidR="00686908" w:rsidRPr="00843BDD">
        <w:t>11.</w:t>
      </w:r>
      <w:r w:rsidRPr="00843BDD">
        <w:t xml:space="preserve"> april 2024</w:t>
      </w:r>
      <w:r w:rsidRPr="00843BDD">
        <w:rPr>
          <w:vertAlign w:val="superscript"/>
        </w:rPr>
        <w:footnoteReference w:id="15"/>
      </w:r>
      <w:r w:rsidRPr="00843BDD">
        <w:t xml:space="preserve"> om agenturernes resultater, økonomiske forvaltning og kontrol.</w:t>
      </w:r>
    </w:p>
    <w:p w14:paraId="67EF8A53" w14:textId="77777777" w:rsidR="004967E3" w:rsidRPr="00843BDD" w:rsidRDefault="004967E3" w:rsidP="004967E3"/>
    <w:sectPr w:rsidR="004967E3" w:rsidRPr="00843BDD" w:rsidSect="009B749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271DB" w14:textId="77777777" w:rsidR="00DD2B88" w:rsidRPr="009B7490" w:rsidRDefault="00DD2B88">
      <w:r w:rsidRPr="009B7490">
        <w:separator/>
      </w:r>
    </w:p>
  </w:endnote>
  <w:endnote w:type="continuationSeparator" w:id="0">
    <w:p w14:paraId="2A0216E2" w14:textId="77777777" w:rsidR="00DD2B88" w:rsidRPr="009B7490" w:rsidRDefault="00DD2B88">
      <w:r w:rsidRPr="009B74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76ABC" w14:textId="77777777" w:rsidR="004967E3" w:rsidRPr="009B7490" w:rsidRDefault="004967E3" w:rsidP="005C3C72">
    <w:pPr>
      <w:pStyle w:val="EPFooter"/>
    </w:pPr>
    <w:r w:rsidRPr="009B7490">
      <w:t>PE</w:t>
    </w:r>
    <w:r w:rsidRPr="009B7490">
      <w:rPr>
        <w:rStyle w:val="HideTWBExt"/>
      </w:rPr>
      <w:t>&lt;</w:t>
    </w:r>
    <w:proofErr w:type="spellStart"/>
    <w:r w:rsidRPr="009B7490">
      <w:rPr>
        <w:rStyle w:val="HideTWBExt"/>
      </w:rPr>
      <w:t>NoPE</w:t>
    </w:r>
    <w:proofErr w:type="spellEnd"/>
    <w:r w:rsidRPr="009B7490">
      <w:rPr>
        <w:rStyle w:val="HideTWBExt"/>
      </w:rPr>
      <w:t>&gt;</w:t>
    </w:r>
    <w:r w:rsidRPr="009B7490">
      <w:t>753.513</w:t>
    </w:r>
    <w:r w:rsidRPr="009B7490">
      <w:rPr>
        <w:rStyle w:val="HideTWBExt"/>
      </w:rPr>
      <w:t>&lt;/</w:t>
    </w:r>
    <w:proofErr w:type="spellStart"/>
    <w:r w:rsidRPr="009B7490">
      <w:rPr>
        <w:rStyle w:val="HideTWBExt"/>
      </w:rPr>
      <w:t>NoPE</w:t>
    </w:r>
    <w:proofErr w:type="spellEnd"/>
    <w:r w:rsidRPr="009B7490">
      <w:rPr>
        <w:rStyle w:val="HideTWBExt"/>
      </w:rPr>
      <w:t>&gt;&lt;Version&gt;</w:t>
    </w:r>
    <w:r w:rsidRPr="009B7490">
      <w:t>v02-00</w:t>
    </w:r>
    <w:r w:rsidRPr="009B7490">
      <w:rPr>
        <w:rStyle w:val="HideTWBExt"/>
      </w:rPr>
      <w:t>&lt;/Version&gt;</w:t>
    </w:r>
    <w:r w:rsidRPr="009B7490">
      <w:tab/>
    </w:r>
    <w:r w:rsidRPr="009B7490">
      <w:fldChar w:fldCharType="begin"/>
    </w:r>
    <w:r w:rsidRPr="009B7490">
      <w:instrText xml:space="preserve"> PAGE  \* MERGEFORMAT </w:instrText>
    </w:r>
    <w:r w:rsidRPr="009B7490">
      <w:fldChar w:fldCharType="separate"/>
    </w:r>
    <w:r w:rsidRPr="009B7490">
      <w:rPr>
        <w:noProof/>
      </w:rPr>
      <w:t>4</w:t>
    </w:r>
    <w:r w:rsidRPr="009B7490">
      <w:fldChar w:fldCharType="end"/>
    </w:r>
    <w:r w:rsidRPr="009B7490">
      <w:t>/</w:t>
    </w:r>
    <w:fldSimple w:instr=" NUMPAGES  \* MERGEFORMAT ">
      <w:r w:rsidRPr="009B7490">
        <w:rPr>
          <w:noProof/>
        </w:rPr>
        <w:t>4</w:t>
      </w:r>
    </w:fldSimple>
    <w:r w:rsidRPr="009B7490">
      <w:tab/>
    </w:r>
    <w:r w:rsidRPr="009B7490">
      <w:rPr>
        <w:rStyle w:val="HideTWBExt"/>
      </w:rPr>
      <w:t>&lt;PathFdR&gt;</w:t>
    </w:r>
    <w:r w:rsidRPr="009B7490">
      <w:t>RR\1298889DA.docx</w:t>
    </w:r>
    <w:r w:rsidRPr="009B7490">
      <w:rPr>
        <w:rStyle w:val="HideTWBExt"/>
      </w:rPr>
      <w:t>&lt;/</w:t>
    </w:r>
    <w:proofErr w:type="spellStart"/>
    <w:r w:rsidRPr="009B7490">
      <w:rPr>
        <w:rStyle w:val="HideTWBExt"/>
      </w:rPr>
      <w:t>PathFdR</w:t>
    </w:r>
    <w:proofErr w:type="spellEnd"/>
    <w:r w:rsidRPr="009B7490">
      <w:rPr>
        <w:rStyle w:val="HideTWBExt"/>
      </w:rPr>
      <w:t>&gt;</w:t>
    </w:r>
  </w:p>
  <w:p w14:paraId="63F68882" w14:textId="77777777" w:rsidR="004967E3" w:rsidRPr="009B7490" w:rsidRDefault="004967E3" w:rsidP="005C3C72">
    <w:pPr>
      <w:pStyle w:val="EPFooter2"/>
    </w:pPr>
    <w:r w:rsidRPr="009B749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458CF" w14:textId="77777777" w:rsidR="004967E3" w:rsidRPr="009B7490" w:rsidRDefault="004967E3" w:rsidP="005C3C72">
    <w:pPr>
      <w:pStyle w:val="EPFooter"/>
    </w:pPr>
    <w:r w:rsidRPr="009B7490">
      <w:rPr>
        <w:rStyle w:val="HideTWBExt"/>
      </w:rPr>
      <w:t>&lt;PathFdR&gt;</w:t>
    </w:r>
    <w:r w:rsidRPr="009B7490">
      <w:t>RR\1298889DA.docx</w:t>
    </w:r>
    <w:r w:rsidRPr="009B7490">
      <w:rPr>
        <w:rStyle w:val="HideTWBExt"/>
      </w:rPr>
      <w:t>&lt;/</w:t>
    </w:r>
    <w:proofErr w:type="spellStart"/>
    <w:r w:rsidRPr="009B7490">
      <w:rPr>
        <w:rStyle w:val="HideTWBExt"/>
      </w:rPr>
      <w:t>PathFdR</w:t>
    </w:r>
    <w:proofErr w:type="spellEnd"/>
    <w:r w:rsidRPr="009B7490">
      <w:rPr>
        <w:rStyle w:val="HideTWBExt"/>
      </w:rPr>
      <w:t>&gt;</w:t>
    </w:r>
    <w:r w:rsidRPr="009B7490">
      <w:tab/>
    </w:r>
    <w:r w:rsidRPr="009B7490">
      <w:tab/>
      <w:t>PE</w:t>
    </w:r>
    <w:r w:rsidRPr="009B7490">
      <w:rPr>
        <w:rStyle w:val="HideTWBExt"/>
      </w:rPr>
      <w:t>&lt;</w:t>
    </w:r>
    <w:proofErr w:type="spellStart"/>
    <w:r w:rsidRPr="009B7490">
      <w:rPr>
        <w:rStyle w:val="HideTWBExt"/>
      </w:rPr>
      <w:t>NoPE</w:t>
    </w:r>
    <w:proofErr w:type="spellEnd"/>
    <w:r w:rsidRPr="009B7490">
      <w:rPr>
        <w:rStyle w:val="HideTWBExt"/>
      </w:rPr>
      <w:t>&gt;</w:t>
    </w:r>
    <w:r w:rsidRPr="009B7490">
      <w:t>753.513</w:t>
    </w:r>
    <w:r w:rsidRPr="009B7490">
      <w:rPr>
        <w:rStyle w:val="HideTWBExt"/>
      </w:rPr>
      <w:t>&lt;/</w:t>
    </w:r>
    <w:proofErr w:type="spellStart"/>
    <w:r w:rsidRPr="009B7490">
      <w:rPr>
        <w:rStyle w:val="HideTWBExt"/>
      </w:rPr>
      <w:t>NoPE</w:t>
    </w:r>
    <w:proofErr w:type="spellEnd"/>
    <w:r w:rsidRPr="009B7490">
      <w:rPr>
        <w:rStyle w:val="HideTWBExt"/>
      </w:rPr>
      <w:t>&gt;&lt;Version&gt;</w:t>
    </w:r>
    <w:r w:rsidRPr="009B7490">
      <w:t>v02-00</w:t>
    </w:r>
    <w:r w:rsidRPr="009B7490">
      <w:rPr>
        <w:rStyle w:val="HideTWBExt"/>
      </w:rPr>
      <w:t>&lt;/Version&gt;</w:t>
    </w:r>
  </w:p>
  <w:p w14:paraId="4DAFCD4C" w14:textId="77777777" w:rsidR="004967E3" w:rsidRPr="009B7490" w:rsidRDefault="004967E3" w:rsidP="005C3C72">
    <w:pPr>
      <w:pStyle w:val="EPFooter2"/>
    </w:pPr>
    <w:r w:rsidRPr="009B7490">
      <w:t>DA</w:t>
    </w:r>
    <w:r w:rsidRPr="009B7490">
      <w:tab/>
    </w:r>
    <w:r w:rsidRPr="009B7490">
      <w:rPr>
        <w:b w:val="0"/>
        <w:i/>
        <w:color w:val="C0C0C0"/>
        <w:sz w:val="22"/>
      </w:rPr>
      <w:t>Forenet i mangfoldighed</w:t>
    </w:r>
    <w:r w:rsidRPr="009B749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BE458" w14:textId="77777777" w:rsidR="00064002" w:rsidRPr="009B749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502E8" w14:textId="77777777" w:rsidR="00064002" w:rsidRPr="009B749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0DCAE" w14:textId="77777777" w:rsidR="00064002" w:rsidRPr="009B74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F2B6C" w14:textId="77777777" w:rsidR="00DD2B88" w:rsidRPr="009B7490" w:rsidRDefault="00DD2B88">
      <w:r w:rsidRPr="009B7490">
        <w:separator/>
      </w:r>
    </w:p>
  </w:footnote>
  <w:footnote w:type="continuationSeparator" w:id="0">
    <w:p w14:paraId="641D0ED2" w14:textId="77777777" w:rsidR="00DD2B88" w:rsidRPr="009B7490" w:rsidRDefault="00DD2B88">
      <w:r w:rsidRPr="009B7490">
        <w:continuationSeparator/>
      </w:r>
    </w:p>
  </w:footnote>
  <w:footnote w:id="1">
    <w:p w14:paraId="7342DE30" w14:textId="77777777" w:rsidR="004967E3" w:rsidRPr="00843BDD" w:rsidRDefault="004967E3" w:rsidP="009B7490">
      <w:pPr>
        <w:pStyle w:val="FootnoteText"/>
        <w:ind w:left="567" w:hanging="567"/>
        <w:rPr>
          <w:sz w:val="24"/>
        </w:rPr>
      </w:pPr>
      <w:r w:rsidRPr="009B7490">
        <w:rPr>
          <w:rStyle w:val="FootnoteReference"/>
          <w:sz w:val="24"/>
          <w:lang w:val="da-DK"/>
        </w:rPr>
        <w:footnoteRef/>
      </w:r>
      <w:r w:rsidR="009B7490" w:rsidRPr="00843BDD">
        <w:rPr>
          <w:sz w:val="24"/>
        </w:rPr>
        <w:t xml:space="preserve"> </w:t>
      </w:r>
      <w:r w:rsidR="009B7490" w:rsidRPr="00843BDD">
        <w:rPr>
          <w:sz w:val="24"/>
        </w:rPr>
        <w:tab/>
      </w:r>
      <w:r w:rsidRPr="00843BDD">
        <w:rPr>
          <w:sz w:val="24"/>
        </w:rPr>
        <w:t>EUT C, C/2023/594, 27.10.2023.</w:t>
      </w:r>
    </w:p>
  </w:footnote>
  <w:footnote w:id="2">
    <w:p w14:paraId="6752DF21" w14:textId="77777777" w:rsidR="004967E3" w:rsidRPr="00843BDD" w:rsidRDefault="004967E3" w:rsidP="009B7490">
      <w:pPr>
        <w:pStyle w:val="FootnoteText"/>
        <w:ind w:left="567" w:hanging="567"/>
        <w:rPr>
          <w:sz w:val="24"/>
        </w:rPr>
      </w:pPr>
      <w:r w:rsidRPr="009B7490">
        <w:rPr>
          <w:rStyle w:val="FootnoteReference"/>
          <w:sz w:val="24"/>
          <w:lang w:val="da-DK"/>
        </w:rPr>
        <w:footnoteRef/>
      </w:r>
      <w:r w:rsidR="009B7490" w:rsidRPr="00843BDD">
        <w:rPr>
          <w:sz w:val="24"/>
        </w:rPr>
        <w:t xml:space="preserve"> </w:t>
      </w:r>
      <w:r w:rsidR="009B7490" w:rsidRPr="00843BDD">
        <w:rPr>
          <w:sz w:val="24"/>
        </w:rPr>
        <w:tab/>
      </w:r>
      <w:r w:rsidRPr="00843BDD">
        <w:rPr>
          <w:sz w:val="24"/>
        </w:rPr>
        <w:t>EUT C, C/2023/112, 12.10.2023.</w:t>
      </w:r>
    </w:p>
  </w:footnote>
  <w:footnote w:id="3">
    <w:p w14:paraId="7146F364" w14:textId="77777777"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EUT L 193 af 30.7.2018, s. 1.</w:t>
      </w:r>
    </w:p>
  </w:footnote>
  <w:footnote w:id="4">
    <w:p w14:paraId="49F42D94" w14:textId="77777777"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EUT L 331 af 15.12.2010, s. 12.</w:t>
      </w:r>
    </w:p>
  </w:footnote>
  <w:footnote w:id="5">
    <w:p w14:paraId="3785501F" w14:textId="77777777" w:rsidR="004967E3" w:rsidRPr="009B7490" w:rsidRDefault="004967E3" w:rsidP="009B7490">
      <w:pPr>
        <w:pStyle w:val="FootnoteText"/>
        <w:ind w:left="567" w:hanging="567"/>
        <w:rPr>
          <w:sz w:val="24"/>
          <w:szCs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EUT L 122 af 10.5.2019, s. 1.</w:t>
      </w:r>
    </w:p>
  </w:footnote>
  <w:footnote w:id="6">
    <w:p w14:paraId="105F886F" w14:textId="77777777"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EUT C, C/2023/594, 27.10.2023.</w:t>
      </w:r>
    </w:p>
  </w:footnote>
  <w:footnote w:id="7">
    <w:p w14:paraId="3C01D5A1" w14:textId="77777777" w:rsidR="004967E3" w:rsidRPr="00843BDD" w:rsidRDefault="004967E3" w:rsidP="009B7490">
      <w:pPr>
        <w:pStyle w:val="FootnoteText"/>
        <w:ind w:left="567" w:hanging="567"/>
        <w:rPr>
          <w:sz w:val="24"/>
        </w:rPr>
      </w:pPr>
      <w:r w:rsidRPr="009B7490">
        <w:rPr>
          <w:rStyle w:val="FootnoteReference"/>
          <w:sz w:val="24"/>
          <w:lang w:val="da-DK"/>
        </w:rPr>
        <w:footnoteRef/>
      </w:r>
      <w:r w:rsidR="009B7490" w:rsidRPr="00843BDD">
        <w:rPr>
          <w:sz w:val="24"/>
        </w:rPr>
        <w:t xml:space="preserve"> </w:t>
      </w:r>
      <w:r w:rsidR="009B7490" w:rsidRPr="00843BDD">
        <w:rPr>
          <w:sz w:val="24"/>
        </w:rPr>
        <w:tab/>
      </w:r>
      <w:r w:rsidRPr="00843BDD">
        <w:rPr>
          <w:sz w:val="24"/>
        </w:rPr>
        <w:t>EUT C, C/2023/112, 12.10.2023.</w:t>
      </w:r>
    </w:p>
  </w:footnote>
  <w:footnote w:id="8">
    <w:p w14:paraId="2D6D4A05" w14:textId="77777777" w:rsidR="004967E3" w:rsidRPr="00843BDD" w:rsidRDefault="004967E3" w:rsidP="009B7490">
      <w:pPr>
        <w:pStyle w:val="FootnoteText"/>
        <w:ind w:left="567" w:hanging="567"/>
        <w:rPr>
          <w:sz w:val="24"/>
        </w:rPr>
      </w:pPr>
      <w:r w:rsidRPr="009B7490">
        <w:rPr>
          <w:rStyle w:val="FootnoteReference"/>
          <w:sz w:val="24"/>
          <w:lang w:val="da-DK"/>
        </w:rPr>
        <w:footnoteRef/>
      </w:r>
      <w:r w:rsidR="009B7490" w:rsidRPr="00843BDD">
        <w:rPr>
          <w:sz w:val="24"/>
        </w:rPr>
        <w:t xml:space="preserve"> </w:t>
      </w:r>
      <w:r w:rsidR="009B7490" w:rsidRPr="00843BDD">
        <w:rPr>
          <w:sz w:val="24"/>
        </w:rPr>
        <w:tab/>
      </w:r>
      <w:r w:rsidRPr="00843BDD">
        <w:rPr>
          <w:sz w:val="24"/>
        </w:rPr>
        <w:t xml:space="preserve">EUT L 193 </w:t>
      </w:r>
      <w:proofErr w:type="spellStart"/>
      <w:r w:rsidRPr="00843BDD">
        <w:rPr>
          <w:sz w:val="24"/>
        </w:rPr>
        <w:t>af</w:t>
      </w:r>
      <w:proofErr w:type="spellEnd"/>
      <w:r w:rsidRPr="00843BDD">
        <w:rPr>
          <w:sz w:val="24"/>
        </w:rPr>
        <w:t xml:space="preserve"> 30.7.2018, s. 1.</w:t>
      </w:r>
    </w:p>
  </w:footnote>
  <w:footnote w:id="9">
    <w:p w14:paraId="54BD7510" w14:textId="77777777"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EUT L 331 af 15.12.2010, s. 12.</w:t>
      </w:r>
    </w:p>
  </w:footnote>
  <w:footnote w:id="10">
    <w:p w14:paraId="0340B916" w14:textId="77777777" w:rsidR="004967E3" w:rsidRPr="009B7490" w:rsidRDefault="004967E3" w:rsidP="009B7490">
      <w:pPr>
        <w:pStyle w:val="FootnoteText"/>
        <w:ind w:left="567" w:hanging="567"/>
        <w:rPr>
          <w:sz w:val="24"/>
          <w:szCs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EUT L 122 af 10.5.2019, s. 1.</w:t>
      </w:r>
    </w:p>
  </w:footnote>
  <w:footnote w:id="11">
    <w:p w14:paraId="65094566" w14:textId="6B80B573"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EUT C 73 af 28.2.2023, s. 102.</w:t>
      </w:r>
    </w:p>
  </w:footnote>
  <w:footnote w:id="12">
    <w:p w14:paraId="2FB8540B" w14:textId="77777777"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Europa-Parlamentets og Rådets forordning (EU) 2022/2554 af 14. december 2022 om digital operationel modstandsdygtighed i den finansielle sektor og om ændring af forordning (EF) nr. 1060/2009, (EU) nr. 648/2012, (EU) nr. 600/2014, (EU) nr. 909/2014 og (EU) 2016/1011 (EUT L 333 af 27.12.2022, s. 1).</w:t>
      </w:r>
    </w:p>
  </w:footnote>
  <w:footnote w:id="13">
    <w:p w14:paraId="4D7CE963" w14:textId="77777777"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Europa-Parlamentets og Rådets direktiv (EU) 2022/2556 af 14. december 2022 om ændring af direktiv 2009/65/EF, 2009/138/EF, 2011/61/EU, 2013/36/EU, 2014/59/EU, 2014/65/EU, (EU) 2015/2366 og (EU) 2016/2341 for så vidt angår digital operationel modstandsdygtighed i den finansielle sektor (EUT L 333 af 27.12.2022, s. 153).</w:t>
      </w:r>
    </w:p>
  </w:footnote>
  <w:footnote w:id="14">
    <w:p w14:paraId="4C124811" w14:textId="77777777"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 xml:space="preserve">Europa-Parlamentets og Rådets forordning (EU) 2023/1114 af 31. maj 2023 om markeder for </w:t>
      </w:r>
      <w:proofErr w:type="spellStart"/>
      <w:r w:rsidRPr="009B7490">
        <w:rPr>
          <w:sz w:val="24"/>
          <w:lang w:val="da-DK"/>
        </w:rPr>
        <w:t>kryptoaktiver</w:t>
      </w:r>
      <w:proofErr w:type="spellEnd"/>
      <w:r w:rsidRPr="009B7490">
        <w:rPr>
          <w:sz w:val="24"/>
          <w:lang w:val="da-DK"/>
        </w:rPr>
        <w:t xml:space="preserve"> og om ændring af forordning (EU) nr. 1093/2010 og (EU) nr. 1095/2010 og direktiv 2013/36/EU og (EU) 2019/1937 (EUT L 150 af 9.6.2023, s. 40).</w:t>
      </w:r>
    </w:p>
  </w:footnote>
  <w:footnote w:id="15">
    <w:p w14:paraId="74638A7E" w14:textId="7962A968" w:rsidR="004967E3" w:rsidRPr="009B7490" w:rsidRDefault="004967E3" w:rsidP="009B7490">
      <w:pPr>
        <w:pStyle w:val="FootnoteText"/>
        <w:ind w:left="567" w:hanging="567"/>
        <w:rPr>
          <w:sz w:val="24"/>
          <w:lang w:val="da-DK"/>
        </w:rPr>
      </w:pPr>
      <w:r w:rsidRPr="009B7490">
        <w:rPr>
          <w:rStyle w:val="FootnoteReference"/>
          <w:sz w:val="24"/>
          <w:lang w:val="da-DK"/>
        </w:rPr>
        <w:footnoteRef/>
      </w:r>
      <w:r w:rsidR="009B7490" w:rsidRPr="009B7490">
        <w:rPr>
          <w:sz w:val="24"/>
          <w:lang w:val="da-DK"/>
        </w:rPr>
        <w:t xml:space="preserve"> </w:t>
      </w:r>
      <w:r w:rsidR="009B7490" w:rsidRPr="009B7490">
        <w:rPr>
          <w:sz w:val="24"/>
          <w:lang w:val="da-DK"/>
        </w:rPr>
        <w:tab/>
      </w:r>
      <w:r w:rsidRPr="009B7490">
        <w:rPr>
          <w:sz w:val="24"/>
          <w:lang w:val="da-DK"/>
        </w:rPr>
        <w:t>Vedtagne tekster, P9_</w:t>
      </w:r>
      <w:proofErr w:type="gramStart"/>
      <w:r w:rsidRPr="009B7490">
        <w:rPr>
          <w:sz w:val="24"/>
          <w:lang w:val="da-DK"/>
        </w:rPr>
        <w:t>TA(</w:t>
      </w:r>
      <w:proofErr w:type="gramEnd"/>
      <w:r w:rsidRPr="009B7490">
        <w:rPr>
          <w:sz w:val="24"/>
          <w:lang w:val="da-DK"/>
        </w:rPr>
        <w:t>2024)</w:t>
      </w:r>
      <w:r w:rsidR="00A97016">
        <w:rPr>
          <w:sz w:val="24"/>
          <w:lang w:val="da-DK"/>
        </w:rPr>
        <w:t>0280</w:t>
      </w:r>
      <w:r w:rsidRPr="009B749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AFFF0" w14:textId="77777777" w:rsidR="00064002" w:rsidRPr="009B74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D65C3" w14:textId="77777777" w:rsidR="00064002" w:rsidRPr="009B74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D7610" w14:textId="77777777" w:rsidR="00064002" w:rsidRPr="009B74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DA"/>
    <w:docVar w:name="dvnumam" w:val="0"/>
    <w:docVar w:name="dvpe" w:val="753.513"/>
    <w:docVar w:name="dvrapporteur" w:val="Ordfører: "/>
    <w:docVar w:name="dvtitre" w:val="1. Europa-Parlamentets afgørelse af 11. april 2024 om decharge for gennemførelsen af budgettet for Den Europæiske Banktilsynsmyndighed for regnskabsåret 2022(2023/2146(DEC))"/>
  </w:docVars>
  <w:rsids>
    <w:rsidRoot w:val="00DD2B8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7E3"/>
    <w:rsid w:val="004C0004"/>
    <w:rsid w:val="004C5D52"/>
    <w:rsid w:val="0050519A"/>
    <w:rsid w:val="005072A1"/>
    <w:rsid w:val="00514517"/>
    <w:rsid w:val="00545827"/>
    <w:rsid w:val="00560270"/>
    <w:rsid w:val="005C2568"/>
    <w:rsid w:val="006037C0"/>
    <w:rsid w:val="006631B6"/>
    <w:rsid w:val="00680577"/>
    <w:rsid w:val="00686908"/>
    <w:rsid w:val="006F74FA"/>
    <w:rsid w:val="00731ADD"/>
    <w:rsid w:val="00734777"/>
    <w:rsid w:val="00747932"/>
    <w:rsid w:val="00751A4A"/>
    <w:rsid w:val="00756632"/>
    <w:rsid w:val="00762C74"/>
    <w:rsid w:val="00786EC0"/>
    <w:rsid w:val="007D1690"/>
    <w:rsid w:val="007E22AD"/>
    <w:rsid w:val="00817416"/>
    <w:rsid w:val="00842779"/>
    <w:rsid w:val="00843BDD"/>
    <w:rsid w:val="00865F67"/>
    <w:rsid w:val="00881A7B"/>
    <w:rsid w:val="008840E5"/>
    <w:rsid w:val="00887B3E"/>
    <w:rsid w:val="008C2AC6"/>
    <w:rsid w:val="00930C23"/>
    <w:rsid w:val="0093193B"/>
    <w:rsid w:val="009509D8"/>
    <w:rsid w:val="00950B64"/>
    <w:rsid w:val="00981893"/>
    <w:rsid w:val="009B7490"/>
    <w:rsid w:val="00A1687D"/>
    <w:rsid w:val="00A43E52"/>
    <w:rsid w:val="00A4678D"/>
    <w:rsid w:val="00A778C7"/>
    <w:rsid w:val="00A97016"/>
    <w:rsid w:val="00AB25B2"/>
    <w:rsid w:val="00AB441E"/>
    <w:rsid w:val="00AB6293"/>
    <w:rsid w:val="00AE0928"/>
    <w:rsid w:val="00AF3B82"/>
    <w:rsid w:val="00B12E95"/>
    <w:rsid w:val="00B22876"/>
    <w:rsid w:val="00B558F0"/>
    <w:rsid w:val="00BB3FF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B88"/>
    <w:rsid w:val="00E365E1"/>
    <w:rsid w:val="00E820A4"/>
    <w:rsid w:val="00EB006A"/>
    <w:rsid w:val="00EB22CF"/>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7362F"/>
  <w15:chartTrackingRefBased/>
  <w15:docId w15:val="{1C778B78-6A92-4763-861C-3CDC4C92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967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967E3"/>
    <w:pPr>
      <w:spacing w:before="480" w:after="240"/>
    </w:pPr>
  </w:style>
  <w:style w:type="paragraph" w:customStyle="1" w:styleId="PageHeading">
    <w:name w:val="PageHeading"/>
    <w:basedOn w:val="Normal"/>
    <w:rsid w:val="004967E3"/>
    <w:pPr>
      <w:keepNext/>
      <w:spacing w:after="480"/>
      <w:jc w:val="center"/>
    </w:pPr>
    <w:rPr>
      <w:rFonts w:ascii="Arial" w:hAnsi="Arial" w:cs="Arial"/>
      <w:b/>
    </w:rPr>
  </w:style>
  <w:style w:type="paragraph" w:customStyle="1" w:styleId="NormalBold">
    <w:name w:val="NormalBold"/>
    <w:basedOn w:val="Normal"/>
    <w:rsid w:val="004967E3"/>
    <w:rPr>
      <w:b/>
    </w:rPr>
  </w:style>
  <w:style w:type="paragraph" w:customStyle="1" w:styleId="NormalHanging12a">
    <w:name w:val="NormalHanging12a"/>
    <w:basedOn w:val="Normal"/>
    <w:link w:val="NormalHanging12aChar"/>
    <w:rsid w:val="004967E3"/>
    <w:pPr>
      <w:spacing w:after="240"/>
      <w:ind w:left="567" w:hanging="567"/>
    </w:pPr>
  </w:style>
  <w:style w:type="paragraph" w:customStyle="1" w:styleId="NormalCenter12a">
    <w:name w:val="NormalCenter12a"/>
    <w:basedOn w:val="Normal"/>
    <w:rsid w:val="004967E3"/>
    <w:pPr>
      <w:spacing w:after="240"/>
      <w:jc w:val="center"/>
    </w:pPr>
  </w:style>
  <w:style w:type="paragraph" w:styleId="Header">
    <w:name w:val="header"/>
    <w:basedOn w:val="Normal"/>
    <w:link w:val="HeaderChar"/>
    <w:rsid w:val="004967E3"/>
    <w:pPr>
      <w:tabs>
        <w:tab w:val="center" w:pos="4513"/>
        <w:tab w:val="right" w:pos="9026"/>
      </w:tabs>
    </w:pPr>
  </w:style>
  <w:style w:type="character" w:customStyle="1" w:styleId="HeaderChar">
    <w:name w:val="Header Char"/>
    <w:basedOn w:val="DefaultParagraphFont"/>
    <w:link w:val="Header"/>
    <w:rsid w:val="004967E3"/>
    <w:rPr>
      <w:sz w:val="24"/>
      <w:lang w:val="da-DK"/>
    </w:rPr>
  </w:style>
  <w:style w:type="paragraph" w:customStyle="1" w:styleId="EPFooter">
    <w:name w:val="EPFooter"/>
    <w:basedOn w:val="Normal"/>
    <w:rsid w:val="004967E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967E3"/>
    <w:rPr>
      <w:sz w:val="24"/>
      <w:lang w:val="da-DK"/>
    </w:rPr>
  </w:style>
  <w:style w:type="paragraph" w:styleId="Footer">
    <w:name w:val="footer"/>
    <w:basedOn w:val="Normal"/>
    <w:link w:val="FooterChar"/>
    <w:rsid w:val="00AB25B2"/>
    <w:pPr>
      <w:tabs>
        <w:tab w:val="center" w:pos="4513"/>
        <w:tab w:val="right" w:pos="9026"/>
      </w:tabs>
    </w:pPr>
  </w:style>
  <w:style w:type="character" w:customStyle="1" w:styleId="FooterChar">
    <w:name w:val="Footer Char"/>
    <w:basedOn w:val="DefaultParagraphFont"/>
    <w:link w:val="Footer"/>
    <w:rsid w:val="00AB25B2"/>
    <w:rPr>
      <w:sz w:val="24"/>
      <w:lang w:val="da-DK"/>
    </w:rPr>
  </w:style>
  <w:style w:type="character" w:styleId="CommentReference">
    <w:name w:val="annotation reference"/>
    <w:basedOn w:val="DefaultParagraphFont"/>
    <w:rsid w:val="00686908"/>
    <w:rPr>
      <w:sz w:val="16"/>
      <w:szCs w:val="16"/>
    </w:rPr>
  </w:style>
  <w:style w:type="paragraph" w:styleId="CommentText">
    <w:name w:val="annotation text"/>
    <w:basedOn w:val="Normal"/>
    <w:link w:val="CommentTextChar"/>
    <w:rsid w:val="00686908"/>
    <w:rPr>
      <w:sz w:val="20"/>
    </w:rPr>
  </w:style>
  <w:style w:type="character" w:customStyle="1" w:styleId="CommentTextChar">
    <w:name w:val="Comment Text Char"/>
    <w:basedOn w:val="DefaultParagraphFont"/>
    <w:link w:val="CommentText"/>
    <w:rsid w:val="00686908"/>
    <w:rPr>
      <w:lang w:val="da-DK"/>
    </w:rPr>
  </w:style>
  <w:style w:type="paragraph" w:styleId="CommentSubject">
    <w:name w:val="annotation subject"/>
    <w:basedOn w:val="CommentText"/>
    <w:next w:val="CommentText"/>
    <w:link w:val="CommentSubjectChar"/>
    <w:rsid w:val="00686908"/>
    <w:rPr>
      <w:b/>
      <w:bCs/>
    </w:rPr>
  </w:style>
  <w:style w:type="character" w:customStyle="1" w:styleId="CommentSubjectChar">
    <w:name w:val="Comment Subject Char"/>
    <w:basedOn w:val="CommentTextChar"/>
    <w:link w:val="CommentSubject"/>
    <w:rsid w:val="00686908"/>
    <w:rPr>
      <w:b/>
      <w:bCs/>
      <w:lang w:val="da-DK"/>
    </w:rPr>
  </w:style>
  <w:style w:type="paragraph" w:styleId="BalloonText">
    <w:name w:val="Balloon Text"/>
    <w:basedOn w:val="Normal"/>
    <w:link w:val="BalloonTextChar"/>
    <w:rsid w:val="00686908"/>
    <w:rPr>
      <w:rFonts w:ascii="Segoe UI" w:hAnsi="Segoe UI" w:cs="Segoe UI"/>
      <w:sz w:val="18"/>
      <w:szCs w:val="18"/>
    </w:rPr>
  </w:style>
  <w:style w:type="character" w:customStyle="1" w:styleId="BalloonTextChar">
    <w:name w:val="Balloon Text Char"/>
    <w:basedOn w:val="DefaultParagraphFont"/>
    <w:link w:val="BalloonText"/>
    <w:rsid w:val="0068690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15E50-C412-4226-B572-32400BEDE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3008</Words>
  <Characters>19466</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2024-05-21T14:25:00Z</dcterms:created>
  <dcterms:modified xsi:type="dcterms:W3CDTF">2024-05-21T14:25:00Z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P9_TA(2024)0262_</vt:lpwstr>
  </property>
  <property fmtid="{D5CDD505-2E9C-101B-9397-08002B2CF9AE}" pid="4" name="&lt;Type&gt;">
    <vt:lpwstr>RR</vt:lpwstr>
  </property>
</Properties>
</file>