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7CDC" w:rsidTr="0010095E">
        <w:trPr>
          <w:trHeight w:hRule="exact" w:val="1418"/>
        </w:trPr>
        <w:tc>
          <w:tcPr>
            <w:tcW w:w="6804" w:type="dxa"/>
            <w:shd w:val="clear" w:color="auto" w:fill="auto"/>
            <w:vAlign w:val="center"/>
          </w:tcPr>
          <w:p w:rsidR="00751A4A" w:rsidRPr="00AC7CDC" w:rsidRDefault="003512A6" w:rsidP="0010095E">
            <w:pPr>
              <w:pStyle w:val="EPName"/>
            </w:pPr>
            <w:r w:rsidRPr="00AC7CDC">
              <w:t>Ευρωπαϊκό Κοινοβούλιο</w:t>
            </w:r>
          </w:p>
          <w:p w:rsidR="00751A4A" w:rsidRPr="00AC7CDC" w:rsidRDefault="00817416" w:rsidP="00756632">
            <w:pPr>
              <w:pStyle w:val="EPTerm"/>
              <w:rPr>
                <w:rStyle w:val="HideTWBExt"/>
                <w:noProof w:val="0"/>
                <w:vanish w:val="0"/>
                <w:color w:val="auto"/>
              </w:rPr>
            </w:pPr>
            <w:r w:rsidRPr="00AC7CDC">
              <w:t>2019-2024</w:t>
            </w:r>
          </w:p>
        </w:tc>
        <w:tc>
          <w:tcPr>
            <w:tcW w:w="2268" w:type="dxa"/>
            <w:shd w:val="clear" w:color="auto" w:fill="auto"/>
          </w:tcPr>
          <w:p w:rsidR="00751A4A" w:rsidRPr="00AC7CDC" w:rsidRDefault="00187494" w:rsidP="0010095E">
            <w:pPr>
              <w:pStyle w:val="EPLogo"/>
            </w:pPr>
            <w:r w:rsidRPr="00AC7C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7CDC" w:rsidRDefault="00D058B8" w:rsidP="004C5D52">
      <w:pPr>
        <w:pStyle w:val="LineTop"/>
      </w:pPr>
    </w:p>
    <w:p w:rsidR="00680577" w:rsidRPr="00AC7CDC" w:rsidRDefault="003512A6" w:rsidP="00680577">
      <w:pPr>
        <w:pStyle w:val="EPBodyTA1"/>
      </w:pPr>
      <w:r w:rsidRPr="00AC7CDC">
        <w:t>ΚΕΙΜΕΝΑ ΠΟΥ ΕΓΚΡΙΘΗΚΑΝ</w:t>
      </w:r>
    </w:p>
    <w:p w:rsidR="00D058B8" w:rsidRPr="00AC7CDC" w:rsidRDefault="00D058B8" w:rsidP="00D058B8">
      <w:pPr>
        <w:pStyle w:val="LineBottom"/>
      </w:pPr>
    </w:p>
    <w:p w:rsidR="003512A6" w:rsidRPr="00AC7CDC" w:rsidRDefault="003512A6" w:rsidP="003512A6">
      <w:pPr>
        <w:pStyle w:val="ATHeading1"/>
      </w:pPr>
      <w:bookmarkStart w:id="0" w:name="TANumber"/>
      <w:r w:rsidRPr="00AC7CDC">
        <w:t>P9_TA(2024)</w:t>
      </w:r>
      <w:bookmarkEnd w:id="0"/>
      <w:r w:rsidR="0009208E" w:rsidRPr="00AC7CDC">
        <w:t>0</w:t>
      </w:r>
      <w:r w:rsidR="0009208E">
        <w:t>262</w:t>
      </w:r>
    </w:p>
    <w:p w:rsidR="003512A6" w:rsidRPr="00AC7CDC" w:rsidRDefault="003512A6" w:rsidP="003512A6">
      <w:pPr>
        <w:pStyle w:val="ATHeading2"/>
      </w:pPr>
      <w:bookmarkStart w:id="1" w:name="title"/>
      <w:r w:rsidRPr="00AC7CDC">
        <w:t>Απαλλαγή 2022: Ευρωπαϊκή Αρχή Τραπεζών</w:t>
      </w:r>
      <w:bookmarkEnd w:id="1"/>
    </w:p>
    <w:p w:rsidR="003512A6" w:rsidRPr="00AC7CDC" w:rsidRDefault="003512A6" w:rsidP="003512A6">
      <w:pPr>
        <w:rPr>
          <w:i/>
          <w:vanish/>
        </w:rPr>
      </w:pPr>
      <w:r w:rsidRPr="00AC7CDC">
        <w:rPr>
          <w:i/>
        </w:rPr>
        <w:fldChar w:fldCharType="begin"/>
      </w:r>
      <w:r w:rsidRPr="00AC7CDC">
        <w:rPr>
          <w:i/>
        </w:rPr>
        <w:instrText xml:space="preserve"> TC"(</w:instrText>
      </w:r>
      <w:bookmarkStart w:id="2" w:name="DocNumber"/>
      <w:r w:rsidRPr="00AC7CDC">
        <w:rPr>
          <w:i/>
        </w:rPr>
        <w:instrText>A9-0111/2024</w:instrText>
      </w:r>
      <w:bookmarkEnd w:id="2"/>
      <w:r w:rsidRPr="00AC7CDC">
        <w:rPr>
          <w:i/>
        </w:rPr>
        <w:instrText xml:space="preserve"> - Εισηγητής: </w:instrText>
      </w:r>
      <w:proofErr w:type="spellStart"/>
      <w:r w:rsidRPr="00AC7CDC">
        <w:rPr>
          <w:i/>
        </w:rPr>
        <w:instrText>Petri</w:instrText>
      </w:r>
      <w:proofErr w:type="spellEnd"/>
      <w:r w:rsidRPr="00AC7CDC">
        <w:rPr>
          <w:i/>
        </w:rPr>
        <w:instrText xml:space="preserve"> </w:instrText>
      </w:r>
      <w:proofErr w:type="spellStart"/>
      <w:r w:rsidRPr="00AC7CDC">
        <w:rPr>
          <w:i/>
        </w:rPr>
        <w:instrText>Sarvamaa</w:instrText>
      </w:r>
      <w:proofErr w:type="spellEnd"/>
      <w:r w:rsidRPr="00AC7CDC">
        <w:rPr>
          <w:i/>
        </w:rPr>
        <w:instrText xml:space="preserve">)"\l3 \n&gt; \* MERGEFORMAT </w:instrText>
      </w:r>
      <w:r w:rsidRPr="00AC7CDC">
        <w:rPr>
          <w:i/>
        </w:rPr>
        <w:fldChar w:fldCharType="end"/>
      </w:r>
    </w:p>
    <w:p w:rsidR="003512A6" w:rsidRPr="00AC7CDC" w:rsidRDefault="003512A6" w:rsidP="003512A6">
      <w:pPr>
        <w:rPr>
          <w:vanish/>
        </w:rPr>
      </w:pPr>
      <w:bookmarkStart w:id="3" w:name="Commission"/>
      <w:r w:rsidRPr="00AC7CDC">
        <w:rPr>
          <w:vanish/>
        </w:rPr>
        <w:t>Επιτροπή Ελέγχου του Προϋπολογισμού</w:t>
      </w:r>
      <w:bookmarkEnd w:id="3"/>
    </w:p>
    <w:p w:rsidR="003512A6" w:rsidRPr="00AC7CDC" w:rsidRDefault="003512A6" w:rsidP="003512A6">
      <w:pPr>
        <w:rPr>
          <w:vanish/>
        </w:rPr>
      </w:pPr>
      <w:bookmarkStart w:id="4" w:name="PE"/>
      <w:r w:rsidRPr="00AC7CDC">
        <w:rPr>
          <w:vanish/>
        </w:rPr>
        <w:t>PE753.513</w:t>
      </w:r>
      <w:bookmarkEnd w:id="4"/>
    </w:p>
    <w:p w:rsidR="003512A6" w:rsidRPr="00AC7CDC" w:rsidRDefault="001B4052" w:rsidP="003512A6">
      <w:pPr>
        <w:pStyle w:val="ATHeading3"/>
      </w:pPr>
      <w:bookmarkStart w:id="5" w:name="Sujet"/>
      <w:r>
        <w:t xml:space="preserve">1. </w:t>
      </w:r>
      <w:r w:rsidR="003512A6" w:rsidRPr="00AC7CDC">
        <w:t xml:space="preserve">Απόφαση του Ευρωπαϊκού Κοινοβουλίου </w:t>
      </w:r>
      <w:r>
        <w:t xml:space="preserve">της 11ης Απριλίου 2024 </w:t>
      </w:r>
      <w:r w:rsidR="003512A6" w:rsidRPr="00AC7CDC">
        <w:t>σχετικά µε την απαλλαγή όσον αφορά την εκτέλεση του προϋπολογισμού της Ευρωπαϊκής Αρχής Τραπεζών για το οικονομικό έτος 2022</w:t>
      </w:r>
      <w:bookmarkEnd w:id="5"/>
      <w:r w:rsidR="003512A6" w:rsidRPr="00AC7CDC">
        <w:t xml:space="preserve"> </w:t>
      </w:r>
      <w:bookmarkStart w:id="6" w:name="References"/>
      <w:r w:rsidR="003512A6" w:rsidRPr="00AC7CDC">
        <w:t>(2023/2146(DEC))</w:t>
      </w:r>
      <w:bookmarkEnd w:id="6"/>
    </w:p>
    <w:p w:rsidR="009D396E" w:rsidRPr="00AC7CDC" w:rsidRDefault="009D396E" w:rsidP="009D396E">
      <w:pPr>
        <w:pStyle w:val="EPComma"/>
      </w:pPr>
      <w:bookmarkStart w:id="7" w:name="TextBodyBegin"/>
      <w:bookmarkEnd w:id="7"/>
      <w:r w:rsidRPr="00AC7CDC">
        <w:rPr>
          <w:i/>
        </w:rPr>
        <w:t>Το Ευρωπαϊκό Κοινοβούλιο</w:t>
      </w:r>
      <w:r w:rsidRPr="00AC7CDC">
        <w:t>,</w:t>
      </w:r>
    </w:p>
    <w:p w:rsidR="009D396E" w:rsidRPr="00AC7CDC" w:rsidRDefault="009D396E" w:rsidP="009D396E">
      <w:pPr>
        <w:pStyle w:val="NormalHanging12a"/>
      </w:pPr>
      <w:r w:rsidRPr="00AC7CDC">
        <w:t>–</w:t>
      </w:r>
      <w:r w:rsidRPr="00AC7CDC">
        <w:tab/>
        <w:t>έχοντας υπόψη τους οριστικούς ετήσιους λογαριασμούς της Ευρωπαϊκής Αρχής Τραπεζών για το οικονομικό έτος 2022,</w:t>
      </w:r>
    </w:p>
    <w:p w:rsidR="009D396E" w:rsidRPr="00AC7CDC" w:rsidRDefault="009D396E" w:rsidP="009D396E">
      <w:pPr>
        <w:pStyle w:val="NormalHanging12a"/>
      </w:pPr>
      <w:r w:rsidRPr="00AC7CDC">
        <w:t>–</w:t>
      </w:r>
      <w:r w:rsidRPr="00AC7CDC">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AC7CDC">
        <w:rPr>
          <w:rStyle w:val="FootnoteReference"/>
        </w:rPr>
        <w:footnoteReference w:id="1"/>
      </w:r>
      <w:r w:rsidRPr="00AC7CDC">
        <w:t>,</w:t>
      </w:r>
    </w:p>
    <w:p w:rsidR="009D396E" w:rsidRPr="00AC7CDC" w:rsidRDefault="009D396E" w:rsidP="009D396E">
      <w:pPr>
        <w:pStyle w:val="NormalHanging12a"/>
      </w:pPr>
      <w:r w:rsidRPr="00AC7CDC">
        <w:t>–</w:t>
      </w:r>
      <w:r w:rsidRPr="00AC7CDC">
        <w:tab/>
        <w:t>έχοντας υπόψη τη δήλωση αξιοπιστίας</w:t>
      </w:r>
      <w:r w:rsidRPr="00AC7CDC">
        <w:rPr>
          <w:rStyle w:val="FootnoteReference"/>
        </w:rPr>
        <w:footnoteReference w:id="2"/>
      </w:r>
      <w:r w:rsidRPr="00AC7CDC">
        <w:t xml:space="preserve"> η οποία βεβαιώνει την ακρίβεια των λογαριασμών και τη νομιμότητα και κανονικότητα των σχετικών πράξεων, την οποία </w:t>
      </w:r>
      <w:proofErr w:type="spellStart"/>
      <w:r w:rsidRPr="00AC7CDC">
        <w:t>ενεχείρισε</w:t>
      </w:r>
      <w:proofErr w:type="spellEnd"/>
      <w:r w:rsidRPr="00AC7CDC">
        <w:t xml:space="preserve"> το Ελεγκτικό Συνέδριο για το οικονομικό έτος 2022, σύμφωνα με το άρθρο 287 της Συνθήκης για τη λειτουργία της Ευρωπαϊκής Ένωσης,</w:t>
      </w:r>
    </w:p>
    <w:p w:rsidR="009D396E" w:rsidRPr="00AC7CDC" w:rsidRDefault="009D396E" w:rsidP="009D396E">
      <w:pPr>
        <w:pStyle w:val="NormalHanging12a"/>
      </w:pPr>
      <w:r w:rsidRPr="00AC7CDC">
        <w:t>–</w:t>
      </w:r>
      <w:r w:rsidRPr="00AC7CDC">
        <w:tab/>
        <w:t>έχοντας υπόψη τη σύσταση του Συμβουλίου, της 22ας Φεβρουαρίου 2024, σχετικά με τη χορήγηση απαλλαγής στην Αρχή όσον αφορά την εκτέλεση του προϋπολογισμού για το οικονομικό έτος 2022 (</w:t>
      </w:r>
      <w:r w:rsidR="001B4052" w:rsidRPr="00AC7CDC">
        <w:t>0</w:t>
      </w:r>
      <w:r w:rsidR="001B4052">
        <w:t>6180</w:t>
      </w:r>
      <w:r w:rsidRPr="00AC7CDC">
        <w:t>/2024 – C9</w:t>
      </w:r>
      <w:r w:rsidRPr="00AC7CDC">
        <w:noBreakHyphen/>
      </w:r>
      <w:r w:rsidR="001B4052" w:rsidRPr="00AC7CDC">
        <w:t>00</w:t>
      </w:r>
      <w:r w:rsidR="001B4052">
        <w:t>84</w:t>
      </w:r>
      <w:r w:rsidRPr="00AC7CDC">
        <w:t>/2024),</w:t>
      </w:r>
    </w:p>
    <w:p w:rsidR="009D396E" w:rsidRPr="00AC7CDC" w:rsidRDefault="009D396E" w:rsidP="009D396E">
      <w:pPr>
        <w:pStyle w:val="NormalHanging12a"/>
      </w:pPr>
      <w:r w:rsidRPr="00AC7CDC">
        <w:t>–</w:t>
      </w:r>
      <w:r w:rsidRPr="00AC7CDC">
        <w:tab/>
        <w:t>έχοντας υπόψη το άρθρο 319 της Συνθήκης για τη λειτουργία της Ευρωπαϊκής Ένωσης,</w:t>
      </w:r>
    </w:p>
    <w:p w:rsidR="009D396E" w:rsidRPr="00AC7CDC" w:rsidRDefault="009D396E" w:rsidP="009D396E">
      <w:pPr>
        <w:pStyle w:val="NormalHanging12a"/>
      </w:pPr>
      <w:r w:rsidRPr="00AC7CDC">
        <w:t>–</w:t>
      </w:r>
      <w:r w:rsidRPr="00AC7CD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AC7CDC">
        <w:rPr>
          <w:rStyle w:val="FootnoteReference"/>
        </w:rPr>
        <w:footnoteReference w:id="3"/>
      </w:r>
      <w:r w:rsidRPr="00AC7CDC">
        <w:t>, και ιδίως το άρθρο 70,</w:t>
      </w:r>
    </w:p>
    <w:p w:rsidR="009D396E" w:rsidRPr="00AC7CDC" w:rsidRDefault="009D396E" w:rsidP="009D396E">
      <w:pPr>
        <w:pStyle w:val="NormalHanging12a"/>
      </w:pPr>
      <w:r w:rsidRPr="00AC7CDC">
        <w:lastRenderedPageBreak/>
        <w:t>–</w:t>
      </w:r>
      <w:r w:rsidRPr="00AC7CDC">
        <w:tab/>
        <w:t>έχοντας υπόψη τον κανονισμό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w:t>
      </w:r>
      <w:r w:rsidRPr="00AC7CDC">
        <w:rPr>
          <w:rStyle w:val="FootnoteReference"/>
        </w:rPr>
        <w:footnoteReference w:id="4"/>
      </w:r>
      <w:r w:rsidRPr="00AC7CDC">
        <w:t>, και ιδίως το άρθρο 64,</w:t>
      </w:r>
    </w:p>
    <w:p w:rsidR="009D396E" w:rsidRPr="00AC7CDC" w:rsidRDefault="009D396E" w:rsidP="009D396E">
      <w:pPr>
        <w:pStyle w:val="NormalHanging12a"/>
      </w:pPr>
      <w:r w:rsidRPr="00AC7CDC">
        <w:t>–</w:t>
      </w:r>
      <w:r w:rsidRPr="00AC7CD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AC7CDC">
        <w:rPr>
          <w:rStyle w:val="FootnoteReference"/>
        </w:rPr>
        <w:footnoteReference w:id="5"/>
      </w:r>
      <w:r w:rsidRPr="00AC7CDC">
        <w:t>, και ιδίως το άρθρο 105,</w:t>
      </w:r>
    </w:p>
    <w:p w:rsidR="009D396E" w:rsidRPr="00AC7CDC" w:rsidRDefault="009D396E" w:rsidP="009D396E">
      <w:pPr>
        <w:pStyle w:val="NormalHanging12a"/>
      </w:pPr>
      <w:r w:rsidRPr="00AC7CDC">
        <w:t>–</w:t>
      </w:r>
      <w:r w:rsidRPr="00AC7CDC">
        <w:tab/>
        <w:t>έχοντας υπόψη το άρθρο 100 και το παράρτημα V του Κανονισμού του,</w:t>
      </w:r>
    </w:p>
    <w:p w:rsidR="009D396E" w:rsidRPr="00AC7CDC" w:rsidRDefault="009D396E" w:rsidP="009D396E">
      <w:pPr>
        <w:pStyle w:val="NormalHanging12a"/>
      </w:pPr>
      <w:r w:rsidRPr="00AC7CDC">
        <w:t>–</w:t>
      </w:r>
      <w:r w:rsidRPr="00AC7CDC">
        <w:tab/>
        <w:t>έχοντας υπόψη την έκθεση της Επιτροπής Ελέγχου του Προϋπολογισμού (A9-0111/2024),</w:t>
      </w:r>
    </w:p>
    <w:p w:rsidR="009D396E" w:rsidRPr="00AC7CDC" w:rsidRDefault="0009208E" w:rsidP="0009208E">
      <w:pPr>
        <w:pStyle w:val="NormalHanging12a"/>
        <w:ind w:hanging="570"/>
      </w:pPr>
      <w:r w:rsidRPr="00AC7CDC">
        <w:t>1.</w:t>
      </w:r>
      <w:r w:rsidRPr="00AC7CDC">
        <w:tab/>
      </w:r>
      <w:r w:rsidR="009D396E" w:rsidRPr="00AC7CDC">
        <w:t>χορηγεί απαλλαγή στον εκτελεστικό διευθυντή της Ευρωπαϊκής Αρχής Τραπεζών όσον αφορά την εκτέλεση του προϋπολογισμού της Αρχής για το οικονομικό έτος 2022·</w:t>
      </w:r>
    </w:p>
    <w:p w:rsidR="009D396E" w:rsidRPr="00AC7CDC" w:rsidRDefault="0009208E" w:rsidP="0009208E">
      <w:pPr>
        <w:pStyle w:val="NormalHanging12a"/>
        <w:ind w:hanging="570"/>
      </w:pPr>
      <w:r w:rsidRPr="00AC7CDC">
        <w:t>2.</w:t>
      </w:r>
      <w:r w:rsidRPr="00AC7CDC">
        <w:tab/>
      </w:r>
      <w:r w:rsidR="009D396E" w:rsidRPr="00AC7CDC">
        <w:t>εκθέτει τις παρατηρήσεις του στο ψήφισμα που ακολουθεί·</w:t>
      </w:r>
    </w:p>
    <w:p w:rsidR="009D396E" w:rsidRPr="00AC7CDC" w:rsidRDefault="0009208E" w:rsidP="0009208E">
      <w:pPr>
        <w:pStyle w:val="NormalHanging12a"/>
        <w:ind w:hanging="570"/>
      </w:pPr>
      <w:r w:rsidRPr="00AC7CDC">
        <w:t>3.</w:t>
      </w:r>
      <w:r w:rsidRPr="00AC7CDC">
        <w:tab/>
      </w:r>
      <w:r w:rsidR="009D396E" w:rsidRPr="00AC7CDC">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Τραπεζών, στο Συμβούλιο, στην Επιτροπή και στο Ελεγκτικό Συνέδριο, και να μεριμνήσει για τη δημοσίευσή τους στην </w:t>
      </w:r>
      <w:r w:rsidR="009D396E" w:rsidRPr="00AC7CDC">
        <w:rPr>
          <w:i/>
        </w:rPr>
        <w:t>Επίσημη Εφημερίδα της Ευρωπαϊκής Ένωσης</w:t>
      </w:r>
      <w:r w:rsidR="009D396E" w:rsidRPr="00AC7CDC">
        <w:t xml:space="preserve"> (σειρά L).</w:t>
      </w:r>
    </w:p>
    <w:p w:rsidR="009D396E" w:rsidRPr="00AC7CDC" w:rsidRDefault="009D396E" w:rsidP="009D396E"/>
    <w:p w:rsidR="009D396E" w:rsidRPr="00AC7CDC" w:rsidRDefault="009D396E" w:rsidP="009D396E">
      <w:pPr>
        <w:widowControl/>
        <w:rPr>
          <w:rFonts w:ascii="Arial" w:hAnsi="Arial" w:cs="Arial"/>
          <w:b/>
        </w:rPr>
        <w:sectPr w:rsidR="009D396E" w:rsidRPr="00AC7CDC" w:rsidSect="00AC7CD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D396E" w:rsidRPr="00AC7CDC" w:rsidRDefault="001B4052" w:rsidP="001B4052">
      <w:pPr>
        <w:pStyle w:val="ATHeading3"/>
      </w:pPr>
      <w:r>
        <w:lastRenderedPageBreak/>
        <w:t xml:space="preserve">2. Απόφαση του Ευρωπαϊκού Κοινοβουλίου της 11ης Απριλίου 2024 </w:t>
      </w:r>
      <w:r w:rsidR="009D396E" w:rsidRPr="00AC7CDC">
        <w:t>σχετικά με το κλείσιμο των λογαριασμών της Ευρωπαϊκής Αρχής Τραπεζών για το οικονομικό έτος 2022</w:t>
      </w:r>
      <w:r>
        <w:t xml:space="preserve"> </w:t>
      </w:r>
      <w:r w:rsidR="009D396E" w:rsidRPr="00AC7CDC">
        <w:t>(2023/2146(DEC))</w:t>
      </w:r>
    </w:p>
    <w:p w:rsidR="009D396E" w:rsidRPr="00AC7CDC" w:rsidRDefault="009D396E" w:rsidP="009D396E">
      <w:pPr>
        <w:pStyle w:val="EPComma"/>
      </w:pPr>
      <w:r w:rsidRPr="00AC7CDC">
        <w:rPr>
          <w:i/>
        </w:rPr>
        <w:t>Το Ευρωπαϊκό Κοινοβούλιο</w:t>
      </w:r>
      <w:r w:rsidRPr="00AC7CDC">
        <w:t>,</w:t>
      </w:r>
    </w:p>
    <w:p w:rsidR="009D396E" w:rsidRPr="00AC7CDC" w:rsidRDefault="009D396E" w:rsidP="009D396E">
      <w:pPr>
        <w:pStyle w:val="NormalHanging12a"/>
      </w:pPr>
      <w:r w:rsidRPr="00AC7CDC">
        <w:t>–</w:t>
      </w:r>
      <w:r w:rsidRPr="00AC7CDC">
        <w:tab/>
        <w:t>έχοντας υπόψη τους οριστικούς ετήσιους λογαριασμούς της Ευρωπαϊκής Αρχής Τραπεζών για το οικονομικό έτος 2022,</w:t>
      </w:r>
    </w:p>
    <w:p w:rsidR="009D396E" w:rsidRPr="00AC7CDC" w:rsidRDefault="009D396E" w:rsidP="009D396E">
      <w:pPr>
        <w:pStyle w:val="NormalHanging12a"/>
      </w:pPr>
      <w:r w:rsidRPr="00AC7CDC">
        <w:t>–</w:t>
      </w:r>
      <w:r w:rsidRPr="00AC7CDC">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AC7CDC">
        <w:rPr>
          <w:rStyle w:val="FootnoteReference"/>
        </w:rPr>
        <w:footnoteReference w:id="6"/>
      </w:r>
      <w:r w:rsidRPr="00AC7CDC">
        <w:t>,</w:t>
      </w:r>
    </w:p>
    <w:p w:rsidR="009D396E" w:rsidRPr="00AC7CDC" w:rsidRDefault="009D396E" w:rsidP="009D396E">
      <w:pPr>
        <w:pStyle w:val="NormalHanging12a"/>
      </w:pPr>
      <w:r w:rsidRPr="00AC7CDC">
        <w:t>–</w:t>
      </w:r>
      <w:r w:rsidRPr="00AC7CDC">
        <w:tab/>
        <w:t>έχοντας υπόψη τη δήλωση αξιοπιστίας</w:t>
      </w:r>
      <w:r w:rsidRPr="00AC7CDC">
        <w:rPr>
          <w:rStyle w:val="FootnoteReference"/>
        </w:rPr>
        <w:footnoteReference w:id="7"/>
      </w:r>
      <w:r w:rsidRPr="00AC7CDC">
        <w:t xml:space="preserve"> η οποία βεβαιώνει την ακρίβεια των λογαριασμών και τη νομιμότητα και κανονικότητα των σχετικών πράξεων, την οποία </w:t>
      </w:r>
      <w:proofErr w:type="spellStart"/>
      <w:r w:rsidRPr="00AC7CDC">
        <w:t>ενεχείρισε</w:t>
      </w:r>
      <w:proofErr w:type="spellEnd"/>
      <w:r w:rsidRPr="00AC7CDC">
        <w:t xml:space="preserve"> το Ελεγκτικό Συνέδριο για το οικονομικό έτος 2022, σύμφωνα με το άρθρο 287 της Συνθήκης για τη λειτουργία της Ευρωπαϊκής Ένωσης,</w:t>
      </w:r>
    </w:p>
    <w:p w:rsidR="009D396E" w:rsidRPr="00AC7CDC" w:rsidRDefault="009D396E" w:rsidP="009D396E">
      <w:pPr>
        <w:pStyle w:val="NormalHanging12a"/>
      </w:pPr>
      <w:r w:rsidRPr="00AC7CDC">
        <w:t>–</w:t>
      </w:r>
      <w:r w:rsidRPr="00AC7CDC">
        <w:tab/>
        <w:t>έχοντας υπόψη τη σύσταση του Συμβουλίου, της 22ας Φεβρουαρίου 2024, σχετικά με τη χορήγηση απαλλαγής στην Αρχή όσον αφορά την εκτέλεση του προϋπολογισμού για το οικονομικό έτος 2022 (</w:t>
      </w:r>
      <w:r w:rsidR="001B4052" w:rsidRPr="00AC7CDC">
        <w:t>0</w:t>
      </w:r>
      <w:r w:rsidR="001B4052">
        <w:t>6180</w:t>
      </w:r>
      <w:r w:rsidRPr="00AC7CDC">
        <w:t>/2024 – C9</w:t>
      </w:r>
      <w:r w:rsidRPr="00AC7CDC">
        <w:noBreakHyphen/>
      </w:r>
      <w:r w:rsidR="001B4052" w:rsidRPr="00AC7CDC">
        <w:t>00</w:t>
      </w:r>
      <w:r w:rsidR="001B4052">
        <w:t>84</w:t>
      </w:r>
      <w:r w:rsidRPr="00AC7CDC">
        <w:t>/2024),</w:t>
      </w:r>
    </w:p>
    <w:p w:rsidR="009D396E" w:rsidRPr="00AC7CDC" w:rsidRDefault="009D396E" w:rsidP="009D396E">
      <w:pPr>
        <w:pStyle w:val="NormalHanging12a"/>
      </w:pPr>
      <w:r w:rsidRPr="00AC7CDC">
        <w:t>–</w:t>
      </w:r>
      <w:r w:rsidRPr="00AC7CDC">
        <w:tab/>
        <w:t>έχοντας υπόψη το άρθρο 319 της Συνθήκης για τη λειτουργία της Ευρωπαϊκής Ένωσης,</w:t>
      </w:r>
    </w:p>
    <w:p w:rsidR="009D396E" w:rsidRPr="00AC7CDC" w:rsidRDefault="009D396E" w:rsidP="009D396E">
      <w:pPr>
        <w:pStyle w:val="NormalHanging12a"/>
      </w:pPr>
      <w:r w:rsidRPr="00AC7CDC">
        <w:t>–</w:t>
      </w:r>
      <w:r w:rsidRPr="00AC7CD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AC7CDC">
        <w:rPr>
          <w:rStyle w:val="FootnoteReference"/>
        </w:rPr>
        <w:footnoteReference w:id="8"/>
      </w:r>
      <w:r w:rsidRPr="00AC7CDC">
        <w:t>, και ιδίως το άρθρο 70,</w:t>
      </w:r>
    </w:p>
    <w:p w:rsidR="009D396E" w:rsidRPr="00AC7CDC" w:rsidRDefault="009D396E" w:rsidP="009D396E">
      <w:pPr>
        <w:pStyle w:val="NormalHanging12a"/>
      </w:pPr>
      <w:r w:rsidRPr="00AC7CDC">
        <w:t>–</w:t>
      </w:r>
      <w:r w:rsidRPr="00AC7CDC">
        <w:tab/>
        <w:t>έχοντας υπόψη τον κανονισμό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w:t>
      </w:r>
      <w:r w:rsidRPr="00AC7CDC">
        <w:rPr>
          <w:rStyle w:val="FootnoteReference"/>
        </w:rPr>
        <w:footnoteReference w:id="9"/>
      </w:r>
      <w:r w:rsidRPr="00AC7CDC">
        <w:t>, και ιδίως το άρθρο 64,</w:t>
      </w:r>
    </w:p>
    <w:p w:rsidR="009D396E" w:rsidRPr="00AC7CDC" w:rsidRDefault="009D396E" w:rsidP="009D396E">
      <w:pPr>
        <w:pStyle w:val="NormalHanging12a"/>
      </w:pPr>
      <w:r w:rsidRPr="00AC7CDC">
        <w:t>–</w:t>
      </w:r>
      <w:r w:rsidRPr="00AC7CD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AC7CDC">
        <w:rPr>
          <w:rStyle w:val="FootnoteReference"/>
        </w:rPr>
        <w:footnoteReference w:id="10"/>
      </w:r>
      <w:r w:rsidRPr="00AC7CDC">
        <w:t>, και ιδίως το άρθρο 105,</w:t>
      </w:r>
    </w:p>
    <w:p w:rsidR="009D396E" w:rsidRPr="00AC7CDC" w:rsidRDefault="009D396E" w:rsidP="009D396E">
      <w:pPr>
        <w:pStyle w:val="NormalHanging12a"/>
      </w:pPr>
      <w:r w:rsidRPr="00AC7CDC">
        <w:t>–</w:t>
      </w:r>
      <w:r w:rsidRPr="00AC7CDC">
        <w:tab/>
        <w:t xml:space="preserve">έχοντας υπόψη το άρθρο 100 και το παράρτημα V του Κανονισμού του, </w:t>
      </w:r>
    </w:p>
    <w:p w:rsidR="009D396E" w:rsidRPr="00AC7CDC" w:rsidRDefault="009D396E" w:rsidP="009D396E">
      <w:pPr>
        <w:pStyle w:val="NormalHanging12a"/>
      </w:pPr>
      <w:r w:rsidRPr="00AC7CDC">
        <w:lastRenderedPageBreak/>
        <w:t>–</w:t>
      </w:r>
      <w:r w:rsidRPr="00AC7CDC">
        <w:tab/>
        <w:t>έχοντας υπόψη την έκθεση της Επιτροπής Ελέγχου του Προϋπολογισμού (A9-0111/2024),</w:t>
      </w:r>
    </w:p>
    <w:p w:rsidR="009D396E" w:rsidRPr="00AC7CDC" w:rsidRDefault="0009208E" w:rsidP="0009208E">
      <w:pPr>
        <w:pStyle w:val="NormalHanging12a"/>
        <w:ind w:hanging="570"/>
      </w:pPr>
      <w:r w:rsidRPr="00AC7CDC">
        <w:t>1.</w:t>
      </w:r>
      <w:r w:rsidRPr="00AC7CDC">
        <w:tab/>
      </w:r>
      <w:r w:rsidR="009D396E" w:rsidRPr="00AC7CDC">
        <w:t>εγκρίνει το κλείσιμο των λογαριασμών της Ευρωπαϊκής Αρχής Τραπεζών για το οικονομικό έτος 2022·</w:t>
      </w:r>
    </w:p>
    <w:p w:rsidR="009D396E" w:rsidRPr="00AC7CDC" w:rsidRDefault="0009208E" w:rsidP="0009208E">
      <w:pPr>
        <w:pStyle w:val="NormalHanging12a"/>
        <w:ind w:hanging="570"/>
      </w:pPr>
      <w:r w:rsidRPr="00AC7CDC">
        <w:t>2.</w:t>
      </w:r>
      <w:r w:rsidRPr="00AC7CDC">
        <w:tab/>
      </w:r>
      <w:r w:rsidR="009D396E" w:rsidRPr="00AC7CDC">
        <w:t xml:space="preserve">αναθέτει στην Πρόεδρό του να διαβιβάσει την παρούσα απόφαση στον εκτελεστικό διευθυντή της Ευρωπαϊκής Αρχής Τραπεζών, στο Συμβούλιο, στην Επιτροπή και στο Ελεγκτικό Συνέδριο, και να μεριμνήσει για τη δημοσίευσή της στην </w:t>
      </w:r>
      <w:r w:rsidR="009D396E" w:rsidRPr="00AC7CDC">
        <w:rPr>
          <w:i/>
        </w:rPr>
        <w:t>Επίσημη Εφημερίδα της Ευρωπαϊκής Ένωσης</w:t>
      </w:r>
      <w:r w:rsidR="009D396E" w:rsidRPr="00AC7CDC">
        <w:t xml:space="preserve"> (σειρά L).</w:t>
      </w:r>
    </w:p>
    <w:p w:rsidR="009D396E" w:rsidRPr="00AC7CDC" w:rsidRDefault="009D396E" w:rsidP="009D396E"/>
    <w:p w:rsidR="009D396E" w:rsidRPr="00AC7CDC" w:rsidRDefault="009D396E" w:rsidP="009D396E">
      <w:pPr>
        <w:widowControl/>
        <w:rPr>
          <w:rFonts w:ascii="Arial" w:hAnsi="Arial" w:cs="Arial"/>
          <w:b/>
        </w:rPr>
        <w:sectPr w:rsidR="009D396E" w:rsidRPr="00AC7CDC" w:rsidSect="00AC7CDC">
          <w:footnotePr>
            <w:numRestart w:val="eachPage"/>
          </w:footnotePr>
          <w:endnotePr>
            <w:numFmt w:val="decimal"/>
          </w:endnotePr>
          <w:pgSz w:w="11906" w:h="16838"/>
          <w:pgMar w:top="1134" w:right="1418" w:bottom="1418" w:left="1418" w:header="567" w:footer="567" w:gutter="0"/>
          <w:cols w:space="720"/>
          <w:docGrid w:linePitch="326"/>
        </w:sectPr>
      </w:pPr>
    </w:p>
    <w:p w:rsidR="009D396E" w:rsidRPr="00AC7CDC" w:rsidRDefault="001B4052" w:rsidP="001B4052">
      <w:pPr>
        <w:pStyle w:val="ATHeading3"/>
      </w:pPr>
      <w:r>
        <w:lastRenderedPageBreak/>
        <w:t xml:space="preserve">3. Ψήφισμα του Ευρωπαϊκού Κοινοβουλίου της 11ης Απριλίου 2024  </w:t>
      </w:r>
      <w:r w:rsidR="009D396E" w:rsidRPr="00AC7CDC">
        <w:t>με τις παρατηρήσεις που αποτελούν αναπόσπαστο μέρος της απόφασης σχετικά με την απαλλαγή για την εκτέλεση του προϋπολογισμού της Ευρωπαϊκής Αρχής Τραπεζών για το οικονομικό έτος 2022</w:t>
      </w:r>
      <w:r>
        <w:t xml:space="preserve"> </w:t>
      </w:r>
      <w:r w:rsidR="009D396E" w:rsidRPr="00AC7CDC">
        <w:t>(2023/2146(DEC))</w:t>
      </w:r>
    </w:p>
    <w:p w:rsidR="009D396E" w:rsidRPr="00AC7CDC" w:rsidRDefault="009D396E" w:rsidP="009D396E">
      <w:pPr>
        <w:pStyle w:val="EPComma"/>
      </w:pPr>
      <w:r w:rsidRPr="00AC7CDC">
        <w:rPr>
          <w:i/>
        </w:rPr>
        <w:t>Το Ευρωπαϊκό Κοινοβούλιο</w:t>
      </w:r>
      <w:r w:rsidRPr="00AC7CDC">
        <w:t>,</w:t>
      </w:r>
    </w:p>
    <w:p w:rsidR="009D396E" w:rsidRPr="00AC7CDC" w:rsidRDefault="009D396E" w:rsidP="009D396E">
      <w:pPr>
        <w:pStyle w:val="NormalHanging12a"/>
      </w:pPr>
      <w:r w:rsidRPr="00AC7CDC">
        <w:t>–</w:t>
      </w:r>
      <w:r w:rsidRPr="00AC7CDC">
        <w:tab/>
        <w:t>έχοντας υπόψη την απόφασή του σχετικά µε την απαλλαγή όσον αφορά την εκτέλεση του προϋπολογισμού της Ευρωπαϊκής Αρχής Τραπεζών για το οικονομικό έτος 2022,</w:t>
      </w:r>
    </w:p>
    <w:p w:rsidR="009D396E" w:rsidRPr="00AC7CDC" w:rsidRDefault="009D396E" w:rsidP="009D396E">
      <w:pPr>
        <w:pStyle w:val="NormalHanging12a"/>
      </w:pPr>
      <w:r w:rsidRPr="00AC7CDC">
        <w:t>–</w:t>
      </w:r>
      <w:r w:rsidRPr="00AC7CDC">
        <w:tab/>
        <w:t>έχοντας υπόψη το άρθρο 100 και το παράρτημα V του Κανονισμού του,</w:t>
      </w:r>
    </w:p>
    <w:p w:rsidR="009D396E" w:rsidRPr="00AC7CDC" w:rsidRDefault="009D396E" w:rsidP="009D396E">
      <w:pPr>
        <w:pStyle w:val="NormalHanging12a"/>
      </w:pPr>
      <w:r w:rsidRPr="00AC7CDC">
        <w:t>–</w:t>
      </w:r>
      <w:r w:rsidRPr="00AC7CDC">
        <w:tab/>
        <w:t>έχοντας υπόψη την έκθεση της Επιτροπής Ελέγχου του Προϋπολογισμού (A9-0111/2024),</w:t>
      </w:r>
    </w:p>
    <w:p w:rsidR="009D396E" w:rsidRPr="00AC7CDC" w:rsidRDefault="009D396E" w:rsidP="009D396E">
      <w:pPr>
        <w:widowControl/>
        <w:spacing w:after="240"/>
        <w:ind w:left="567" w:hanging="567"/>
        <w:rPr>
          <w:szCs w:val="24"/>
        </w:rPr>
      </w:pPr>
      <w:r w:rsidRPr="00AC7CDC">
        <w:t>Α.</w:t>
      </w:r>
      <w:r w:rsidRPr="00AC7CDC">
        <w:tab/>
        <w:t>λαμβάνοντας υπόψη ότι, σύμφωνα με την κατάσταση εσόδων και δαπανών της</w:t>
      </w:r>
      <w:r w:rsidRPr="00AC7CDC">
        <w:rPr>
          <w:rStyle w:val="FootnoteReference"/>
          <w:szCs w:val="24"/>
        </w:rPr>
        <w:footnoteReference w:id="11"/>
      </w:r>
      <w:r w:rsidRPr="00AC7CDC">
        <w:t xml:space="preserve">, ο οριστικός προϋπολογισμός της Ευρωπαϊκής Αρχής Τραπεζών (η </w:t>
      </w:r>
      <w:r w:rsidR="007941A7">
        <w:t>«</w:t>
      </w:r>
      <w:r w:rsidRPr="00AC7CDC">
        <w:t>Αρχή») για το οικονομικό έτος 2022 ανήλθε σε 50 315 014 EUR· λαμβάνοντας υπόψη ότι η Αρχή χρηματοδοτείται κυρίως από συνεισφορά της Ένωσης (18 685 999 EUR), και από συνεισφορές των εθνικών εποπτικών αρχών των κρατών μελών και παρατηρητών (31 629 015 EUR)·</w:t>
      </w:r>
    </w:p>
    <w:p w:rsidR="009D396E" w:rsidRPr="00AC7CDC" w:rsidRDefault="009D396E" w:rsidP="009D396E">
      <w:pPr>
        <w:widowControl/>
        <w:spacing w:after="240"/>
        <w:ind w:left="567" w:hanging="567"/>
      </w:pPr>
      <w:r w:rsidRPr="00AC7CDC">
        <w:t>Β.</w:t>
      </w:r>
      <w:r w:rsidRPr="00AC7CDC">
        <w:tab/>
        <w:t>λαμβάνοντας υπόψη ότι, στην έκθεσή του για τους ετήσιους λογαριασμούς της Ευρωπαϊκής Αρχής Τραπεζών για το οικονομικό έτος 2022 («έκθεση του Ελεγκτικού Συνεδρίου»), το Ελεγκτικό Συνέδριο δήλωσε ότι αποκόμισε εύλογη βεβαιότητα ότι οι ετήσιοι λογαριασμοί της Αρχής είναι αξιόπιστοι και ότι οι πράξεις στις οποίες βασίζονται είναι νόμιμες και κανονικές·</w:t>
      </w:r>
    </w:p>
    <w:p w:rsidR="009D396E" w:rsidRPr="00AC7CDC" w:rsidRDefault="009D396E" w:rsidP="009D396E">
      <w:pPr>
        <w:widowControl/>
        <w:spacing w:after="240"/>
        <w:ind w:left="567" w:hanging="567"/>
        <w:rPr>
          <w:b/>
          <w:i/>
          <w:szCs w:val="24"/>
        </w:rPr>
      </w:pPr>
      <w:r w:rsidRPr="00AC7CDC">
        <w:rPr>
          <w:b/>
          <w:i/>
        </w:rPr>
        <w:t>Δημοσιονομική και χρηματοοικονομική διαχείριση</w:t>
      </w:r>
    </w:p>
    <w:p w:rsidR="009D396E" w:rsidRPr="00AC7CDC" w:rsidRDefault="0009208E" w:rsidP="0009208E">
      <w:pPr>
        <w:pStyle w:val="NormalHanging12a"/>
        <w:widowControl/>
        <w:ind w:hanging="570"/>
        <w:rPr>
          <w:szCs w:val="24"/>
        </w:rPr>
      </w:pPr>
      <w:r w:rsidRPr="00AC7CDC">
        <w:rPr>
          <w:szCs w:val="24"/>
        </w:rPr>
        <w:t>1.</w:t>
      </w:r>
      <w:r w:rsidRPr="00AC7CDC">
        <w:rPr>
          <w:szCs w:val="24"/>
        </w:rPr>
        <w:tab/>
      </w:r>
      <w:r w:rsidR="009D396E" w:rsidRPr="00AC7CDC">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99,56 %, το οποίο συνιστά αύξηση κατά 1,05 % σε σύγκριση με το 2021· σημειώνει ακόμη ότι το ποσοστό εκτέλεσης των πιστώσεων πληρωμών του τρέχοντος έτους ήταν 87,00 %, που συνιστά αύξηση κατά 3,00 % σε σύγκριση με το 2021·</w:t>
      </w:r>
    </w:p>
    <w:p w:rsidR="009D396E" w:rsidRPr="00AC7CDC" w:rsidRDefault="009D396E" w:rsidP="009D396E">
      <w:pPr>
        <w:widowControl/>
        <w:spacing w:after="240"/>
        <w:ind w:left="567" w:hanging="567"/>
        <w:rPr>
          <w:b/>
          <w:i/>
          <w:szCs w:val="24"/>
        </w:rPr>
      </w:pPr>
      <w:r w:rsidRPr="00AC7CDC">
        <w:rPr>
          <w:b/>
          <w:i/>
        </w:rPr>
        <w:t>Επιδόσεις</w:t>
      </w:r>
    </w:p>
    <w:p w:rsidR="009D396E" w:rsidRPr="00AC7CDC" w:rsidRDefault="0009208E" w:rsidP="0009208E">
      <w:pPr>
        <w:pStyle w:val="NormalHanging12a"/>
        <w:widowControl/>
        <w:ind w:hanging="573"/>
        <w:rPr>
          <w:szCs w:val="24"/>
        </w:rPr>
      </w:pPr>
      <w:r w:rsidRPr="00AC7CDC">
        <w:rPr>
          <w:szCs w:val="24"/>
        </w:rPr>
        <w:t>2.</w:t>
      </w:r>
      <w:r w:rsidRPr="00AC7CDC">
        <w:rPr>
          <w:szCs w:val="24"/>
        </w:rPr>
        <w:tab/>
      </w:r>
      <w:r w:rsidR="009D396E" w:rsidRPr="00AC7CDC">
        <w:t xml:space="preserve">εκφράζει την ικανοποίησή του για το γεγονός ότι η Αρχή εξακολουθεί να εφαρμόζει ορισμένα μέτρα όπως βασικούς δείκτες επιδόσεων για να αξιολογεί τις δραστηριότητές της και τα αποτελέσματά τους ως προς την επίτευξη των στόχων του προγράμματος εργασίας· παρατηρεί ότι, για το 2022, η Αρχή είχε καθορίσει πέντε κάθετες προτεραιότητες (π.χ. παρακολούθηση και επικαιροποίηση του πλαισίου προληπτικής εποπτείας και εξυγίανσης, επανεξέταση και ενίσχυση του πλαισίου προσομοίωσης ακραίων καταστάσεων σε επίπεδο ΕΕ) και δύο οριζόντιες προτεραιότητες (παροχή εργαλείων για τη μέτρηση και τη διαχείριση των κινδύνων που σχετίζονται με το περιβάλλον, την κοινωνία και τη διακυβέρνηση (ΠΚΔ) και παρακολούθηση και </w:t>
      </w:r>
      <w:r w:rsidR="009D396E" w:rsidRPr="00AC7CDC">
        <w:lastRenderedPageBreak/>
        <w:t>μετριασμός των επιπτώσεων της νόσου COVID-19) για το πρόγραμμα εργασίας της· σημειώνει ότι το 2022 η Αρχή εκτέλεσε το 95 % των περίπου 250 καθηκόντων που προβλέπονταν στο πρόγραμμα εργασίας της, συμπεριλαμβανομένου του 15 % των καθηκόντων που έπρεπε να προστεθούν στις εργασίες κατά τη διάρκεια του έτους· αναγνωρίζει περαιτέρω ότι πρόκειται για βελτίωση σε σύγκριση με το προηγούμενο έτος·</w:t>
      </w:r>
    </w:p>
    <w:p w:rsidR="009D396E" w:rsidRPr="00AC7CDC" w:rsidRDefault="0009208E" w:rsidP="0009208E">
      <w:pPr>
        <w:pStyle w:val="NormalHanging12a"/>
        <w:widowControl/>
        <w:ind w:hanging="573"/>
        <w:rPr>
          <w:szCs w:val="24"/>
        </w:rPr>
      </w:pPr>
      <w:r w:rsidRPr="00AC7CDC">
        <w:rPr>
          <w:szCs w:val="24"/>
        </w:rPr>
        <w:t>3.</w:t>
      </w:r>
      <w:r w:rsidRPr="00AC7CDC">
        <w:rPr>
          <w:szCs w:val="24"/>
        </w:rPr>
        <w:tab/>
      </w:r>
      <w:r w:rsidR="009D396E" w:rsidRPr="00AC7CDC">
        <w:t>γνωρίζει ότι ο αδικαιολόγητος επιθετικός πόλεμος της Ρωσίας κατά της Ουκρανίας ώθησε την Αρχή να εξετάσει τις προκλήσεις και τις αβεβαιότητες που προκύπτουν από την εν λόγω σύγκρουση για τους τομείς που εμπίπτουν στην αρμοδιότητά της και να τις αντιμετωπίσει αναλόγως· εκφράζει την ικανοποίησή του για το γεγονός ότι, για τον λόγο αυτό, η Αρχή έδωσε σημαντική έμφαση στην αξιολόγηση των κινδύνων για τις τράπεζες και τον χρηματοπιστωτικό τομέα και έλαβε μέτρα για την παρακολούθηση του εν λόγω τομέα· σημειώνει, επιπλέον, ότι η Αρχή επικεντρώθηκε στις προσπάθειες που συμβάλλουν στην εφαρμογή και την επιβολή των επιβαλλόμενων κυρώσεων και σε ένα πιο άμεσα συναφές επίπεδο για τα άτομα που πλήττονται από την εν λόγω σύγκρουση και εκφράζει την ικανοποίησή του για τις προσπάθειες της Αρχής να παράσχει καθοδήγηση για τη διευκόλυνση της πρόσβασης στο χρηματοπιστωτικό σύστημα·</w:t>
      </w:r>
    </w:p>
    <w:p w:rsidR="009D396E" w:rsidRPr="0009208E" w:rsidRDefault="0009208E" w:rsidP="0009208E">
      <w:pPr>
        <w:widowControl/>
        <w:spacing w:after="240"/>
        <w:ind w:left="567" w:hanging="573"/>
        <w:rPr>
          <w:szCs w:val="24"/>
        </w:rPr>
      </w:pPr>
      <w:r w:rsidRPr="001B4052">
        <w:rPr>
          <w:szCs w:val="24"/>
        </w:rPr>
        <w:t>4.</w:t>
      </w:r>
      <w:r w:rsidRPr="001B4052">
        <w:rPr>
          <w:szCs w:val="24"/>
        </w:rPr>
        <w:tab/>
      </w:r>
      <w:r w:rsidR="009D396E" w:rsidRPr="00AC7CDC">
        <w:t>παρατηρεί ότι ορισμένες από τις σημαντικές κινητήριες δυνάμεις της δραστηριότητας της Αρχής το 2022 συνέβαλαν στη διαμόρφωση των νομοθετικών διαδικασιών που οδήγησαν στην έγκριση του κανονισμού (ΕΕ) 2022/2554</w:t>
      </w:r>
      <w:r w:rsidR="009D396E" w:rsidRPr="00AC7CDC">
        <w:rPr>
          <w:rStyle w:val="FootnoteReference"/>
          <w:szCs w:val="24"/>
        </w:rPr>
        <w:footnoteReference w:id="12"/>
      </w:r>
      <w:r w:rsidR="009D396E" w:rsidRPr="00AC7CDC">
        <w:t xml:space="preserve"> και της οδηγίας (ΕΕ) 2022/2556</w:t>
      </w:r>
      <w:r w:rsidR="009D396E" w:rsidRPr="00AC7CDC">
        <w:rPr>
          <w:rStyle w:val="FootnoteReference"/>
          <w:szCs w:val="24"/>
        </w:rPr>
        <w:footnoteReference w:id="13"/>
      </w:r>
      <w:r w:rsidR="009D396E" w:rsidRPr="00AC7CDC">
        <w:t xml:space="preserve"> (κανονισμός και οδηγία για την ψηφιακή επιχειρησιακή ανθεκτικότητα) και του κανονισμού (ΕΕ) 2023/1114</w:t>
      </w:r>
      <w:r w:rsidR="009D396E" w:rsidRPr="00AC7CDC">
        <w:rPr>
          <w:rStyle w:val="FootnoteReference"/>
          <w:szCs w:val="24"/>
        </w:rPr>
        <w:footnoteReference w:id="14"/>
      </w:r>
      <w:r w:rsidR="009D396E" w:rsidRPr="00AC7CDC">
        <w:t xml:space="preserve"> (κανονισμός για τις αγορές </w:t>
      </w:r>
      <w:proofErr w:type="spellStart"/>
      <w:r w:rsidR="009D396E" w:rsidRPr="00AC7CDC">
        <w:t>κρυπτοστοιχείων</w:t>
      </w:r>
      <w:proofErr w:type="spellEnd"/>
      <w:r w:rsidR="009D396E" w:rsidRPr="00AC7CDC">
        <w:t xml:space="preserve">) μέσω της ανταπόκρισης σε διάφορες εκκλήσεις για παροχή συμβουλών σχετικά με τον ψηφιακό χρηματοοικονομικό τομέα και συναφή ζητήματα· σημειώνει ότι ένα ακόμα σημείο εστίασης ήταν η πρόληψη της χρησιμοποίησης του χρηματοπιστωτικού συστήματος για τον σκοπό της νομιμοποίησης εσόδων από παράνομες δραστηριότητες και της χρηματοδότησης της τρομοκρατίας (ΞΧ/ΧΤ)· σημειώνει περαιτέρω ότι η ανάπτυξη ενός σχετικού περιβαλλοντικού, κοινωνικού και διακυβερνητικού (ESG) πλαισίου για τις τράπεζες καθώς και η παρακολούθηση των επιπτώσεων της νόσου COVID-19 στους ισολογισμούς των τραπεζών εξακολούθησαν να βρίσκονται στο επίκεντρο των εργασιών της Αρχής· αναγνωρίζει ότι η Αρχή </w:t>
      </w:r>
      <w:proofErr w:type="spellStart"/>
      <w:r w:rsidR="009D396E" w:rsidRPr="00AC7CDC">
        <w:t>επικαιροποίησε</w:t>
      </w:r>
      <w:proofErr w:type="spellEnd"/>
      <w:r w:rsidR="009D396E" w:rsidRPr="00AC7CDC">
        <w:t xml:space="preserve"> επίσης το πρόγραμμα εργασίας της για την αξιολόγηση από ομότιμους για την περίοδο 2022-2023, σύμφωνα με τον κανονισμό </w:t>
      </w:r>
      <w:r w:rsidR="003758DC" w:rsidRPr="003758DC">
        <w:t>(</w:t>
      </w:r>
      <w:r w:rsidR="003758DC">
        <w:rPr>
          <w:lang w:val="en-GB"/>
        </w:rPr>
        <w:t>EE</w:t>
      </w:r>
      <w:r w:rsidR="003758DC" w:rsidRPr="003758DC">
        <w:t xml:space="preserve">) </w:t>
      </w:r>
      <w:r w:rsidR="009D396E" w:rsidRPr="00AC7CDC">
        <w:t>αριθ. 1093/2010·</w:t>
      </w:r>
    </w:p>
    <w:p w:rsidR="009D396E" w:rsidRPr="00AC7CDC" w:rsidRDefault="009D396E" w:rsidP="009D396E">
      <w:pPr>
        <w:widowControl/>
        <w:spacing w:after="240"/>
        <w:ind w:left="567" w:hanging="567"/>
        <w:rPr>
          <w:b/>
          <w:i/>
          <w:szCs w:val="24"/>
        </w:rPr>
      </w:pPr>
      <w:r w:rsidRPr="00AC7CDC">
        <w:rPr>
          <w:b/>
          <w:i/>
        </w:rPr>
        <w:t>Αποδοτικότητα και βελτιώσεις</w:t>
      </w:r>
    </w:p>
    <w:p w:rsidR="009D396E" w:rsidRPr="0009208E" w:rsidRDefault="0009208E" w:rsidP="0009208E">
      <w:pPr>
        <w:widowControl/>
        <w:spacing w:after="240"/>
        <w:ind w:left="567" w:hanging="573"/>
        <w:rPr>
          <w:szCs w:val="24"/>
        </w:rPr>
      </w:pPr>
      <w:r w:rsidRPr="001B4052">
        <w:rPr>
          <w:szCs w:val="24"/>
        </w:rPr>
        <w:t>5.</w:t>
      </w:r>
      <w:r w:rsidRPr="001B4052">
        <w:rPr>
          <w:szCs w:val="24"/>
        </w:rPr>
        <w:tab/>
      </w:r>
      <w:r w:rsidR="009D396E" w:rsidRPr="00AC7CDC">
        <w:t>εκφράζει την ικανοποίησή του για το γεγονός ότι, στον τομέα των δημόσιων συμβάσεων, η Αρχή ακολουθεί την προσέγγιση να καλεί και άλλους οργανισμούς να συμμετάσχουν στις ανοικτές διαδικασίες σύ</w:t>
      </w:r>
      <w:bookmarkStart w:id="8" w:name="_GoBack"/>
      <w:bookmarkEnd w:id="8"/>
      <w:r w:rsidR="009D396E" w:rsidRPr="00AC7CDC">
        <w:t xml:space="preserve">ναψης συμβάσεων, όποτε υπάρχει πιθανότητα ενδιαφέροντος από άλλους οργανισμούς· σημειώνει ότι το 2022 η Αρχή ήταν ο επικεφαλής οργανισμός σε μία διοργανική διαδικασία σύναψης συμβάσεων στην οποία συμμετείχαν η Ευρωπαϊκή Αρχή </w:t>
      </w:r>
      <w:proofErr w:type="spellStart"/>
      <w:r w:rsidR="009D396E" w:rsidRPr="00AC7CDC">
        <w:t>Kινητών</w:t>
      </w:r>
      <w:proofErr w:type="spellEnd"/>
      <w:r w:rsidR="009D396E" w:rsidRPr="00AC7CDC">
        <w:t xml:space="preserve"> </w:t>
      </w:r>
      <w:proofErr w:type="spellStart"/>
      <w:r w:rsidR="009D396E" w:rsidRPr="00AC7CDC">
        <w:t>Aξιών</w:t>
      </w:r>
      <w:proofErr w:type="spellEnd"/>
      <w:r w:rsidR="009D396E" w:rsidRPr="00AC7CDC">
        <w:t xml:space="preserve"> και Αγορών (ESMA) και η Ευρωπαϊκή Αρχή Ασφαλίσεων και Επαγγελματικών Συντάξεων (EIOPA)· σημειώνει, επιπλέον, ότι η Αρχή έχει επίσης συμμετάσχει σε πολλές διοργανικές διαδικασίες υπό την καθοδήγηση άλλων θεσμικών και λοιπών οργάνων και οργανισμών της Ένωσης, και κυρίως εκείνων που διαχειρίζεται η Επιτροπή· παρατηρεί ότι, το 2022, το 77 % των 96 ισχυουσών συμβάσεων-πλαισίων της Αρχής ανατέθηκαν από άλλα θεσμικά και λοιπά όργανα και οργανισμούς της Ένωσης·</w:t>
      </w:r>
    </w:p>
    <w:p w:rsidR="009D396E" w:rsidRPr="0009208E" w:rsidRDefault="0009208E" w:rsidP="0009208E">
      <w:pPr>
        <w:widowControl/>
        <w:spacing w:after="240"/>
        <w:ind w:left="567" w:hanging="573"/>
        <w:rPr>
          <w:szCs w:val="24"/>
        </w:rPr>
      </w:pPr>
      <w:r w:rsidRPr="001B4052">
        <w:rPr>
          <w:szCs w:val="24"/>
        </w:rPr>
        <w:t>6.</w:t>
      </w:r>
      <w:r w:rsidRPr="001B4052">
        <w:rPr>
          <w:szCs w:val="24"/>
        </w:rPr>
        <w:tab/>
      </w:r>
      <w:r w:rsidR="009D396E" w:rsidRPr="00AC7CDC">
        <w:t>σημειώνει ότι η Μικτή Επιτροπή των Ευρωπαϊκών Εποπτικών Αρχών, στο πλαίσιο της οποίας συνέρχονται η Αρχή. η EIOPA, η ESMA, η Επιτροπή και το Ευρωπαϊκό Συμβούλιο Συστημικού Κινδύνου αποτελεί βασικό φόρουμ για τη συζήτηση σχετικά με κοινά ρυθμιστικά ζητήματα και την επίτευξη συμφωνίας για κοινές πρωτοβουλίες· υπενθυμίζει ότι με τις κοινές δραστηριότητες συνδυάζονται διαφορετικές θεωρήσεις, μειώνεται η αλληλεπικάλυψη προσπαθειών και ενισχύονται η μάθηση και οι σχέσεις μεταξύ των συμμετεχόντων·</w:t>
      </w:r>
    </w:p>
    <w:p w:rsidR="009D396E" w:rsidRPr="0009208E" w:rsidRDefault="0009208E" w:rsidP="0009208E">
      <w:pPr>
        <w:widowControl/>
        <w:spacing w:after="240"/>
        <w:ind w:left="567" w:hanging="573"/>
        <w:rPr>
          <w:bCs/>
          <w:szCs w:val="24"/>
        </w:rPr>
      </w:pPr>
      <w:r w:rsidRPr="001B4052">
        <w:rPr>
          <w:bCs/>
          <w:szCs w:val="24"/>
        </w:rPr>
        <w:t>7.</w:t>
      </w:r>
      <w:r w:rsidRPr="001B4052">
        <w:rPr>
          <w:bCs/>
          <w:szCs w:val="24"/>
        </w:rPr>
        <w:tab/>
      </w:r>
      <w:r w:rsidR="009D396E" w:rsidRPr="00AC7CDC">
        <w:t>εκφράζει την ικανοποίησή του για το γεγονός ότι η Αρχή συμμετέχει σε εκτεταμένες πρωτοβουλίες συνεργασίας και ανταλλαγής πόρων με διάφορους οργανισμούς, όπως, για παράδειγμα, κοινές λογιστικές υπηρεσίες με την ESMA, κοινός υπεύθυνος ασφάλειας με την EIOPA, κοινά έργα ΤΠ, επενδύσεις στην εξέλιξη της σταδιοδρομίας και παροχή εμπειριών με σκοπό να υποστηριχθούν άλλοι οργανισμοί για να λάβουν πιστοποίηση EMAS· τονίζει περαιτέρω τα οριζόντια οφέλη της συνεργασίας και της προσαρμογής των βέλτιστων πρακτικών·</w:t>
      </w:r>
    </w:p>
    <w:p w:rsidR="009D396E" w:rsidRPr="0009208E" w:rsidRDefault="0009208E" w:rsidP="0009208E">
      <w:pPr>
        <w:widowControl/>
        <w:spacing w:after="240"/>
        <w:ind w:left="567" w:hanging="573"/>
        <w:rPr>
          <w:szCs w:val="24"/>
        </w:rPr>
      </w:pPr>
      <w:r w:rsidRPr="001B4052">
        <w:rPr>
          <w:szCs w:val="24"/>
        </w:rPr>
        <w:t>8.</w:t>
      </w:r>
      <w:r w:rsidRPr="001B4052">
        <w:rPr>
          <w:szCs w:val="24"/>
        </w:rPr>
        <w:tab/>
      </w:r>
      <w:r w:rsidR="009D396E" w:rsidRPr="00AC7CDC">
        <w:t xml:space="preserve">επαινεί την Αρχή για την ανάληψη διαφόρων πρωτοβουλιών, όπως η βελτιστοποίηση των διαδικασιών, η διαχείριση των πόρων, η ψηφιοποίηση, η ενίσχυση της συνεργασίας και η προώθηση μιας νοοτροπίας συνεχούς βελτίωσης· σημειώνει ότι οι βασικές στρατηγικές περιλαμβάνουν την αυτοματοποίηση των διαδικασιών (χρηματοπιστωτικές συναλλαγές χωρίς χαρτί, μαζικός φόρτος πληρωμών, εργαλεία ροής εργασιών), τη βελτιστοποίηση των πόρων, τη λήψη αποφάσεων βάσει δεδομένων, την τεχνολογική ολοκλήρωση (υπηρεσίες υπολογιστικού νέφους, ψηφιοποίηση ανθρώπινων πόρων), τη συνεργασία μέσω </w:t>
      </w:r>
      <w:proofErr w:type="spellStart"/>
      <w:r w:rsidR="009D396E" w:rsidRPr="00AC7CDC">
        <w:t>διατομεακών</w:t>
      </w:r>
      <w:proofErr w:type="spellEnd"/>
      <w:r w:rsidR="009D396E" w:rsidRPr="00AC7CDC">
        <w:t xml:space="preserve"> ομάδων και τη διαχείριση έργων·</w:t>
      </w:r>
    </w:p>
    <w:p w:rsidR="009D396E" w:rsidRPr="00AC7CDC" w:rsidRDefault="0009208E" w:rsidP="0009208E">
      <w:pPr>
        <w:pStyle w:val="NormalHanging12a"/>
        <w:ind w:hanging="573"/>
      </w:pPr>
      <w:r w:rsidRPr="00AC7CDC">
        <w:t>9.</w:t>
      </w:r>
      <w:r w:rsidRPr="00AC7CDC">
        <w:tab/>
      </w:r>
      <w:r w:rsidR="009D396E" w:rsidRPr="00AC7CDC">
        <w:t>υπογραμμίζει ότι η Αρχή είναι ενεργό μέλος του Δικτύου των Οργανισμών της ΕΕ, και ότι αναπτύσσονται συνεχώς συνέργειες με τις άλλες Ευρωπαϊκές Εποπτικές Αρχές, όπως κοινή χρήση εφεδρικών πινάκων προσλήψεων μεταξύ των ΕΑΤ-ESMA-EIOPA·</w:t>
      </w:r>
    </w:p>
    <w:p w:rsidR="009D396E" w:rsidRPr="00AC7CDC" w:rsidRDefault="009D396E" w:rsidP="009D396E">
      <w:pPr>
        <w:widowControl/>
        <w:spacing w:after="240"/>
        <w:ind w:left="567" w:hanging="567"/>
        <w:rPr>
          <w:b/>
          <w:i/>
          <w:szCs w:val="24"/>
        </w:rPr>
      </w:pPr>
      <w:r w:rsidRPr="00AC7CDC">
        <w:rPr>
          <w:b/>
          <w:i/>
        </w:rPr>
        <w:t>Πολιτική προσωπικού</w:t>
      </w:r>
    </w:p>
    <w:p w:rsidR="009D396E" w:rsidRPr="0009208E" w:rsidRDefault="0009208E" w:rsidP="0009208E">
      <w:pPr>
        <w:widowControl/>
        <w:spacing w:after="240"/>
        <w:ind w:left="567" w:hanging="573"/>
        <w:rPr>
          <w:szCs w:val="24"/>
        </w:rPr>
      </w:pPr>
      <w:r w:rsidRPr="001B4052">
        <w:rPr>
          <w:szCs w:val="24"/>
        </w:rPr>
        <w:t>10.</w:t>
      </w:r>
      <w:r w:rsidRPr="001B4052">
        <w:rPr>
          <w:szCs w:val="24"/>
        </w:rPr>
        <w:tab/>
      </w:r>
      <w:r w:rsidR="009D396E" w:rsidRPr="00AC7CDC">
        <w:t>σημειώνει ότι, στις 31 Δεκεμβρίου 2022, το ποσοστό εκτέλεσης του πίνακα προσωπικού ήταν 98,14 % και ότι καλύπτονταν οι 159 από τις 162 θέσεις έκτακτων υπαλλήλων που είχαν εγκριθεί στο πλαίσιο του προϋπολογισμού της Ένωσης (ο ίδιος αριθμός εγκεκριμένων θέσεων με το 2021)· σημειώνει ότι, επιπλέον, το 2020 εργάστηκαν για την Αρχή 44 συμβασιούχοι υπάλληλοι (από τους 50 που είχαν εγκριθεί) και 13 αποσπασμένοι εθνικοί εμπειρογνώμονες (από τους 19 που είχαν εγκριθεί συν έξι αποσπασμένοι εθνικοί εμπειρογνώμονες χωρίς κόστος)·</w:t>
      </w:r>
    </w:p>
    <w:p w:rsidR="009D396E" w:rsidRPr="0009208E" w:rsidRDefault="0009208E" w:rsidP="0009208E">
      <w:pPr>
        <w:widowControl/>
        <w:spacing w:after="240"/>
        <w:ind w:left="567" w:hanging="573"/>
        <w:rPr>
          <w:szCs w:val="24"/>
        </w:rPr>
      </w:pPr>
      <w:r w:rsidRPr="001B4052">
        <w:rPr>
          <w:szCs w:val="24"/>
        </w:rPr>
        <w:t>11.</w:t>
      </w:r>
      <w:r w:rsidRPr="001B4052">
        <w:rPr>
          <w:szCs w:val="24"/>
        </w:rPr>
        <w:tab/>
      </w:r>
      <w:r w:rsidR="009D396E" w:rsidRPr="00AC7CDC">
        <w:t>παρατηρεί ότι το συνολικό το ποσοστό εναλλαγής του προσωπικού το 2022 ήταν 11,5 % (σε σύγκριση με 12 % το 2021)· σημειώνει ότι το συνολικό ποσοστό εναλλαγής του προσωπικού περιλαμβάνει τη λήξη της σύμβασης των αποσπασμένων εθνικών εμπειρογνωμόνων των οποίων οι συμβάσεις είναι εκ φύσεως βραχυπρόθεσμες, ενώ το ποσοστό εναλλαγής του προσωπικού για το μόνιμο και λοιπό προσωπικό (έκτακτοι και συμβασιούχοι υπάλληλοι) ήταν 9 % (ελαφρώς υψηλότερο για τους συμβασιούχους απ’ ό,τι για τους έκτακτους υπαλλήλους)· επισημαίνει ότι, από το 2020, η Αρχή έχει αρχίσει να εμπλουτίζει την προσέγγισή της για τη διαχείριση ταλέντων με περαιτέρω μέτρα για την ενίσχυση του προσωπικού και τη στήριξη της μακροπρόθεσμης συμμετοχής (ισχυρή πρόταση για την αξία των εργαζομένων, προσαρμοσμένα προγράμματα επαγγελματικής εξέλιξης, όπως καθοδήγηση, πρωτοβουλίες επαγγελματικής και προσωπικής ζωής, όπως η κοινωνική λέσχη κ.λπ.)·</w:t>
      </w:r>
    </w:p>
    <w:p w:rsidR="009D396E" w:rsidRPr="00AC7CDC" w:rsidRDefault="0009208E" w:rsidP="0009208E">
      <w:pPr>
        <w:pStyle w:val="NormalHanging12a"/>
        <w:widowControl/>
        <w:ind w:hanging="573"/>
        <w:rPr>
          <w:szCs w:val="24"/>
        </w:rPr>
      </w:pPr>
      <w:r w:rsidRPr="00AC7CDC">
        <w:rPr>
          <w:szCs w:val="24"/>
        </w:rPr>
        <w:t>12.</w:t>
      </w:r>
      <w:r w:rsidRPr="00AC7CDC">
        <w:rPr>
          <w:szCs w:val="24"/>
        </w:rPr>
        <w:tab/>
      </w:r>
      <w:r w:rsidR="009D396E" w:rsidRPr="00AC7CDC">
        <w:t>σημειώνει την κατανομή των φύλων σε επίπεδο ανώτερων και μεσαίων διοικητικών στελεχών της Αρχής, όπου 16 από τα 29 ανώτερα και μεσαία διοικητικά στελέχη (55 %) είναι άνδρες, και στο συνολικό προσωπικό της Αρχής, όπου 114 από τα 222 μέλη (51 %) είναι άνδρες· υποστηρίζει την υιοθέτηση από την Αρχή του Χάρτη του Δικτύου των Οργανισμών της ΕΕ για τη διαφορετικότητα και την ένταξη· σημειώνει ότι η Αρχή είναι μέλος του δικτύου «</w:t>
      </w:r>
      <w:proofErr w:type="spellStart"/>
      <w:r w:rsidR="009D396E" w:rsidRPr="00AC7CDC">
        <w:t>Choose</w:t>
      </w:r>
      <w:proofErr w:type="spellEnd"/>
      <w:r w:rsidR="009D396E" w:rsidRPr="00AC7CDC">
        <w:t xml:space="preserve"> </w:t>
      </w:r>
      <w:proofErr w:type="spellStart"/>
      <w:r w:rsidR="009D396E" w:rsidRPr="00AC7CDC">
        <w:t>Paris</w:t>
      </w:r>
      <w:proofErr w:type="spellEnd"/>
      <w:r w:rsidR="009D396E" w:rsidRPr="00AC7CDC">
        <w:t xml:space="preserve"> </w:t>
      </w:r>
      <w:proofErr w:type="spellStart"/>
      <w:r w:rsidR="009D396E" w:rsidRPr="00AC7CDC">
        <w:t>Region</w:t>
      </w:r>
      <w:proofErr w:type="spellEnd"/>
      <w:r w:rsidR="009D396E" w:rsidRPr="00AC7CDC">
        <w:t>» το οποίο αποτελείται από διεθνείς οργανισμούς που προωθούν έναν ποικιλόμορφο, χωρίς αποκλεισμούς και ισότιμο χώρο εργασίας και παρέχει ειδικές διευκολύνσεις σε άτομα με αναπηρία στο πλαίσιο της διαδικασίας πρόσληψης·</w:t>
      </w:r>
    </w:p>
    <w:p w:rsidR="009D396E" w:rsidRPr="0009208E" w:rsidRDefault="0009208E" w:rsidP="0009208E">
      <w:pPr>
        <w:widowControl/>
        <w:spacing w:after="240"/>
        <w:ind w:left="567" w:hanging="573"/>
        <w:rPr>
          <w:szCs w:val="24"/>
        </w:rPr>
      </w:pPr>
      <w:r w:rsidRPr="001B4052">
        <w:rPr>
          <w:szCs w:val="24"/>
        </w:rPr>
        <w:t>13.</w:t>
      </w:r>
      <w:r w:rsidRPr="001B4052">
        <w:rPr>
          <w:szCs w:val="24"/>
        </w:rPr>
        <w:tab/>
      </w:r>
      <w:r w:rsidR="009D396E" w:rsidRPr="00AC7CDC">
        <w:t>γνωρίζει ότι το 2022 δρομολογήθηκε έρευνα για τη συμμετοχή του προσωπικού (ΕΕΟ), η οποία είχε ως αποτέλεσμα ποσοστό απόκρισης 71 %· σημειώνει ότι η συνολική ευνοϊκή βαθμολογία που αντιπροσωπεύει την πρόσληψη του προσωπικού ήταν 65 % – υψηλότερη κατά 1 % από ό,τι στην προηγούμενη ΕΕΟ του 2019 (παρά την δύσκολη χρονική περίοδο της πανδημίας</w:t>
      </w:r>
      <w:r w:rsidR="007941A7">
        <w:t xml:space="preserve"> της</w:t>
      </w:r>
      <w:r w:rsidR="009D396E" w:rsidRPr="00AC7CDC">
        <w:t xml:space="preserve"> COVID</w:t>
      </w:r>
      <w:r w:rsidR="007941A7">
        <w:t>-19</w:t>
      </w:r>
      <w:r w:rsidR="009D396E" w:rsidRPr="00AC7CDC">
        <w:t xml:space="preserve">), καθώς και σε σύγκριση με τον </w:t>
      </w:r>
      <w:proofErr w:type="spellStart"/>
      <w:r w:rsidR="009D396E" w:rsidRPr="00AC7CDC">
        <w:t>διυπηρεσιακό</w:t>
      </w:r>
      <w:proofErr w:type="spellEnd"/>
      <w:r w:rsidR="009D396E" w:rsidRPr="00AC7CDC">
        <w:t xml:space="preserve"> δείκτη αναφοράς της ΕΕ·</w:t>
      </w:r>
    </w:p>
    <w:p w:rsidR="009D396E" w:rsidRPr="00AC7CDC" w:rsidRDefault="009D396E" w:rsidP="009D396E">
      <w:pPr>
        <w:widowControl/>
        <w:spacing w:after="240"/>
        <w:ind w:left="567" w:hanging="567"/>
        <w:rPr>
          <w:b/>
          <w:i/>
          <w:szCs w:val="24"/>
        </w:rPr>
      </w:pPr>
      <w:r w:rsidRPr="00AC7CDC">
        <w:rPr>
          <w:b/>
          <w:i/>
        </w:rPr>
        <w:t>Πρόληψη και διαχείριση συγκρούσεων συμφερόντων και διαφάνεια</w:t>
      </w:r>
    </w:p>
    <w:p w:rsidR="009D396E" w:rsidRPr="00AC7CDC" w:rsidRDefault="0009208E" w:rsidP="0009208E">
      <w:pPr>
        <w:widowControl/>
        <w:spacing w:after="240"/>
        <w:ind w:left="567" w:hanging="573"/>
      </w:pPr>
      <w:r w:rsidRPr="00AC7CDC">
        <w:t>14.</w:t>
      </w:r>
      <w:r w:rsidRPr="00AC7CDC">
        <w:tab/>
      </w:r>
      <w:r w:rsidR="009D396E" w:rsidRPr="00AC7CDC">
        <w:t>εκφράζει την ικανοποίησή του για το γεγονός ότι το 2022 η Αρχή προέβη σε εξορθολογισμό της διαδικασίας δεοντολογίας, συγκεκριμένα, μέσω της θέσπισης ηλεκτρονικού συστήματος ροής εργασίας το οποίο περιλαμβάνει στενότερη και αποτελεσματικότερη αξιολόγηση των κοινοποιήσεων που αφορούν πιθανές συγκρούσεις συμφερόντων των υπαλλήλων που αποχωρούν και των κοινοποιήσεων σχετικά με τις δραστηριότητες μετά την αποχώρηση από την υπηρεσία·</w:t>
      </w:r>
    </w:p>
    <w:p w:rsidR="009D396E" w:rsidRPr="00AC7CDC" w:rsidRDefault="0009208E" w:rsidP="0009208E">
      <w:pPr>
        <w:pStyle w:val="NormalHanging12a"/>
        <w:ind w:hanging="573"/>
      </w:pPr>
      <w:r w:rsidRPr="00AC7CDC">
        <w:t>15.</w:t>
      </w:r>
      <w:r w:rsidRPr="00AC7CDC">
        <w:tab/>
      </w:r>
      <w:r w:rsidR="009D396E" w:rsidRPr="00AC7CDC">
        <w:t>επισημαίνει ότι οι κατευθυντήριες γραμμές για την καταγγελία δυσλειτουργιών, οι οποίες περιλαμβάνουν κατευθυντήριες γραμμές για την καταπολέμηση της διαφθοράς, έχουν ενσωματωθεί στο υλικό των προγραμμάτων κατάρτισης της Αρχής που εστιάζουν στη δεοντολογία και την ακεραιότητα·</w:t>
      </w:r>
    </w:p>
    <w:p w:rsidR="009D396E" w:rsidRPr="00AC7CDC" w:rsidRDefault="0009208E" w:rsidP="0009208E">
      <w:pPr>
        <w:pStyle w:val="NormalHanging12a"/>
        <w:ind w:hanging="573"/>
      </w:pPr>
      <w:r w:rsidRPr="00AC7CDC">
        <w:t>16.</w:t>
      </w:r>
      <w:r w:rsidRPr="00AC7CDC">
        <w:tab/>
      </w:r>
      <w:r w:rsidR="009D396E" w:rsidRPr="00AC7CDC">
        <w:t>εκτιμά το γεγονός ότι το 2022, το συμβούλιο εποπτών ενέκρινε τροποποίηση του εσωτερικού κανονισμού του, καθώς και του εσωτερικού κανονισμού του διοικητικού συμβουλίου και των εντολών των μόνιμων επιτροπών εξυγίανσης και καταπολέμησης του ξεπλύματος χρήματος και της χρηματοδότησης της τρομοκρατίας, σύμφωνα με την οποία, τα μέλη που έχουν δηλώσει σύγκρουση συμφερόντων υποχρεούνται να απέχουν τόσο από την ψηφοφορία όσο και από την ίδια τη συζήτηση, χωρίς καμία εξαίρεση·</w:t>
      </w:r>
    </w:p>
    <w:p w:rsidR="009D396E" w:rsidRPr="0009208E" w:rsidRDefault="0009208E" w:rsidP="0009208E">
      <w:pPr>
        <w:widowControl/>
        <w:spacing w:after="240"/>
        <w:ind w:left="567" w:hanging="573"/>
        <w:rPr>
          <w:szCs w:val="24"/>
        </w:rPr>
      </w:pPr>
      <w:r w:rsidRPr="001B4052">
        <w:rPr>
          <w:szCs w:val="24"/>
        </w:rPr>
        <w:t>17.</w:t>
      </w:r>
      <w:r w:rsidRPr="001B4052">
        <w:rPr>
          <w:szCs w:val="24"/>
        </w:rPr>
        <w:tab/>
      </w:r>
      <w:r w:rsidR="009D396E" w:rsidRPr="00AC7CDC">
        <w:t>σημειώνει ότι, μετά την περάτωση έρευνας της OLAF που δεν κατέδειξε παρατυπίες όσον αφορά τη συμμόρφωση με το σχετικό νομικό πλαίσιο, η Αρχή έλαβε σύσταση για τη λήψη διοικητικών μέτρων, ιδίως όσον αφορά τις συμβάσεις απασχόλησης των ανώτερων διοικητικών στελεχών· παρατηρεί ότι η έρευνα αποκάλυψε έλλειψη συμβατικών διατάξεων σχετικά με την υποχρεωτική άδεια μετ’ αποδοχών ή μια περίοδο αναμονής· επισημαίνει ότι, ως απάντηση, η Αρχή εισήγαγε νέο άρθρο στις συμβάσεις υπαλλήλων σε θέσεις διευθυντών, συμβούλων και σε ανώτερες θέσεις από τον Φεβρουάριο του 2022· σημειώνει ότι, λόγω περιορισμών εντός του νομικού πλαισίου του κανονισμού υπηρεσιακής κατάστασης, η Αρχή ενημέρωσε την OLAF ότι δεν μπορεί να επιβάλει απαιτήσεις στο προσωπικό εκτός του εν λόγω πλαισίου, όπως η παροχή αποζημίωσης όταν ένα πρώην μέλος του προσωπικού περιορίζεται κατά την άσκηση επαγγελματικής δραστηριότητας ή όταν η άσκηση της δραστηριότητας αυτή υπόκειται σε ουσιαστικές προϋποθέσεις·</w:t>
      </w:r>
    </w:p>
    <w:p w:rsidR="009D396E" w:rsidRPr="0009208E" w:rsidRDefault="0009208E" w:rsidP="0009208E">
      <w:pPr>
        <w:widowControl/>
        <w:spacing w:after="240"/>
        <w:ind w:left="567" w:hanging="573"/>
        <w:rPr>
          <w:szCs w:val="24"/>
        </w:rPr>
      </w:pPr>
      <w:r w:rsidRPr="001B4052">
        <w:rPr>
          <w:szCs w:val="24"/>
        </w:rPr>
        <w:t>18.</w:t>
      </w:r>
      <w:r w:rsidRPr="001B4052">
        <w:rPr>
          <w:szCs w:val="24"/>
        </w:rPr>
        <w:tab/>
      </w:r>
      <w:r w:rsidR="009D396E" w:rsidRPr="00AC7CDC">
        <w:t>εκφράζει ικανοποίηση για το γεγονός ότι η Αρχή δημοσιοποιεί όλες τις συνεδριάσεις του προσωπικού με εξωτερικά ενδιαφερόμενα μέρη του ιδιωτικού τομέα εντός δύο εβδομάδων μετά τη συνεδρίαση για τον πρόεδρο, σύμφωνα με το άρθρο 49α του κανονισμού (ΕΕ) αριθ. 1093/2010), και ότι η διάταξη αυτή εφαρμόζεται με τον ίδιο τρόπο στον εκτελεστικό διευθυντή, παρόλο που το άρθρο 52α του εν λόγω κανονισμού απαιτεί οι συνεδριάσεις του εκτελεστικού διευθυντή να δημοσιοποιούνται, αλλά δεν προσδιορίζει πόσο σύντομα μετά τη διεξαγωγή τους· σημειώνει ότι στις επαφές του λοιπού προσωπικού με ενδιαφερόμενα μέρη του ιδιωτικού τομέα, η δημοσιοποίηση πραγματοποιείται σε τριμηνιαία βάση·</w:t>
      </w:r>
    </w:p>
    <w:p w:rsidR="009D396E" w:rsidRPr="0009208E" w:rsidRDefault="0009208E" w:rsidP="0009208E">
      <w:pPr>
        <w:widowControl/>
        <w:spacing w:after="240"/>
        <w:ind w:left="567" w:hanging="573"/>
        <w:rPr>
          <w:szCs w:val="24"/>
        </w:rPr>
      </w:pPr>
      <w:r w:rsidRPr="001B4052">
        <w:rPr>
          <w:szCs w:val="24"/>
        </w:rPr>
        <w:t>19.</w:t>
      </w:r>
      <w:r w:rsidRPr="001B4052">
        <w:rPr>
          <w:szCs w:val="24"/>
        </w:rPr>
        <w:tab/>
      </w:r>
      <w:proofErr w:type="spellStart"/>
      <w:r w:rsidR="009D396E" w:rsidRPr="00AC7CDC">
        <w:t>εφιστά</w:t>
      </w:r>
      <w:proofErr w:type="spellEnd"/>
      <w:r w:rsidR="009D396E" w:rsidRPr="00AC7CDC">
        <w:t xml:space="preserve"> την προσοχή στο κλείσιμο μίας υπόθεσης καταγγελίας δυσλειτουργιών το 2022· σημειώνει ότι τα μέτρα που ελήφθησαν περιλάμβαναν την επικοινωνία με αρμόδια εθνική αρχή για την κατανόηση των κατηγοριών και των μέτρων που ελήφθησαν σε εγχώριο επίπεδο, η οποία κατέληξε στο κλείσιμο της υπόθεσης χωρίς να απαιτηθεί καμία ενέργεια από την Αρχή·</w:t>
      </w:r>
    </w:p>
    <w:p w:rsidR="009D396E" w:rsidRPr="0009208E" w:rsidRDefault="0009208E" w:rsidP="0009208E">
      <w:pPr>
        <w:widowControl/>
        <w:spacing w:after="240"/>
        <w:ind w:left="567" w:hanging="573"/>
        <w:rPr>
          <w:szCs w:val="24"/>
        </w:rPr>
      </w:pPr>
      <w:r w:rsidRPr="001B4052">
        <w:rPr>
          <w:szCs w:val="24"/>
        </w:rPr>
        <w:t>20.</w:t>
      </w:r>
      <w:r w:rsidRPr="001B4052">
        <w:rPr>
          <w:szCs w:val="24"/>
        </w:rPr>
        <w:tab/>
      </w:r>
      <w:r w:rsidR="009D396E" w:rsidRPr="00AC7CDC">
        <w:t>υπενθυμίζει ότι τα βιογραφικά σημειώματα των μελών των διοικητικών οργάνων και των αναπληρωματικών μελών, των ανώτερων διοικητικών στελεχών και των διευθυντών δημοσιεύονται στους δικτυακούς τόπους της Αρχής· σημειώνει ότι τα εν λόγω βιογραφικά σημειώματα περιλαμβάνουν πληροφορίες σχετικά με την επαγγελματική πείρα και την εκπαίδευση· σημειώνει, επιπλέον, ότι, όσον αφορά τους εμπειρογνώμονες, η Αρχή δημοσιεύει τα βιογραφικά σημειώματα της ομάδας τραπεζικών συμφεροντούχων·</w:t>
      </w:r>
    </w:p>
    <w:p w:rsidR="009D396E" w:rsidRPr="00AC7CDC" w:rsidRDefault="009D396E" w:rsidP="009D396E">
      <w:pPr>
        <w:widowControl/>
        <w:spacing w:after="240"/>
        <w:ind w:left="567" w:hanging="567"/>
        <w:rPr>
          <w:b/>
          <w:i/>
          <w:szCs w:val="24"/>
        </w:rPr>
      </w:pPr>
      <w:r w:rsidRPr="00AC7CDC">
        <w:rPr>
          <w:b/>
          <w:i/>
        </w:rPr>
        <w:t>Δημόσιες συμβάσεις</w:t>
      </w:r>
    </w:p>
    <w:p w:rsidR="009D396E" w:rsidRPr="0009208E" w:rsidRDefault="0009208E" w:rsidP="0009208E">
      <w:pPr>
        <w:widowControl/>
        <w:spacing w:after="240"/>
        <w:ind w:left="567" w:hanging="573"/>
        <w:rPr>
          <w:szCs w:val="24"/>
        </w:rPr>
      </w:pPr>
      <w:r w:rsidRPr="001B4052">
        <w:rPr>
          <w:szCs w:val="24"/>
        </w:rPr>
        <w:t>21.</w:t>
      </w:r>
      <w:r w:rsidRPr="001B4052">
        <w:rPr>
          <w:szCs w:val="24"/>
        </w:rPr>
        <w:tab/>
      </w:r>
      <w:r w:rsidR="009D396E" w:rsidRPr="00AC7CDC">
        <w:t>σημειώνει ότι, σύμφωνα με το Ελεγκτικό Συνέδριο, η Αρχή προκήρυξε δύο ανοικτούς διαγωνισμούς για την παροχή υπηρεσιών, έναν με αντικείμενο την διενέργεια έρευνας αγοράς για τις χρηματοοικονομικές υπηρεσίες και έναν δεύτερο με αντικείμενο τη διενέργεια διαβούλευσης σχετικά με την προστασία των δεδομένων· σημειώνει ότι σε έναν από αυτούς τους διαγωνισμούς τα κριτήρια ανάθεσης και επιλογής αλληλεπικαλύπτονταν· επισημαίνει ότι αυτή η αλληλοεπικάλυψη αντιβαίνει στο άρθρο 167 του δημοσιονομικού κανονισμού, ο οποίος προβλέπει τον πλήρη διαχωρισμό των κριτηρίων επιλογής και ανάθεσης· δηλώνει ότι τα κριτήρια επιλογής χρησιμοποιούνται για την αξιολόγηση της ικανότητας των προσφερόντων, ενώ η αξιολόγηση της τιμής και της ποιότητας των προσφορών βασίζεται στα κριτήρια ανάθεσης· σημειώνει με λύπη του ότι σε αμφότερες τις περιπτώσεις, η Αρχή υπερεκτίμησε τη μέγιστη αξία των συμβάσεων, λόγω ανεπαρκειών της έρευνας με αντικείμενο τις τιμές της αγοράς που είχε διενεργήσει πριν από την προκήρυξη των διαγωνισμών·</w:t>
      </w:r>
    </w:p>
    <w:p w:rsidR="009D396E" w:rsidRPr="0009208E" w:rsidRDefault="0009208E" w:rsidP="0009208E">
      <w:pPr>
        <w:widowControl/>
        <w:spacing w:after="240"/>
        <w:ind w:left="567" w:hanging="573"/>
        <w:rPr>
          <w:szCs w:val="24"/>
        </w:rPr>
      </w:pPr>
      <w:r w:rsidRPr="001B4052">
        <w:rPr>
          <w:szCs w:val="24"/>
        </w:rPr>
        <w:t>22.</w:t>
      </w:r>
      <w:r w:rsidRPr="001B4052">
        <w:rPr>
          <w:szCs w:val="24"/>
        </w:rPr>
        <w:tab/>
      </w:r>
      <w:r w:rsidR="009D396E" w:rsidRPr="00AC7CDC">
        <w:t>αναγνωρίζει ότι, σύμφωνα με το Ελεγκτικό Συνέδριο, η αδυναμία σύναψης συμβάσεων που επηρεάζει δύο χωριστές διαδικασίες με διαπραγμάτευση που αναφέρθηκαν το 2021 έχει διορθωθεί, καθώς η Αρχή χρησιμοποιεί πλέον τα υποδείγματα της Επιτροπής, ευθυγραμμίζοντας με αυτόν τον τρόπο τις διαδικασίες της με την παρατήρηση του Ελεγκτικού Συνεδρίου·</w:t>
      </w:r>
    </w:p>
    <w:p w:rsidR="009D396E" w:rsidRPr="0009208E" w:rsidRDefault="0009208E" w:rsidP="0009208E">
      <w:pPr>
        <w:widowControl/>
        <w:spacing w:after="240"/>
        <w:ind w:left="567" w:hanging="573"/>
        <w:rPr>
          <w:szCs w:val="24"/>
        </w:rPr>
      </w:pPr>
      <w:r w:rsidRPr="001B4052">
        <w:rPr>
          <w:szCs w:val="24"/>
        </w:rPr>
        <w:t>23.</w:t>
      </w:r>
      <w:r w:rsidRPr="001B4052">
        <w:rPr>
          <w:szCs w:val="24"/>
        </w:rPr>
        <w:tab/>
      </w:r>
      <w:r w:rsidR="009D396E" w:rsidRPr="00AC7CDC">
        <w:t>επισημαίνει ότι, από το οικονομικό έτος 2020, το Ελεγκτικό Συνέδριο διατυπώνει κάθε χρόνο νέες παρατηρήσεις σχετικά με τη σύναψη συμβάσεων για τέσσερις οργανισμούς, συμπεριλαμβανομένης της Αρχής· υπενθυμίζει ότι στόχος των κανόνων για τις δημόσιες συμβάσεις είναι να παρέχεται στους αναθέτοντες φορείς η δυνατότητα να αποκτούν τα αγαθά και τις υπηρεσίες που χρειάζονται στη βέλτιστη τιμή, και παράλληλα να διασφαλίζονται ο θεμιτός ανταγωνισμός μεταξύ των προσφερόντων και η συμμόρφωση με τις αρχές της διαφάνειας, της αναλογικότητας, της ίσης μεταχείρισης και της απαγόρευσης των διακρίσεων· καλεί την Αρχή να διασφαλίσει την πλήρη συμμόρφωση με τους ισχύοντες κανόνες για τις δημόσιες συμβάσεις, ώστε να επιτυγχάνεται η καλύτερη δυνατή σχέση ποιότητας/τιμής·</w:t>
      </w:r>
    </w:p>
    <w:p w:rsidR="009D396E" w:rsidRPr="00AC7CDC" w:rsidRDefault="009D396E" w:rsidP="009D396E">
      <w:pPr>
        <w:widowControl/>
        <w:spacing w:after="240"/>
        <w:ind w:left="567" w:hanging="567"/>
        <w:rPr>
          <w:b/>
          <w:i/>
          <w:szCs w:val="24"/>
        </w:rPr>
      </w:pPr>
      <w:r w:rsidRPr="00AC7CDC">
        <w:rPr>
          <w:b/>
          <w:i/>
        </w:rPr>
        <w:t>Εσωτερικοί έλεγχοι</w:t>
      </w:r>
    </w:p>
    <w:p w:rsidR="009D396E" w:rsidRPr="0009208E" w:rsidRDefault="0009208E" w:rsidP="0009208E">
      <w:pPr>
        <w:widowControl/>
        <w:spacing w:after="240"/>
        <w:ind w:left="567" w:hanging="573"/>
        <w:rPr>
          <w:szCs w:val="24"/>
        </w:rPr>
      </w:pPr>
      <w:r w:rsidRPr="001B4052">
        <w:rPr>
          <w:szCs w:val="24"/>
        </w:rPr>
        <w:t>24.</w:t>
      </w:r>
      <w:r w:rsidRPr="001B4052">
        <w:rPr>
          <w:szCs w:val="24"/>
        </w:rPr>
        <w:tab/>
      </w:r>
      <w:r w:rsidR="009D396E" w:rsidRPr="00AC7CDC">
        <w:t>υπενθυμίζει ότι η Αρχή άρχισε να συνεργάζεται με ειδικό εταίρο διαχείρισης κινδύνων με στόχο την ενίσχυση της συμβατότητας του τρέχοντος προγράμματος διαχείρισης κινδύνων της Αρχής με το πλαίσιο διαχείρισης επιχειρηματικού κινδύνου (ERM) του COSO το 2021 και συνέχισε την εν λόγω συνεργασία το 2022· σημειώνει ότι, προκειμένου να ενισχυθούν περαιτέρω οι εσωτερικοί έλεγχοι, η Αρχή σχεδιάζει να ενσωματώσει το πρόγραμμά της για τη διαχείριση κινδύνων στο πλαίσιο ERM του COSO, να εντείνει τις δραστηριότητες που σχετίζονται με τη δεοντολογία και να παράσχει εξατομικευμένη κατάρτιση για τους εσωτερικούς ελέγχους το 2023 με στόχο τη διατήρηση και την ενίσχυση της αποτελεσματικότητας του συνολικού συστήματος εσωτερικών ελέγχων·</w:t>
      </w:r>
    </w:p>
    <w:p w:rsidR="009D396E" w:rsidRPr="0009208E" w:rsidRDefault="0009208E" w:rsidP="0009208E">
      <w:pPr>
        <w:widowControl/>
        <w:spacing w:after="240"/>
        <w:ind w:left="567" w:hanging="573"/>
        <w:rPr>
          <w:szCs w:val="24"/>
        </w:rPr>
      </w:pPr>
      <w:r w:rsidRPr="001B4052">
        <w:rPr>
          <w:szCs w:val="24"/>
        </w:rPr>
        <w:t>25.</w:t>
      </w:r>
      <w:r w:rsidRPr="001B4052">
        <w:rPr>
          <w:szCs w:val="24"/>
        </w:rPr>
        <w:tab/>
      </w:r>
      <w:r w:rsidR="009D396E" w:rsidRPr="00AC7CDC">
        <w:t>σημειώνει ότι, σύμφωνα με το Ελεγκτικό Συνέδριο, οι αδυναμίες του εσωτερικού ελέγχου που επηρεάζουν τις διαδικασίες πρόσληψης που αναφέρθηκαν το 2021 έχουν διορθωθεί, καθώς η Αρχή τροποποίησε αναλόγως τις διαδικασίες της·</w:t>
      </w:r>
    </w:p>
    <w:p w:rsidR="009D396E" w:rsidRPr="00AC7CDC" w:rsidRDefault="009D396E" w:rsidP="009D396E">
      <w:pPr>
        <w:widowControl/>
        <w:spacing w:after="240"/>
        <w:ind w:left="567" w:hanging="567"/>
        <w:rPr>
          <w:b/>
          <w:i/>
          <w:szCs w:val="24"/>
        </w:rPr>
      </w:pPr>
      <w:r w:rsidRPr="00AC7CDC">
        <w:rPr>
          <w:b/>
          <w:i/>
        </w:rPr>
        <w:t>Λοιπές παρατηρήσεις</w:t>
      </w:r>
    </w:p>
    <w:p w:rsidR="009D396E" w:rsidRPr="0009208E" w:rsidRDefault="0009208E" w:rsidP="0009208E">
      <w:pPr>
        <w:widowControl/>
        <w:spacing w:after="240"/>
        <w:ind w:left="567" w:hanging="573"/>
        <w:rPr>
          <w:szCs w:val="24"/>
        </w:rPr>
      </w:pPr>
      <w:r w:rsidRPr="001B4052">
        <w:rPr>
          <w:szCs w:val="24"/>
        </w:rPr>
        <w:t>26.</w:t>
      </w:r>
      <w:r w:rsidRPr="001B4052">
        <w:rPr>
          <w:szCs w:val="24"/>
        </w:rPr>
        <w:tab/>
      </w:r>
      <w:r w:rsidR="009D396E" w:rsidRPr="00AC7CDC">
        <w:t xml:space="preserve">εκφράζει την ικανοποίησή του για το γεγονός ότι το 2022 η Αρχή συνέχισε να προωθεί το έργο και τα παραδοτέα της μέσω ενός ευρέος φάσματος διαύλων επικοινωνίας, όπως ο εταιρικός </w:t>
      </w:r>
      <w:proofErr w:type="spellStart"/>
      <w:r w:rsidR="009D396E" w:rsidRPr="00AC7CDC">
        <w:t>ιστότοπος</w:t>
      </w:r>
      <w:proofErr w:type="spellEnd"/>
      <w:r w:rsidR="009D396E" w:rsidRPr="00AC7CDC">
        <w:t>, οι συνεντεύξεις Τύπου και οι πλατφόρμες μέσων κοινωνικής δικτύωσης· σημειώνει ότι η Αρχή αύξησε επίσης τον αριθμό των δυναμικών απεικονίσεων δεδομένων με στόχο την παρουσίαση μεγάλου όγκου δεδομένων με πιο ολοκληρωμένο και εύληπτο τρόπο, δημοσίευσε 149 δελτία τύπου και ειδήσεις, προώθησε το έργο της Αρχής στον τύπο και στα μέσα ενημέρωσης, μέσω της διεξαγωγής 74 συνεντεύξεων και ενημερώσεων με τον τύπο και απάντησε σε 706 ερωτήσεις μέσω ηλεκτρονικού ταχυδρομείου·</w:t>
      </w:r>
    </w:p>
    <w:p w:rsidR="009D396E" w:rsidRPr="00AC7CDC" w:rsidRDefault="0009208E" w:rsidP="0009208E">
      <w:pPr>
        <w:pStyle w:val="NormalHanging12a"/>
        <w:widowControl/>
        <w:ind w:hanging="573"/>
      </w:pPr>
      <w:r w:rsidRPr="00AC7CDC">
        <w:t>27.</w:t>
      </w:r>
      <w:r w:rsidRPr="00AC7CDC">
        <w:tab/>
      </w:r>
      <w:r w:rsidR="009D396E" w:rsidRPr="00AC7CDC">
        <w:t>εκφράζει την ικανοποίησή του για το γεγονός ότι το 2022 απονεμήθηκε στην Αρχή το πιστοποιητικό του συστήματος οικολογικής διαχείρισης και οικολογικού ελέγχου (EMAS) και ότι η Αρχή πέτυχε τους περιβαλλοντικούς στόχους και τις επιδιώξεις της για το 2022 στους τομείς των ταξιδιών, της ενέργειας, των αποβλήτων, των δημόσιων συμβάσεων και των βασικών δραστηριοτήτων·</w:t>
      </w:r>
      <w:r w:rsidR="009D396E" w:rsidRPr="00AC7CDC">
        <w:rPr>
          <w:color w:val="374151"/>
        </w:rPr>
        <w:t xml:space="preserve"> </w:t>
      </w:r>
      <w:r w:rsidR="009D396E" w:rsidRPr="00AC7CDC">
        <w:t>επισημαίνει ότι στα εν λόγω επιτεύγματα συμπεριλαμβάνονται η μείωση κατά τουλάχιστον 50 % των δραστηριοτήτων που σχετίζονται με τα ταξίδια, η μείωση της κατανάλωσης ενέργειας στα κτίρια κατά 10 %, η ανάληψη δέσμευσης για ανακύκλωση τουλάχιστον του 70 % των αποβλήτων και η συνεκτίμηση των περιβαλλοντικών επιπτώσεων στο 100 % των συμβάσεων που ανατίθενται από την Αρχή·</w:t>
      </w:r>
    </w:p>
    <w:p w:rsidR="009D396E" w:rsidRPr="00AC7CDC" w:rsidRDefault="0009208E" w:rsidP="0009208E">
      <w:pPr>
        <w:pStyle w:val="NormalHanging12a"/>
        <w:widowControl/>
        <w:ind w:hanging="573"/>
      </w:pPr>
      <w:r w:rsidRPr="00AC7CDC">
        <w:t>28.</w:t>
      </w:r>
      <w:r w:rsidRPr="00AC7CDC">
        <w:tab/>
      </w:r>
      <w:r w:rsidR="009D396E" w:rsidRPr="00AC7CDC">
        <w:t>συγχαίρει την Αρχή για την δέσμευσή της να μειώσει την κατανάλωση ενέργειας κατά 10 % το 2022 (σε σύγκριση με το 2019)· επισημαίνει ότι για την επίτευξη της εν λόγω τιμής-στόχου, η Αρχή έλαβε μέτρα όπως η προσαρμογή των ωραρίων θέρμανσης και η ρύθμιση του θερμοστάτη σε χαμηλότερη θερμοκρασία, η πλήρης μετάβαση του ενεργειακού εφοδιασμού σε ανανεώσιμες πηγές, η καθημερινή παρακολούθηση των μετρητών για την αξιολόγηση των αποτελεσμάτων των μέτρων που έχουν ληφθεί και η διενέργεια εκστρατείας ευαισθητοποίησης του προσωπικού για την εξοικονόμηση ενέργειας· σημειώνει ότι η μείωση της ενέργειας που επιτεύχθηκε έως το τέλος του 2022 (σε σύγκριση με το 2019) ήταν 16,4 %·</w:t>
      </w:r>
    </w:p>
    <w:p w:rsidR="009D396E" w:rsidRPr="00AC7CDC" w:rsidRDefault="009D396E" w:rsidP="009D396E">
      <w:pPr>
        <w:pStyle w:val="NormalCenter12a"/>
        <w:widowControl/>
        <w:ind w:left="567" w:hanging="567"/>
      </w:pPr>
      <w:r w:rsidRPr="00AC7CDC">
        <w:t>°</w:t>
      </w:r>
    </w:p>
    <w:p w:rsidR="009D396E" w:rsidRPr="00AC7CDC" w:rsidRDefault="009D396E" w:rsidP="009D396E">
      <w:pPr>
        <w:pStyle w:val="NormalCenter12a"/>
        <w:widowControl/>
        <w:ind w:left="567" w:hanging="567"/>
      </w:pPr>
      <w:r w:rsidRPr="00AC7CDC">
        <w:t>°</w:t>
      </w:r>
      <w:r w:rsidRPr="00AC7CDC">
        <w:tab/>
        <w:t>°</w:t>
      </w:r>
    </w:p>
    <w:p w:rsidR="009D396E" w:rsidRPr="00AC7CDC" w:rsidRDefault="0009208E" w:rsidP="0009208E">
      <w:pPr>
        <w:pStyle w:val="NormalHanging12a"/>
        <w:ind w:hanging="570"/>
      </w:pPr>
      <w:r w:rsidRPr="00AC7CDC">
        <w:t>29.</w:t>
      </w:r>
      <w:r w:rsidRPr="00AC7CDC">
        <w:tab/>
      </w:r>
      <w:r w:rsidR="009D396E" w:rsidRPr="00AC7CDC">
        <w:t xml:space="preserve">παραπέμπει, όσον αφορά άλλες παρατηρήσεις οριζόντιου χαρακτήρα που συνοδεύουν την απόφαση απαλλαγής, στο ψήφισμά του της </w:t>
      </w:r>
      <w:r w:rsidR="007941A7">
        <w:t>11ης</w:t>
      </w:r>
      <w:r w:rsidR="007941A7" w:rsidRPr="00AC7CDC">
        <w:t xml:space="preserve"> </w:t>
      </w:r>
      <w:r w:rsidR="009D396E" w:rsidRPr="00AC7CDC">
        <w:t>Απριλίου 2024</w:t>
      </w:r>
      <w:r w:rsidR="009D396E" w:rsidRPr="00AC7CDC">
        <w:rPr>
          <w:vertAlign w:val="superscript"/>
        </w:rPr>
        <w:footnoteReference w:id="15"/>
      </w:r>
      <w:r w:rsidR="009D396E" w:rsidRPr="00AC7CDC">
        <w:t xml:space="preserve"> σχετικά με τις επιδόσεις, τη χρηματοοικονομική διαχείριση και τον έλεγχο των οργανισμών.</w:t>
      </w:r>
    </w:p>
    <w:p w:rsidR="00E365E1" w:rsidRPr="00AC7CDC" w:rsidRDefault="00E365E1" w:rsidP="003512A6">
      <w:bookmarkStart w:id="9" w:name="TextBodyEnd"/>
      <w:bookmarkEnd w:id="9"/>
    </w:p>
    <w:sectPr w:rsidR="00E365E1" w:rsidRPr="00AC7CDC" w:rsidSect="00AC7CD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2A6" w:rsidRPr="00AC7CDC" w:rsidRDefault="003512A6">
      <w:r w:rsidRPr="00AC7CDC">
        <w:separator/>
      </w:r>
    </w:p>
  </w:endnote>
  <w:endnote w:type="continuationSeparator" w:id="0">
    <w:p w:rsidR="003512A6" w:rsidRPr="00AC7CDC" w:rsidRDefault="003512A6">
      <w:r w:rsidRPr="00AC7C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96E" w:rsidRPr="00AC7CDC" w:rsidRDefault="009D396E" w:rsidP="006961A1">
    <w:pPr>
      <w:pStyle w:val="EPFooter"/>
    </w:pPr>
    <w:r w:rsidRPr="00AC7CDC">
      <w:t>PE</w:t>
    </w:r>
    <w:r w:rsidRPr="00AC7CDC">
      <w:rPr>
        <w:rStyle w:val="HideTWBExt"/>
      </w:rPr>
      <w:t>&lt;</w:t>
    </w:r>
    <w:proofErr w:type="spellStart"/>
    <w:r w:rsidRPr="00AC7CDC">
      <w:rPr>
        <w:rStyle w:val="HideTWBExt"/>
      </w:rPr>
      <w:t>NoPE</w:t>
    </w:r>
    <w:proofErr w:type="spellEnd"/>
    <w:r w:rsidRPr="00AC7CDC">
      <w:rPr>
        <w:rStyle w:val="HideTWBExt"/>
      </w:rPr>
      <w:t>&gt;</w:t>
    </w:r>
    <w:r w:rsidRPr="00AC7CDC">
      <w:t>753.513</w:t>
    </w:r>
    <w:r w:rsidRPr="00AC7CDC">
      <w:rPr>
        <w:rStyle w:val="HideTWBExt"/>
      </w:rPr>
      <w:t>&lt;/</w:t>
    </w:r>
    <w:proofErr w:type="spellStart"/>
    <w:r w:rsidRPr="00AC7CDC">
      <w:rPr>
        <w:rStyle w:val="HideTWBExt"/>
      </w:rPr>
      <w:t>NoPE</w:t>
    </w:r>
    <w:proofErr w:type="spellEnd"/>
    <w:r w:rsidRPr="00AC7CDC">
      <w:rPr>
        <w:rStyle w:val="HideTWBExt"/>
      </w:rPr>
      <w:t>&gt;&lt;Version&gt;</w:t>
    </w:r>
    <w:r w:rsidRPr="00AC7CDC">
      <w:t>v02-00</w:t>
    </w:r>
    <w:r w:rsidRPr="00AC7CDC">
      <w:rPr>
        <w:rStyle w:val="HideTWBExt"/>
      </w:rPr>
      <w:t>&lt;/</w:t>
    </w:r>
    <w:proofErr w:type="spellStart"/>
    <w:r w:rsidRPr="00AC7CDC">
      <w:rPr>
        <w:rStyle w:val="HideTWBExt"/>
      </w:rPr>
      <w:t>Version</w:t>
    </w:r>
    <w:proofErr w:type="spellEnd"/>
    <w:r w:rsidRPr="00AC7CDC">
      <w:rPr>
        <w:rStyle w:val="HideTWBExt"/>
      </w:rPr>
      <w:t>&gt;</w:t>
    </w:r>
    <w:r w:rsidRPr="00AC7CDC">
      <w:tab/>
    </w:r>
    <w:r w:rsidRPr="00AC7CDC">
      <w:fldChar w:fldCharType="begin"/>
    </w:r>
    <w:r w:rsidRPr="00AC7CDC">
      <w:instrText xml:space="preserve"> PAGE  \* MERGEFORMAT </w:instrText>
    </w:r>
    <w:r w:rsidRPr="00AC7CDC">
      <w:fldChar w:fldCharType="separate"/>
    </w:r>
    <w:r w:rsidRPr="00AC7CDC">
      <w:rPr>
        <w:noProof/>
      </w:rPr>
      <w:t>4</w:t>
    </w:r>
    <w:r w:rsidRPr="00AC7CDC">
      <w:fldChar w:fldCharType="end"/>
    </w:r>
    <w:r w:rsidRPr="00AC7CDC">
      <w:t>/</w:t>
    </w:r>
    <w:fldSimple w:instr=" NUMPAGES  \* MERGEFORMAT ">
      <w:r w:rsidRPr="00AC7CDC">
        <w:rPr>
          <w:noProof/>
        </w:rPr>
        <w:t>4</w:t>
      </w:r>
    </w:fldSimple>
    <w:r w:rsidRPr="00AC7CDC">
      <w:tab/>
    </w:r>
    <w:r w:rsidRPr="00AC7CDC">
      <w:rPr>
        <w:rStyle w:val="HideTWBExt"/>
      </w:rPr>
      <w:t>&lt;PathFdR&gt;</w:t>
    </w:r>
    <w:r w:rsidRPr="00AC7CDC">
      <w:t>RR\1298889EL.docx</w:t>
    </w:r>
    <w:r w:rsidRPr="00AC7CDC">
      <w:rPr>
        <w:rStyle w:val="HideTWBExt"/>
      </w:rPr>
      <w:t>&lt;/</w:t>
    </w:r>
    <w:proofErr w:type="spellStart"/>
    <w:r w:rsidRPr="00AC7CDC">
      <w:rPr>
        <w:rStyle w:val="HideTWBExt"/>
      </w:rPr>
      <w:t>PathFdR</w:t>
    </w:r>
    <w:proofErr w:type="spellEnd"/>
    <w:r w:rsidRPr="00AC7CDC">
      <w:rPr>
        <w:rStyle w:val="HideTWBExt"/>
      </w:rPr>
      <w:t>&gt;</w:t>
    </w:r>
  </w:p>
  <w:p w:rsidR="009D396E" w:rsidRPr="00AC7CDC" w:rsidRDefault="009D396E" w:rsidP="006961A1">
    <w:pPr>
      <w:pStyle w:val="EPFooter2"/>
    </w:pPr>
    <w:r w:rsidRPr="00AC7CD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96E" w:rsidRPr="00AC7CDC" w:rsidRDefault="009D396E" w:rsidP="006961A1">
    <w:pPr>
      <w:pStyle w:val="EPFooter"/>
    </w:pPr>
    <w:r w:rsidRPr="00AC7CDC">
      <w:rPr>
        <w:rStyle w:val="HideTWBExt"/>
      </w:rPr>
      <w:t>&lt;PathFdR&gt;</w:t>
    </w:r>
    <w:r w:rsidRPr="00AC7CDC">
      <w:t>RR\1298889EL.docx</w:t>
    </w:r>
    <w:r w:rsidRPr="00AC7CDC">
      <w:rPr>
        <w:rStyle w:val="HideTWBExt"/>
      </w:rPr>
      <w:t>&lt;/</w:t>
    </w:r>
    <w:proofErr w:type="spellStart"/>
    <w:r w:rsidRPr="00AC7CDC">
      <w:rPr>
        <w:rStyle w:val="HideTWBExt"/>
      </w:rPr>
      <w:t>PathFdR</w:t>
    </w:r>
    <w:proofErr w:type="spellEnd"/>
    <w:r w:rsidRPr="00AC7CDC">
      <w:rPr>
        <w:rStyle w:val="HideTWBExt"/>
      </w:rPr>
      <w:t>&gt;</w:t>
    </w:r>
    <w:r w:rsidRPr="00AC7CDC">
      <w:tab/>
    </w:r>
    <w:r w:rsidRPr="00AC7CDC">
      <w:tab/>
      <w:t>PE</w:t>
    </w:r>
    <w:r w:rsidRPr="00AC7CDC">
      <w:rPr>
        <w:rStyle w:val="HideTWBExt"/>
      </w:rPr>
      <w:t>&lt;</w:t>
    </w:r>
    <w:proofErr w:type="spellStart"/>
    <w:r w:rsidRPr="00AC7CDC">
      <w:rPr>
        <w:rStyle w:val="HideTWBExt"/>
      </w:rPr>
      <w:t>NoPE</w:t>
    </w:r>
    <w:proofErr w:type="spellEnd"/>
    <w:r w:rsidRPr="00AC7CDC">
      <w:rPr>
        <w:rStyle w:val="HideTWBExt"/>
      </w:rPr>
      <w:t>&gt;</w:t>
    </w:r>
    <w:r w:rsidRPr="00AC7CDC">
      <w:t>753.513</w:t>
    </w:r>
    <w:r w:rsidRPr="00AC7CDC">
      <w:rPr>
        <w:rStyle w:val="HideTWBExt"/>
      </w:rPr>
      <w:t>&lt;/</w:t>
    </w:r>
    <w:proofErr w:type="spellStart"/>
    <w:r w:rsidRPr="00AC7CDC">
      <w:rPr>
        <w:rStyle w:val="HideTWBExt"/>
      </w:rPr>
      <w:t>NoPE</w:t>
    </w:r>
    <w:proofErr w:type="spellEnd"/>
    <w:r w:rsidRPr="00AC7CDC">
      <w:rPr>
        <w:rStyle w:val="HideTWBExt"/>
      </w:rPr>
      <w:t>&gt;&lt;Version&gt;</w:t>
    </w:r>
    <w:r w:rsidRPr="00AC7CDC">
      <w:t>v02-00</w:t>
    </w:r>
    <w:r w:rsidRPr="00AC7CDC">
      <w:rPr>
        <w:rStyle w:val="HideTWBExt"/>
      </w:rPr>
      <w:t>&lt;/</w:t>
    </w:r>
    <w:proofErr w:type="spellStart"/>
    <w:r w:rsidRPr="00AC7CDC">
      <w:rPr>
        <w:rStyle w:val="HideTWBExt"/>
      </w:rPr>
      <w:t>Version</w:t>
    </w:r>
    <w:proofErr w:type="spellEnd"/>
    <w:r w:rsidRPr="00AC7CDC">
      <w:rPr>
        <w:rStyle w:val="HideTWBExt"/>
      </w:rPr>
      <w:t>&gt;</w:t>
    </w:r>
  </w:p>
  <w:p w:rsidR="009D396E" w:rsidRPr="00AC7CDC" w:rsidRDefault="009D396E" w:rsidP="006961A1">
    <w:pPr>
      <w:pStyle w:val="EPFooter2"/>
    </w:pPr>
    <w:r w:rsidRPr="00AC7CDC">
      <w:t>EL</w:t>
    </w:r>
    <w:r w:rsidRPr="00AC7CDC">
      <w:tab/>
    </w:r>
    <w:r w:rsidRPr="00AC7CDC">
      <w:rPr>
        <w:b w:val="0"/>
        <w:i/>
        <w:color w:val="C0C0C0"/>
        <w:sz w:val="22"/>
      </w:rPr>
      <w:t>Ενωμένη στην πολυμορφία</w:t>
    </w:r>
    <w:r w:rsidRPr="00AC7CD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CD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CD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C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2A6" w:rsidRPr="00AC7CDC" w:rsidRDefault="003512A6">
      <w:r w:rsidRPr="00AC7CDC">
        <w:separator/>
      </w:r>
    </w:p>
  </w:footnote>
  <w:footnote w:type="continuationSeparator" w:id="0">
    <w:p w:rsidR="003512A6" w:rsidRPr="00AC7CDC" w:rsidRDefault="003512A6">
      <w:r w:rsidRPr="00AC7CDC">
        <w:continuationSeparator/>
      </w:r>
    </w:p>
  </w:footnote>
  <w:footnote w:id="1">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C, C/2023/594, 27.10.2023.</w:t>
      </w:r>
    </w:p>
  </w:footnote>
  <w:footnote w:id="2">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C, C/2023/112, 12.10.2023.</w:t>
      </w:r>
    </w:p>
  </w:footnote>
  <w:footnote w:id="3">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L 193 της 30.7.2018, σ. 1.</w:t>
      </w:r>
    </w:p>
  </w:footnote>
  <w:footnote w:id="4">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L 331 της 15.12.2010, σ. 12.</w:t>
      </w:r>
    </w:p>
  </w:footnote>
  <w:footnote w:id="5">
    <w:p w:rsidR="009D396E" w:rsidRPr="00AC7CDC" w:rsidRDefault="009D396E" w:rsidP="00AC7CDC">
      <w:pPr>
        <w:pStyle w:val="FootnoteText"/>
        <w:ind w:left="567" w:hanging="567"/>
        <w:rPr>
          <w:sz w:val="24"/>
          <w:szCs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L 122 της 10.5.2019, σ. 1.</w:t>
      </w:r>
    </w:p>
  </w:footnote>
  <w:footnote w:id="6">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C, C/2023/594, 27.10.2023.</w:t>
      </w:r>
    </w:p>
  </w:footnote>
  <w:footnote w:id="7">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C, C/2023/112, 12.10.2023.</w:t>
      </w:r>
    </w:p>
  </w:footnote>
  <w:footnote w:id="8">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L 193 της 30.7.2018, σ. 1.</w:t>
      </w:r>
    </w:p>
  </w:footnote>
  <w:footnote w:id="9">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L 331 της 15.12.2010, σ. 12.</w:t>
      </w:r>
    </w:p>
  </w:footnote>
  <w:footnote w:id="10">
    <w:p w:rsidR="009D396E" w:rsidRPr="00AC7CDC" w:rsidRDefault="009D396E" w:rsidP="00AC7CDC">
      <w:pPr>
        <w:pStyle w:val="FootnoteText"/>
        <w:ind w:left="567" w:hanging="567"/>
        <w:rPr>
          <w:sz w:val="24"/>
          <w:szCs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L 122 της 10.5.2019, σ. 1.</w:t>
      </w:r>
    </w:p>
  </w:footnote>
  <w:footnote w:id="11">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ΕΕ C 73 της 28.2.2023, σ. 102.</w:t>
      </w:r>
    </w:p>
  </w:footnote>
  <w:footnote w:id="12">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Κανονισμός (ΕΕ) 2022/2554 του Ευρωπαϊκού Κοινοβουλίου και του Συμβουλίου, της 14ης Δεκεμβρίου 2022, σχετικά με την ψηφιακή επιχειρησιακή ανθεκτικότητα του χρηματοοικονομικού τομέα και την τροποποίηση των κανονισμών (ΕΚ) αριθ. 1060/2009, (ΕΕ) αριθ. 648/2012, (ΕΕ) αριθ. 600/2014, (ΕΕ) αριθ. 909/2014 και (ΕΕ) 2016/1011 (ΕΕ L 333 της 27.12.2022, σ. 1).</w:t>
      </w:r>
    </w:p>
  </w:footnote>
  <w:footnote w:id="13">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Οδηγία (ΕΕ) 2022/2556 του Ευρωπαϊκού Κοινοβουλίου και του Συμβουλίου, της 14ης Δεκεμβρίου 2022 για την τροποποίηση των οδηγιών 2009/65/ΕΚ, 2009/138/ΕΚ, 2011/61/ΕΕ, 2013/36/ΕΕ, 2014/59/ΕΕ, 2014/65/ΕΕ, (ΕΕ) 2015/2366 και (ΕΕ) 2016/2341 όσον αφορά την ψηφιακή επιχειρησιακή ανθεκτικότητα για τον χρηματοοικονομικό τομέα (ΕΕ L 333 της 27.12.2022, σ. 153).</w:t>
      </w:r>
    </w:p>
  </w:footnote>
  <w:footnote w:id="14">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 xml:space="preserve">Κανονισμός (ΕΕ) 2023/1114 του Ευρωπαϊκού Κοινοβουλίου και του Συμβουλίου, της 31ης Μαΐου 2023, για τις αγορές </w:t>
      </w:r>
      <w:proofErr w:type="spellStart"/>
      <w:r w:rsidRPr="00AC7CDC">
        <w:rPr>
          <w:sz w:val="24"/>
          <w:lang w:val="el-GR"/>
        </w:rPr>
        <w:t>κρυπτοστοιχείων</w:t>
      </w:r>
      <w:proofErr w:type="spellEnd"/>
      <w:r w:rsidRPr="00AC7CDC">
        <w:rPr>
          <w:sz w:val="24"/>
          <w:lang w:val="el-GR"/>
        </w:rPr>
        <w:t xml:space="preserve"> και για την τροποποίηση των κανονισμών (ΕΕ) αριθ. 1093/2010 και (ΕΕ) αριθ. 1095/2010 και των οδηγιών 2013/36/ΕΕ και (ΕΕ) 2019/1937 (ΕΕ L 150 της 9.6.2023, σ. 40).</w:t>
      </w:r>
    </w:p>
  </w:footnote>
  <w:footnote w:id="15">
    <w:p w:rsidR="009D396E" w:rsidRPr="00AC7CDC" w:rsidRDefault="009D396E" w:rsidP="00AC7CDC">
      <w:pPr>
        <w:pStyle w:val="FootnoteText"/>
        <w:ind w:left="567" w:hanging="567"/>
        <w:rPr>
          <w:sz w:val="24"/>
          <w:lang w:val="el-GR"/>
        </w:rPr>
      </w:pPr>
      <w:r w:rsidRPr="00AC7CDC">
        <w:rPr>
          <w:rStyle w:val="FootnoteReference"/>
          <w:sz w:val="24"/>
          <w:lang w:val="el-GR"/>
        </w:rPr>
        <w:footnoteRef/>
      </w:r>
      <w:r w:rsidR="00AC7CDC" w:rsidRPr="00AC7CDC">
        <w:rPr>
          <w:sz w:val="24"/>
          <w:lang w:val="el-GR"/>
        </w:rPr>
        <w:t xml:space="preserve"> </w:t>
      </w:r>
      <w:r w:rsidR="00AC7CDC" w:rsidRPr="00AC7CDC">
        <w:rPr>
          <w:sz w:val="24"/>
          <w:lang w:val="el-GR"/>
        </w:rPr>
        <w:tab/>
      </w:r>
      <w:r w:rsidRPr="00AC7CDC">
        <w:rPr>
          <w:sz w:val="24"/>
          <w:lang w:val="el-GR"/>
        </w:rPr>
        <w:t>Κείμενα που εγκρίθηκαν, P9_TA(2024)0</w:t>
      </w:r>
      <w:r w:rsidR="0009208E">
        <w:rPr>
          <w:sz w:val="24"/>
          <w:lang w:val="el-GR"/>
        </w:rPr>
        <w:t>280</w:t>
      </w:r>
      <w:r w:rsidRPr="00AC7CD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C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C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C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43EDE"/>
    <w:multiLevelType w:val="hybridMultilevel"/>
    <w:tmpl w:val="CD2A3CF6"/>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EF32941"/>
    <w:multiLevelType w:val="hybridMultilevel"/>
    <w:tmpl w:val="A1C693E6"/>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BA0249"/>
    <w:multiLevelType w:val="hybridMultilevel"/>
    <w:tmpl w:val="D930AF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77049C7"/>
    <w:multiLevelType w:val="hybridMultilevel"/>
    <w:tmpl w:val="204ECDF0"/>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D2F1E"/>
    <w:multiLevelType w:val="hybridMultilevel"/>
    <w:tmpl w:val="DCD8FA50"/>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FF2201"/>
    <w:multiLevelType w:val="hybridMultilevel"/>
    <w:tmpl w:val="730E5F2E"/>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4"/>
  </w:num>
  <w:num w:numId="45">
    <w:abstractNumId w:val="13"/>
  </w:num>
  <w:num w:numId="46">
    <w:abstractNumId w:val="10"/>
  </w:num>
  <w:num w:numId="47">
    <w:abstractNumId w:val="17"/>
  </w:num>
  <w:num w:numId="48">
    <w:abstractNumId w:val="16"/>
  </w:num>
  <w:num w:numId="49">
    <w:abstractNumId w:val="15"/>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EL"/>
    <w:docVar w:name="dvnumam" w:val="0"/>
    <w:docVar w:name="dvpe" w:val="753.513"/>
    <w:docVar w:name="dvrapporteur" w:val="Εισηγητής: "/>
    <w:docVar w:name="dvtitre" w:val="Απόφαση του Ευρωπαϊκού Κοινοβουλίου σχετικά µε την απαλλαγή όσον αφορά την εκτέλεση του προϋπολογισμού της Ευρωπαϊκής Αρχής Τραπεζών για το οικονομικό έτος 2022(2023/2146(DEC))"/>
  </w:docVars>
  <w:rsids>
    <w:rsidRoot w:val="003512A6"/>
    <w:rsid w:val="00002272"/>
    <w:rsid w:val="00064002"/>
    <w:rsid w:val="000677B9"/>
    <w:rsid w:val="000831BA"/>
    <w:rsid w:val="0009208E"/>
    <w:rsid w:val="000A42CC"/>
    <w:rsid w:val="000E7DD9"/>
    <w:rsid w:val="0010095E"/>
    <w:rsid w:val="00125B37"/>
    <w:rsid w:val="00187494"/>
    <w:rsid w:val="001B4052"/>
    <w:rsid w:val="001F32AE"/>
    <w:rsid w:val="002767FF"/>
    <w:rsid w:val="002B18FE"/>
    <w:rsid w:val="002B5493"/>
    <w:rsid w:val="00343214"/>
    <w:rsid w:val="003512A6"/>
    <w:rsid w:val="00361C00"/>
    <w:rsid w:val="003758D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41A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96E"/>
    <w:rsid w:val="00A1687D"/>
    <w:rsid w:val="00A43E52"/>
    <w:rsid w:val="00A4678D"/>
    <w:rsid w:val="00A778C7"/>
    <w:rsid w:val="00AB441E"/>
    <w:rsid w:val="00AB6293"/>
    <w:rsid w:val="00AC7CD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C0C62"/>
  <w15:chartTrackingRefBased/>
  <w15:docId w15:val="{8618DF59-B751-41A4-AD18-2B13F0A78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D396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D396E"/>
    <w:pPr>
      <w:spacing w:before="480" w:after="240"/>
    </w:pPr>
  </w:style>
  <w:style w:type="paragraph" w:customStyle="1" w:styleId="PageHeading">
    <w:name w:val="PageHeading"/>
    <w:basedOn w:val="Normal"/>
    <w:rsid w:val="009D396E"/>
    <w:pPr>
      <w:keepNext/>
      <w:spacing w:after="480"/>
      <w:jc w:val="center"/>
    </w:pPr>
    <w:rPr>
      <w:rFonts w:ascii="Arial" w:hAnsi="Arial" w:cs="Arial"/>
      <w:b/>
    </w:rPr>
  </w:style>
  <w:style w:type="paragraph" w:customStyle="1" w:styleId="NormalBold">
    <w:name w:val="NormalBold"/>
    <w:basedOn w:val="Normal"/>
    <w:rsid w:val="009D396E"/>
    <w:rPr>
      <w:b/>
    </w:rPr>
  </w:style>
  <w:style w:type="paragraph" w:customStyle="1" w:styleId="NormalHanging12a">
    <w:name w:val="NormalHanging12a"/>
    <w:basedOn w:val="Normal"/>
    <w:link w:val="NormalHanging12aChar"/>
    <w:rsid w:val="009D396E"/>
    <w:pPr>
      <w:spacing w:after="240"/>
      <w:ind w:left="567" w:hanging="567"/>
    </w:pPr>
  </w:style>
  <w:style w:type="paragraph" w:customStyle="1" w:styleId="NormalCenter12a">
    <w:name w:val="NormalCenter12a"/>
    <w:basedOn w:val="Normal"/>
    <w:rsid w:val="009D396E"/>
    <w:pPr>
      <w:spacing w:after="240"/>
      <w:jc w:val="center"/>
    </w:pPr>
  </w:style>
  <w:style w:type="paragraph" w:styleId="Header">
    <w:name w:val="header"/>
    <w:basedOn w:val="Normal"/>
    <w:link w:val="HeaderChar"/>
    <w:rsid w:val="009D396E"/>
    <w:pPr>
      <w:tabs>
        <w:tab w:val="center" w:pos="4513"/>
        <w:tab w:val="right" w:pos="9026"/>
      </w:tabs>
    </w:pPr>
  </w:style>
  <w:style w:type="character" w:customStyle="1" w:styleId="HeaderChar">
    <w:name w:val="Header Char"/>
    <w:basedOn w:val="DefaultParagraphFont"/>
    <w:link w:val="Header"/>
    <w:rsid w:val="009D396E"/>
    <w:rPr>
      <w:sz w:val="24"/>
      <w:lang w:val="el-GR"/>
    </w:rPr>
  </w:style>
  <w:style w:type="paragraph" w:customStyle="1" w:styleId="EPFooter">
    <w:name w:val="EPFooter"/>
    <w:basedOn w:val="Normal"/>
    <w:rsid w:val="009D396E"/>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D396E"/>
    <w:rPr>
      <w:sz w:val="24"/>
      <w:lang w:val="el-GR"/>
    </w:rPr>
  </w:style>
  <w:style w:type="paragraph" w:styleId="Footer">
    <w:name w:val="footer"/>
    <w:basedOn w:val="Normal"/>
    <w:link w:val="FooterChar"/>
    <w:rsid w:val="001B4052"/>
    <w:pPr>
      <w:tabs>
        <w:tab w:val="center" w:pos="4513"/>
        <w:tab w:val="right" w:pos="9026"/>
      </w:tabs>
    </w:pPr>
  </w:style>
  <w:style w:type="character" w:customStyle="1" w:styleId="FooterChar">
    <w:name w:val="Footer Char"/>
    <w:basedOn w:val="DefaultParagraphFont"/>
    <w:link w:val="Footer"/>
    <w:rsid w:val="001B4052"/>
    <w:rPr>
      <w:sz w:val="24"/>
      <w:lang w:val="el-GR"/>
    </w:rPr>
  </w:style>
  <w:style w:type="paragraph" w:styleId="ListParagraph">
    <w:name w:val="List Paragraph"/>
    <w:basedOn w:val="Normal"/>
    <w:uiPriority w:val="34"/>
    <w:qFormat/>
    <w:rsid w:val="001B4052"/>
    <w:pPr>
      <w:ind w:left="720"/>
      <w:contextualSpacing/>
    </w:pPr>
  </w:style>
  <w:style w:type="paragraph" w:styleId="BalloonText">
    <w:name w:val="Balloon Text"/>
    <w:basedOn w:val="Normal"/>
    <w:link w:val="BalloonTextChar"/>
    <w:rsid w:val="007941A7"/>
    <w:rPr>
      <w:rFonts w:ascii="Segoe UI" w:hAnsi="Segoe UI" w:cs="Segoe UI"/>
      <w:sz w:val="18"/>
      <w:szCs w:val="18"/>
    </w:rPr>
  </w:style>
  <w:style w:type="character" w:customStyle="1" w:styleId="BalloonTextChar">
    <w:name w:val="Balloon Text Char"/>
    <w:basedOn w:val="DefaultParagraphFont"/>
    <w:link w:val="BalloonText"/>
    <w:rsid w:val="007941A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E4371-AB99-4CD0-8F9C-395984AA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3695</Words>
  <Characters>22010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2024-05-15T09:40:00Z</dcterms:created>
  <dcterms:modified xsi:type="dcterms:W3CDTF">2024-05-15T09:40:00Z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P9_TA(2024)0262_</vt:lpwstr>
  </property>
  <property fmtid="{D5CDD505-2E9C-101B-9397-08002B2CF9AE}" pid="4" name="&lt;Type&gt;">
    <vt:lpwstr>RR</vt:lpwstr>
  </property>
</Properties>
</file>