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1100" w:rsidTr="0010095E">
        <w:trPr>
          <w:trHeight w:hRule="exact" w:val="1418"/>
        </w:trPr>
        <w:tc>
          <w:tcPr>
            <w:tcW w:w="6804" w:type="dxa"/>
            <w:shd w:val="clear" w:color="auto" w:fill="auto"/>
            <w:vAlign w:val="center"/>
          </w:tcPr>
          <w:p w:rsidR="00751A4A" w:rsidRPr="002F1100" w:rsidRDefault="00DD0FE3" w:rsidP="0010095E">
            <w:pPr>
              <w:pStyle w:val="EPName"/>
            </w:pPr>
            <w:r w:rsidRPr="002F1100">
              <w:t>Euroopa Parlament</w:t>
            </w:r>
          </w:p>
          <w:p w:rsidR="00751A4A" w:rsidRPr="002F1100" w:rsidRDefault="00817416" w:rsidP="00756632">
            <w:pPr>
              <w:pStyle w:val="EPTerm"/>
              <w:rPr>
                <w:rStyle w:val="HideTWBExt"/>
                <w:noProof w:val="0"/>
                <w:vanish w:val="0"/>
                <w:color w:val="auto"/>
              </w:rPr>
            </w:pPr>
            <w:r w:rsidRPr="002F1100">
              <w:t>2019-2024</w:t>
            </w:r>
          </w:p>
        </w:tc>
        <w:tc>
          <w:tcPr>
            <w:tcW w:w="2268" w:type="dxa"/>
            <w:shd w:val="clear" w:color="auto" w:fill="auto"/>
          </w:tcPr>
          <w:p w:rsidR="00751A4A" w:rsidRPr="002F1100" w:rsidRDefault="00187494" w:rsidP="0010095E">
            <w:pPr>
              <w:pStyle w:val="EPLogo"/>
            </w:pPr>
            <w:r w:rsidRPr="002F11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1100" w:rsidRDefault="00D058B8" w:rsidP="004C5D52">
      <w:pPr>
        <w:pStyle w:val="LineTop"/>
      </w:pPr>
    </w:p>
    <w:p w:rsidR="00680577" w:rsidRPr="002F1100" w:rsidRDefault="00DD0FE3" w:rsidP="00680577">
      <w:pPr>
        <w:pStyle w:val="EPBodyTA1"/>
      </w:pPr>
      <w:r w:rsidRPr="002F1100">
        <w:t>VASTUVÕETUD TEKSTID</w:t>
      </w:r>
    </w:p>
    <w:p w:rsidR="00D058B8" w:rsidRPr="002F1100" w:rsidRDefault="00D058B8" w:rsidP="00D058B8">
      <w:pPr>
        <w:pStyle w:val="LineBottom"/>
      </w:pPr>
    </w:p>
    <w:p w:rsidR="00DD0FE3" w:rsidRPr="002F1100" w:rsidRDefault="00DD0FE3" w:rsidP="00DD0FE3">
      <w:pPr>
        <w:pStyle w:val="ATHeading1"/>
      </w:pPr>
      <w:bookmarkStart w:id="0" w:name="TANumber"/>
      <w:r w:rsidRPr="002F1100">
        <w:t>P9_TA(2024)0</w:t>
      </w:r>
      <w:r w:rsidR="003762FD" w:rsidRPr="002F1100">
        <w:t>262</w:t>
      </w:r>
      <w:bookmarkEnd w:id="0"/>
    </w:p>
    <w:p w:rsidR="00DD0FE3" w:rsidRPr="002F1100" w:rsidRDefault="00606CAB" w:rsidP="00DD0FE3">
      <w:pPr>
        <w:pStyle w:val="ATHeading2"/>
      </w:pPr>
      <w:bookmarkStart w:id="1" w:name="title"/>
      <w:r w:rsidRPr="002F1100">
        <w:t>2022. </w:t>
      </w:r>
      <w:r w:rsidR="00DD0FE3" w:rsidRPr="002F1100">
        <w:t>aasta eelarve täitmisele heakskiidu andmine – Euroopa Pangandusjärelevalve</w:t>
      </w:r>
      <w:bookmarkEnd w:id="1"/>
    </w:p>
    <w:p w:rsidR="00DD0FE3" w:rsidRPr="002F1100" w:rsidRDefault="00DD0FE3" w:rsidP="00DD0FE3">
      <w:pPr>
        <w:rPr>
          <w:i/>
          <w:vanish/>
        </w:rPr>
      </w:pPr>
      <w:r w:rsidRPr="002F1100">
        <w:rPr>
          <w:i/>
        </w:rPr>
        <w:fldChar w:fldCharType="begin"/>
      </w:r>
      <w:r w:rsidRPr="002F1100">
        <w:rPr>
          <w:i/>
        </w:rPr>
        <w:instrText xml:space="preserve"> TC"(</w:instrText>
      </w:r>
      <w:bookmarkStart w:id="2" w:name="DocNumber"/>
      <w:r w:rsidRPr="002F1100">
        <w:rPr>
          <w:i/>
        </w:rPr>
        <w:instrText>A9-0111/2024</w:instrText>
      </w:r>
      <w:bookmarkEnd w:id="2"/>
      <w:r w:rsidRPr="002F1100">
        <w:rPr>
          <w:i/>
        </w:rPr>
        <w:instrText xml:space="preserve"> - Raportöör: </w:instrText>
      </w:r>
      <w:proofErr w:type="spellStart"/>
      <w:r w:rsidRPr="002F1100">
        <w:rPr>
          <w:i/>
        </w:rPr>
        <w:instrText>Petri</w:instrText>
      </w:r>
      <w:proofErr w:type="spellEnd"/>
      <w:r w:rsidRPr="002F1100">
        <w:rPr>
          <w:i/>
        </w:rPr>
        <w:instrText xml:space="preserve"> </w:instrText>
      </w:r>
      <w:proofErr w:type="spellStart"/>
      <w:r w:rsidRPr="002F1100">
        <w:rPr>
          <w:i/>
        </w:rPr>
        <w:instrText>Sarvamaa</w:instrText>
      </w:r>
      <w:proofErr w:type="spellEnd"/>
      <w:r w:rsidRPr="002F1100">
        <w:rPr>
          <w:i/>
        </w:rPr>
        <w:instrText xml:space="preserve">)"\l3 \n&gt; \* MERGEFORMAT </w:instrText>
      </w:r>
      <w:r w:rsidRPr="002F1100">
        <w:rPr>
          <w:i/>
        </w:rPr>
        <w:fldChar w:fldCharType="end"/>
      </w:r>
    </w:p>
    <w:p w:rsidR="00DD0FE3" w:rsidRPr="002F1100" w:rsidRDefault="00DD0FE3" w:rsidP="00DD0FE3">
      <w:pPr>
        <w:rPr>
          <w:vanish/>
        </w:rPr>
      </w:pPr>
      <w:bookmarkStart w:id="3" w:name="Commission"/>
      <w:r w:rsidRPr="002F1100">
        <w:rPr>
          <w:vanish/>
        </w:rPr>
        <w:t>Eelarvekontrollikomisjon</w:t>
      </w:r>
      <w:bookmarkEnd w:id="3"/>
    </w:p>
    <w:p w:rsidR="00DD0FE3" w:rsidRPr="002F1100" w:rsidRDefault="00DD0FE3" w:rsidP="00DD0FE3">
      <w:pPr>
        <w:rPr>
          <w:vanish/>
        </w:rPr>
      </w:pPr>
      <w:bookmarkStart w:id="4" w:name="PE"/>
      <w:r w:rsidRPr="002F1100">
        <w:rPr>
          <w:vanish/>
        </w:rPr>
        <w:t>PE753.513</w:t>
      </w:r>
      <w:bookmarkEnd w:id="4"/>
    </w:p>
    <w:p w:rsidR="00DD0FE3" w:rsidRPr="002F1100" w:rsidRDefault="00606CAB" w:rsidP="00DD0FE3">
      <w:pPr>
        <w:pStyle w:val="ATHeading3"/>
      </w:pPr>
      <w:bookmarkStart w:id="5" w:name="Sujet"/>
      <w:r w:rsidRPr="002F1100">
        <w:t>1. Euroopa Parlamendi 11</w:t>
      </w:r>
      <w:r w:rsidR="00DD0FE3" w:rsidRPr="002F1100">
        <w:t>.</w:t>
      </w:r>
      <w:r w:rsidRPr="002F1100">
        <w:t> aprilli 2024. </w:t>
      </w:r>
      <w:r w:rsidR="00DD0FE3" w:rsidRPr="002F1100">
        <w:t>aasta otsus Euroopa Pangandusjärelevalve 2022. aasta eelarve täitmisele heakskiidu andmise kohta</w:t>
      </w:r>
      <w:bookmarkEnd w:id="5"/>
      <w:r w:rsidR="00DD0FE3" w:rsidRPr="002F1100">
        <w:t xml:space="preserve"> </w:t>
      </w:r>
      <w:bookmarkStart w:id="6" w:name="References"/>
      <w:r w:rsidR="00DD0FE3" w:rsidRPr="002F1100">
        <w:t>(2023/2146(DEC))</w:t>
      </w:r>
      <w:bookmarkEnd w:id="6"/>
    </w:p>
    <w:p w:rsidR="00BA23AD" w:rsidRPr="002F1100" w:rsidRDefault="00BA23AD" w:rsidP="00BA23AD">
      <w:pPr>
        <w:pStyle w:val="EPComma"/>
      </w:pPr>
      <w:bookmarkStart w:id="7" w:name="TextBodyBegin"/>
      <w:bookmarkEnd w:id="7"/>
      <w:r w:rsidRPr="002F1100">
        <w:rPr>
          <w:i/>
        </w:rPr>
        <w:t>Euroopa Parlament</w:t>
      </w:r>
      <w:r w:rsidRPr="002F1100">
        <w:t>,</w:t>
      </w:r>
    </w:p>
    <w:p w:rsidR="00BA23AD" w:rsidRPr="002F1100" w:rsidRDefault="00BA23AD" w:rsidP="00BA23AD">
      <w:pPr>
        <w:pStyle w:val="NormalHanging12a"/>
      </w:pPr>
      <w:r w:rsidRPr="002F1100">
        <w:t>–</w:t>
      </w:r>
      <w:r w:rsidRPr="002F1100">
        <w:tab/>
        <w:t>võttes arvesse Euroopa Pangandusjärelevalve 2022. aasta lõplikku raamatupidamisaruannet,</w:t>
      </w:r>
    </w:p>
    <w:p w:rsidR="00BA23AD" w:rsidRPr="002F1100" w:rsidRDefault="00BA23AD" w:rsidP="00BA23AD">
      <w:pPr>
        <w:pStyle w:val="NormalHanging12a"/>
      </w:pPr>
      <w:r w:rsidRPr="002F1100">
        <w:t>–</w:t>
      </w:r>
      <w:r w:rsidRPr="002F1100">
        <w:tab/>
        <w:t>võttes arvesse kontrollikoja aastaaruannet ELi asutuste eelarveaasta 2022 kohta koos asutuste vastustega</w:t>
      </w:r>
      <w:r w:rsidRPr="002F1100">
        <w:rPr>
          <w:rStyle w:val="FootnoteReference"/>
        </w:rPr>
        <w:footnoteReference w:id="1"/>
      </w:r>
      <w:r w:rsidRPr="002F1100">
        <w:t>,</w:t>
      </w:r>
    </w:p>
    <w:p w:rsidR="00BA23AD" w:rsidRPr="002F1100" w:rsidRDefault="00BA23AD" w:rsidP="00BA23AD">
      <w:pPr>
        <w:pStyle w:val="NormalHanging12a"/>
      </w:pPr>
      <w:r w:rsidRPr="002F1100">
        <w:t>–</w:t>
      </w:r>
      <w:r w:rsidRPr="002F1100">
        <w:tab/>
        <w:t>võttes arvesse vastavalt Euroopa Liidu toimimise lepingu artiklile 287 tehtud kontrollikoja kinnitavat avaldust</w:t>
      </w:r>
      <w:r w:rsidRPr="002F1100">
        <w:rPr>
          <w:rStyle w:val="FootnoteReference"/>
        </w:rPr>
        <w:footnoteReference w:id="2"/>
      </w:r>
      <w:r w:rsidRPr="002F1100">
        <w:t xml:space="preserve"> 2022 aasta raamatupidamise aastaaruande usaldusväärsuse ja selle aluseks olevate tehingute seaduslikkuse ja korrektsuse kohta,</w:t>
      </w:r>
    </w:p>
    <w:p w:rsidR="00BA23AD" w:rsidRPr="002F1100" w:rsidRDefault="00BA23AD" w:rsidP="00BA23AD">
      <w:pPr>
        <w:pStyle w:val="NormalHanging12a"/>
      </w:pPr>
      <w:r w:rsidRPr="002F1100">
        <w:t>–</w:t>
      </w:r>
      <w:r w:rsidRPr="002F1100">
        <w:tab/>
        <w:t>võttes arvesse nõukogu 22. veebruari 2024. aasta soovitust asutuse tegevusele heakskiidu andmise kohta 2022. aasta eelarve täitmisel (</w:t>
      </w:r>
      <w:r w:rsidR="00606CAB" w:rsidRPr="002F1100">
        <w:t>06180</w:t>
      </w:r>
      <w:r w:rsidRPr="002F1100">
        <w:t>/2024 – C9</w:t>
      </w:r>
      <w:r w:rsidRPr="002F1100">
        <w:noBreakHyphen/>
      </w:r>
      <w:r w:rsidR="00606CAB" w:rsidRPr="002F1100">
        <w:t>0084</w:t>
      </w:r>
      <w:r w:rsidRPr="002F1100">
        <w:t>/2024),</w:t>
      </w:r>
    </w:p>
    <w:p w:rsidR="00BA23AD" w:rsidRPr="002F1100" w:rsidRDefault="00BA23AD" w:rsidP="00BA23AD">
      <w:pPr>
        <w:pStyle w:val="NormalHanging12a"/>
      </w:pPr>
      <w:r w:rsidRPr="002F1100">
        <w:t>–</w:t>
      </w:r>
      <w:r w:rsidRPr="002F1100">
        <w:tab/>
        <w:t>võttes arvesse Euroopa Liidu toimimise lepingu artiklit 319,</w:t>
      </w:r>
    </w:p>
    <w:p w:rsidR="00BA23AD" w:rsidRPr="002F1100" w:rsidRDefault="00BA23AD" w:rsidP="00BA23AD">
      <w:pPr>
        <w:pStyle w:val="NormalHanging12a"/>
      </w:pPr>
      <w:r w:rsidRPr="002F1100">
        <w:t>–</w:t>
      </w:r>
      <w:r w:rsidRPr="002F1100">
        <w:tab/>
        <w:t xml:space="preserve">võttes arvesse Euroopa Parlamendi ja nõukogu 18. juuli 2018. aasta määrust (EL, Euratom) 2018/1046 (mis käsitleb liidu </w:t>
      </w:r>
      <w:proofErr w:type="spellStart"/>
      <w:r w:rsidRPr="002F1100">
        <w:t>üldeelarve</w:t>
      </w:r>
      <w:proofErr w:type="spellEnd"/>
      <w:r w:rsidRPr="002F1100">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F1100">
        <w:rPr>
          <w:rStyle w:val="FootnoteReference"/>
        </w:rPr>
        <w:footnoteReference w:id="3"/>
      </w:r>
      <w:r w:rsidRPr="002F1100">
        <w:t>, eriti selle artiklit 70,</w:t>
      </w:r>
    </w:p>
    <w:p w:rsidR="00BA23AD" w:rsidRPr="002F1100" w:rsidRDefault="00BA23AD" w:rsidP="00BA23AD">
      <w:pPr>
        <w:pStyle w:val="NormalHanging12a"/>
      </w:pPr>
      <w:r w:rsidRPr="002F1100">
        <w:t>–</w:t>
      </w:r>
      <w:r w:rsidRPr="002F1100">
        <w:tab/>
        <w:t xml:space="preserve">võttes arvesse Euroopa Parlamendi ja nõukogu 24. novembri 2010. aasta määrust (EL) nr 1093/2010, millega asutatakse Euroopa Järelevalveasutus </w:t>
      </w:r>
      <w:r w:rsidRPr="002F1100">
        <w:lastRenderedPageBreak/>
        <w:t>(Euroopa Pangandusjärelevalve), muudetakse otsust nr 716/2009/EÜ ning tunnistatakse kehtetuks komisjoni otsus 2009/78/EÜ</w:t>
      </w:r>
      <w:r w:rsidRPr="002F1100">
        <w:rPr>
          <w:rStyle w:val="FootnoteReference"/>
        </w:rPr>
        <w:footnoteReference w:id="4"/>
      </w:r>
      <w:r w:rsidRPr="002F1100">
        <w:t>, eriti selle artiklit 64,</w:t>
      </w:r>
    </w:p>
    <w:p w:rsidR="00BA23AD" w:rsidRPr="002F1100" w:rsidRDefault="00BA23AD" w:rsidP="00BA23AD">
      <w:pPr>
        <w:pStyle w:val="NormalHanging12a"/>
      </w:pPr>
      <w:r w:rsidRPr="002F1100">
        <w:t>–</w:t>
      </w:r>
      <w:r w:rsidRPr="002F1100">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2F1100">
        <w:rPr>
          <w:rStyle w:val="FootnoteReference"/>
        </w:rPr>
        <w:footnoteReference w:id="5"/>
      </w:r>
      <w:r w:rsidRPr="002F1100">
        <w:t>, eriti selle artiklit 105,</w:t>
      </w:r>
    </w:p>
    <w:p w:rsidR="00BA23AD" w:rsidRPr="002F1100" w:rsidRDefault="00BA23AD" w:rsidP="00BA23AD">
      <w:pPr>
        <w:pStyle w:val="NormalHanging12a"/>
      </w:pPr>
      <w:r w:rsidRPr="002F1100">
        <w:t>–</w:t>
      </w:r>
      <w:r w:rsidRPr="002F1100">
        <w:tab/>
        <w:t>võttes arvesse kodukorra artiklit 100 ja V lisa,</w:t>
      </w:r>
    </w:p>
    <w:p w:rsidR="00BA23AD" w:rsidRPr="002F1100" w:rsidRDefault="00BA23AD" w:rsidP="00BA23AD">
      <w:pPr>
        <w:pStyle w:val="NormalHanging12a"/>
      </w:pPr>
      <w:r w:rsidRPr="002F1100">
        <w:t>–</w:t>
      </w:r>
      <w:r w:rsidRPr="002F1100">
        <w:tab/>
        <w:t>võttes arvesse eelarvekontrollikomisjoni raportit (A9-0111/2024),</w:t>
      </w:r>
    </w:p>
    <w:p w:rsidR="00BA23AD" w:rsidRPr="002F1100" w:rsidRDefault="00BA23AD" w:rsidP="00BA23AD">
      <w:pPr>
        <w:pStyle w:val="NormalHanging12a"/>
      </w:pPr>
      <w:r w:rsidRPr="002F1100">
        <w:t>1.</w:t>
      </w:r>
      <w:r w:rsidRPr="002F1100">
        <w:tab/>
        <w:t>annab heakskiidu Euroopa Pangandusjärelevalve tegevdirektori tegevusele asutuse 2022. aasta eelarve täitmisel;</w:t>
      </w:r>
    </w:p>
    <w:p w:rsidR="00BA23AD" w:rsidRPr="002F1100" w:rsidRDefault="00BA23AD" w:rsidP="00BA23AD">
      <w:pPr>
        <w:pStyle w:val="NormalHanging12a"/>
      </w:pPr>
      <w:r w:rsidRPr="002F1100">
        <w:t>2.</w:t>
      </w:r>
      <w:r w:rsidRPr="002F1100">
        <w:tab/>
        <w:t>esitab oma tähelepanekud alltoodud resolutsioonis;</w:t>
      </w:r>
    </w:p>
    <w:p w:rsidR="00BA23AD" w:rsidRPr="002F1100" w:rsidRDefault="00BA23AD" w:rsidP="00BA23AD">
      <w:pPr>
        <w:pStyle w:val="NormalHanging12a"/>
      </w:pPr>
      <w:r w:rsidRPr="002F1100">
        <w:t>3.</w:t>
      </w:r>
      <w:r w:rsidRPr="002F1100">
        <w:tab/>
        <w:t xml:space="preserve">teeb presidendile ülesandeks edastada käesolev otsus ja resolutsioon, mis on selle lahutamatu osa, Euroopa Pangandusjärelevalve tegevdirektorile, nõukogule, komisjonile ja kontrollikojale ning korraldada nende avaldamine </w:t>
      </w:r>
      <w:r w:rsidRPr="002F1100">
        <w:rPr>
          <w:i/>
        </w:rPr>
        <w:t>Euroopa Liidu Teatajas</w:t>
      </w:r>
      <w:r w:rsidRPr="002F1100">
        <w:t xml:space="preserve"> (L-seerias).</w:t>
      </w:r>
    </w:p>
    <w:p w:rsidR="00BA23AD" w:rsidRPr="002F1100" w:rsidRDefault="00BA23AD" w:rsidP="00BA23AD"/>
    <w:p w:rsidR="00BA23AD" w:rsidRPr="002F1100" w:rsidRDefault="00BA23AD" w:rsidP="00BA23AD">
      <w:pPr>
        <w:widowControl/>
        <w:rPr>
          <w:rFonts w:ascii="Arial" w:hAnsi="Arial" w:cs="Arial"/>
          <w:b/>
        </w:rPr>
        <w:sectPr w:rsidR="00BA23AD" w:rsidRPr="002F1100" w:rsidSect="00177C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BA23AD" w:rsidRPr="002F1100" w:rsidRDefault="00BA23AD" w:rsidP="00606CAB">
      <w:pPr>
        <w:pStyle w:val="ATHeading3"/>
      </w:pPr>
      <w:bookmarkStart w:id="8" w:name="_Toc161901232"/>
      <w:r w:rsidRPr="002F1100">
        <w:lastRenderedPageBreak/>
        <w:t xml:space="preserve">2. </w:t>
      </w:r>
      <w:bookmarkEnd w:id="8"/>
      <w:r w:rsidR="00606CAB" w:rsidRPr="002F1100">
        <w:t xml:space="preserve">Euroopa Parlamendi 11. aprilli 2024. aasta otsus </w:t>
      </w:r>
      <w:r w:rsidRPr="002F1100">
        <w:t>Euroopa Pangandusjärelevalve 2022. aasta raamatupidamiskontode sulgemise kohta</w:t>
      </w:r>
      <w:r w:rsidR="00606CAB" w:rsidRPr="002F1100">
        <w:t xml:space="preserve"> </w:t>
      </w:r>
      <w:r w:rsidRPr="002F1100">
        <w:t>(2023/2146(DEC))</w:t>
      </w:r>
    </w:p>
    <w:p w:rsidR="00BA23AD" w:rsidRPr="002F1100" w:rsidRDefault="00BA23AD" w:rsidP="00BA23AD">
      <w:pPr>
        <w:pStyle w:val="EPComma"/>
      </w:pPr>
      <w:r w:rsidRPr="002F1100">
        <w:rPr>
          <w:i/>
        </w:rPr>
        <w:t>Euroopa Parlament</w:t>
      </w:r>
      <w:r w:rsidRPr="002F1100">
        <w:t>,</w:t>
      </w:r>
    </w:p>
    <w:p w:rsidR="00BA23AD" w:rsidRPr="002F1100" w:rsidRDefault="00BA23AD" w:rsidP="00BA23AD">
      <w:pPr>
        <w:pStyle w:val="NormalHanging12a"/>
      </w:pPr>
      <w:r w:rsidRPr="002F1100">
        <w:t>–</w:t>
      </w:r>
      <w:r w:rsidRPr="002F1100">
        <w:tab/>
        <w:t>võttes arvesse Euroopa Pangandusjärelevalve 2022. aasta lõplikku raamatupidamisaruannet,</w:t>
      </w:r>
    </w:p>
    <w:p w:rsidR="00BA23AD" w:rsidRPr="002F1100" w:rsidRDefault="00BA23AD" w:rsidP="00BA23AD">
      <w:pPr>
        <w:pStyle w:val="NormalHanging12a"/>
      </w:pPr>
      <w:r w:rsidRPr="002F1100">
        <w:t>–</w:t>
      </w:r>
      <w:r w:rsidRPr="002F1100">
        <w:tab/>
        <w:t>võttes arvesse kontrollikoja aastaaruannet ELi asutuste eelarveaasta 2022 kohta koos asutuste vastustega</w:t>
      </w:r>
      <w:r w:rsidRPr="002F1100">
        <w:rPr>
          <w:rStyle w:val="FootnoteReference"/>
        </w:rPr>
        <w:footnoteReference w:id="6"/>
      </w:r>
      <w:r w:rsidRPr="002F1100">
        <w:t>,</w:t>
      </w:r>
    </w:p>
    <w:p w:rsidR="00BA23AD" w:rsidRPr="002F1100" w:rsidRDefault="00BA23AD" w:rsidP="00BA23AD">
      <w:pPr>
        <w:pStyle w:val="NormalHanging12a"/>
      </w:pPr>
      <w:r w:rsidRPr="002F1100">
        <w:t>–</w:t>
      </w:r>
      <w:r w:rsidRPr="002F1100">
        <w:tab/>
        <w:t>võttes arvesse vastavalt Euroopa Liidu toimimise lepingu artiklile 287 tehtud kontrollikoja kinnitavat avaldust</w:t>
      </w:r>
      <w:r w:rsidRPr="002F1100">
        <w:rPr>
          <w:rStyle w:val="FootnoteReference"/>
        </w:rPr>
        <w:footnoteReference w:id="7"/>
      </w:r>
      <w:r w:rsidRPr="002F1100">
        <w:t xml:space="preserve"> 2022 aasta raamatupidamise aastaaruande usaldusväärsuse ja selle aluseks olevate tehingute seaduslikkuse ja korrektsuse kohta,</w:t>
      </w:r>
    </w:p>
    <w:p w:rsidR="00BA23AD" w:rsidRPr="002F1100" w:rsidRDefault="00BA23AD" w:rsidP="00BA23AD">
      <w:pPr>
        <w:pStyle w:val="NormalHanging12a"/>
      </w:pPr>
      <w:r w:rsidRPr="002F1100">
        <w:t>–</w:t>
      </w:r>
      <w:r w:rsidRPr="002F1100">
        <w:tab/>
        <w:t>võttes arvesse nõukogu 22. veebruari 2024. aasta soovitust asutuse tegevusele heakskiidu andmise kohta 2022. aasta eelarve täitmisel (</w:t>
      </w:r>
      <w:r w:rsidR="00606CAB" w:rsidRPr="002F1100">
        <w:t>06180</w:t>
      </w:r>
      <w:r w:rsidRPr="002F1100">
        <w:t>/2024 – C9</w:t>
      </w:r>
      <w:r w:rsidRPr="002F1100">
        <w:noBreakHyphen/>
      </w:r>
      <w:r w:rsidR="00606CAB" w:rsidRPr="002F1100">
        <w:t>0084</w:t>
      </w:r>
      <w:r w:rsidRPr="002F1100">
        <w:t>/2024),</w:t>
      </w:r>
    </w:p>
    <w:p w:rsidR="00BA23AD" w:rsidRPr="002F1100" w:rsidRDefault="00BA23AD" w:rsidP="00BA23AD">
      <w:pPr>
        <w:pStyle w:val="NormalHanging12a"/>
      </w:pPr>
      <w:r w:rsidRPr="002F1100">
        <w:t>–</w:t>
      </w:r>
      <w:r w:rsidRPr="002F1100">
        <w:tab/>
        <w:t>võttes arvesse Euroopa Liidu toimimise lepingu artiklit 319,</w:t>
      </w:r>
    </w:p>
    <w:p w:rsidR="00BA23AD" w:rsidRPr="002F1100" w:rsidRDefault="00BA23AD" w:rsidP="00BA23AD">
      <w:pPr>
        <w:pStyle w:val="NormalHanging12a"/>
      </w:pPr>
      <w:r w:rsidRPr="002F1100">
        <w:t>–</w:t>
      </w:r>
      <w:r w:rsidRPr="002F1100">
        <w:tab/>
        <w:t xml:space="preserve">võttes arvesse Euroopa Parlamendi ja nõukogu 18. juuli 2018. aasta määrust (EL, Euratom) 2018/1046 (mis käsitleb liidu </w:t>
      </w:r>
      <w:proofErr w:type="spellStart"/>
      <w:r w:rsidRPr="002F1100">
        <w:t>üldeelarve</w:t>
      </w:r>
      <w:proofErr w:type="spellEnd"/>
      <w:r w:rsidRPr="002F1100">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F1100">
        <w:rPr>
          <w:rStyle w:val="FootnoteReference"/>
        </w:rPr>
        <w:footnoteReference w:id="8"/>
      </w:r>
      <w:r w:rsidRPr="002F1100">
        <w:t>, eriti selle artiklit 70,</w:t>
      </w:r>
    </w:p>
    <w:p w:rsidR="00BA23AD" w:rsidRPr="002F1100" w:rsidRDefault="00BA23AD" w:rsidP="00BA23AD">
      <w:pPr>
        <w:pStyle w:val="NormalHanging12a"/>
      </w:pPr>
      <w:r w:rsidRPr="002F1100">
        <w:t>–</w:t>
      </w:r>
      <w:r w:rsidRPr="002F1100">
        <w:tab/>
        <w:t>võttes arvesse Euroopa Parlamendi ja nõukogu 24. novembri 2010. aasta määrust (EL) nr 1093/2010, millega asutatakse Euroopa Järelevalveasutus (Euroopa Pangandusjärelevalve), muudetakse otsust nr 716/2009/EÜ ning tunnistatakse kehtetuks komisjoni otsus 2009/78/EÜ</w:t>
      </w:r>
      <w:r w:rsidRPr="002F1100">
        <w:rPr>
          <w:rStyle w:val="FootnoteReference"/>
        </w:rPr>
        <w:footnoteReference w:id="9"/>
      </w:r>
      <w:r w:rsidRPr="002F1100">
        <w:t>, eriti selle artiklit 64,</w:t>
      </w:r>
    </w:p>
    <w:p w:rsidR="00BA23AD" w:rsidRPr="002F1100" w:rsidRDefault="00BA23AD" w:rsidP="00BA23AD">
      <w:pPr>
        <w:pStyle w:val="NormalHanging12a"/>
      </w:pPr>
      <w:r w:rsidRPr="002F1100">
        <w:t>–</w:t>
      </w:r>
      <w:r w:rsidRPr="002F1100">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2F1100">
        <w:rPr>
          <w:rStyle w:val="FootnoteReference"/>
        </w:rPr>
        <w:footnoteReference w:id="10"/>
      </w:r>
      <w:r w:rsidRPr="002F1100">
        <w:t>, eriti selle artiklit 105,</w:t>
      </w:r>
    </w:p>
    <w:p w:rsidR="00BA23AD" w:rsidRPr="002F1100" w:rsidRDefault="00BA23AD" w:rsidP="00BA23AD">
      <w:pPr>
        <w:pStyle w:val="NormalHanging12a"/>
      </w:pPr>
      <w:r w:rsidRPr="002F1100">
        <w:t>–</w:t>
      </w:r>
      <w:r w:rsidRPr="002F1100">
        <w:tab/>
        <w:t>võttes arvesse kodukorra artiklit 100 ja V lisa,</w:t>
      </w:r>
    </w:p>
    <w:p w:rsidR="00BA23AD" w:rsidRPr="002F1100" w:rsidRDefault="00BA23AD" w:rsidP="00BA23AD">
      <w:pPr>
        <w:pStyle w:val="NormalHanging12a"/>
      </w:pPr>
      <w:r w:rsidRPr="002F1100">
        <w:t>–</w:t>
      </w:r>
      <w:r w:rsidRPr="002F1100">
        <w:tab/>
        <w:t>võttes arvesse eelarvekontrollikomisjoni raportit (A9-0111/2024),</w:t>
      </w:r>
    </w:p>
    <w:p w:rsidR="00BA23AD" w:rsidRPr="002F1100" w:rsidRDefault="00BA23AD" w:rsidP="00BA23AD">
      <w:pPr>
        <w:pStyle w:val="NormalHanging12a"/>
      </w:pPr>
      <w:r w:rsidRPr="002F1100">
        <w:t>1.</w:t>
      </w:r>
      <w:r w:rsidRPr="002F1100">
        <w:tab/>
        <w:t>annab heakskiidu Euroopa Pangandusjärelevalve 2022. aasta raamatupidamiskontode sulgemisele;</w:t>
      </w:r>
    </w:p>
    <w:p w:rsidR="00BA23AD" w:rsidRPr="002F1100" w:rsidRDefault="00BA23AD" w:rsidP="00BA23AD">
      <w:pPr>
        <w:pStyle w:val="NormalHanging12a"/>
      </w:pPr>
      <w:r w:rsidRPr="002F1100">
        <w:t>2.</w:t>
      </w:r>
      <w:r w:rsidRPr="002F1100">
        <w:tab/>
        <w:t xml:space="preserve">teeb presidendile ülesandeks edastada käesolev otsus Euroopa Pangandusjärelevalve </w:t>
      </w:r>
      <w:r w:rsidRPr="002F1100">
        <w:lastRenderedPageBreak/>
        <w:t xml:space="preserve">tegevdirektorile, nõukogule, komisjonile ja kontrollikojale ning korraldada selle avaldamine </w:t>
      </w:r>
      <w:r w:rsidRPr="002F1100">
        <w:rPr>
          <w:i/>
        </w:rPr>
        <w:t>Euroopa Liidu Teatajas</w:t>
      </w:r>
      <w:r w:rsidRPr="002F1100">
        <w:t xml:space="preserve"> (L-seerias).</w:t>
      </w:r>
    </w:p>
    <w:p w:rsidR="00BA23AD" w:rsidRPr="002F1100" w:rsidRDefault="00BA23AD" w:rsidP="00BA23AD"/>
    <w:p w:rsidR="00BA23AD" w:rsidRPr="002F1100" w:rsidRDefault="00BA23AD" w:rsidP="00BA23AD">
      <w:pPr>
        <w:widowControl/>
        <w:rPr>
          <w:rFonts w:ascii="Arial" w:hAnsi="Arial" w:cs="Arial"/>
          <w:b/>
        </w:rPr>
        <w:sectPr w:rsidR="00BA23AD" w:rsidRPr="002F1100" w:rsidSect="00177CC6">
          <w:footnotePr>
            <w:numRestart w:val="eachPage"/>
          </w:footnotePr>
          <w:endnotePr>
            <w:numFmt w:val="decimal"/>
          </w:endnotePr>
          <w:pgSz w:w="11906" w:h="16838"/>
          <w:pgMar w:top="1134" w:right="1418" w:bottom="1418" w:left="1418" w:header="567" w:footer="567" w:gutter="0"/>
          <w:cols w:space="720"/>
          <w:docGrid w:linePitch="326"/>
        </w:sectPr>
      </w:pPr>
    </w:p>
    <w:p w:rsidR="00BA23AD" w:rsidRPr="002F1100" w:rsidRDefault="00BA23AD" w:rsidP="00606CAB">
      <w:pPr>
        <w:pStyle w:val="ATHeading3"/>
      </w:pPr>
      <w:bookmarkStart w:id="9" w:name="_Toc161901233"/>
      <w:r w:rsidRPr="002F1100">
        <w:lastRenderedPageBreak/>
        <w:t xml:space="preserve">3. </w:t>
      </w:r>
      <w:bookmarkEnd w:id="9"/>
      <w:r w:rsidR="00606CAB" w:rsidRPr="002F1100">
        <w:t xml:space="preserve">Euroopa Parlamendi 11. aprilli 2024. aasta resolutsioon </w:t>
      </w:r>
      <w:r w:rsidRPr="002F1100">
        <w:t>t</w:t>
      </w:r>
      <w:r w:rsidR="00606CAB" w:rsidRPr="002F1100">
        <w:t xml:space="preserve">ähelepanekutega, mis on Euroopa </w:t>
      </w:r>
      <w:r w:rsidRPr="002F1100">
        <w:t>Pangandusjärelevalve 2022. aasta eelarve täitmisele heakskiidu andmist käsitleva otsuse lahutamatu osa</w:t>
      </w:r>
      <w:r w:rsidR="00606CAB" w:rsidRPr="002F1100">
        <w:t xml:space="preserve"> </w:t>
      </w:r>
      <w:r w:rsidRPr="002F1100">
        <w:t>(2023/2146(DEC))</w:t>
      </w:r>
    </w:p>
    <w:p w:rsidR="00BA23AD" w:rsidRPr="002F1100" w:rsidRDefault="00BA23AD" w:rsidP="00BA23AD">
      <w:pPr>
        <w:pStyle w:val="EPComma"/>
      </w:pPr>
      <w:r w:rsidRPr="002F1100">
        <w:rPr>
          <w:i/>
        </w:rPr>
        <w:t>Euroopa Parlament</w:t>
      </w:r>
      <w:r w:rsidRPr="002F1100">
        <w:t>,</w:t>
      </w:r>
    </w:p>
    <w:p w:rsidR="00BA23AD" w:rsidRPr="002F1100" w:rsidRDefault="00BA23AD" w:rsidP="00BA23AD">
      <w:pPr>
        <w:pStyle w:val="NormalHanging12a"/>
      </w:pPr>
      <w:r w:rsidRPr="002F1100">
        <w:t>–</w:t>
      </w:r>
      <w:r w:rsidRPr="002F1100">
        <w:tab/>
        <w:t>võttes arvesse oma otsust Euroopa Pangandusjärelevalve 2022. aasta eelarve täitmisele heakskiidu andmise kohta,</w:t>
      </w:r>
    </w:p>
    <w:p w:rsidR="00BA23AD" w:rsidRPr="002F1100" w:rsidRDefault="00BA23AD" w:rsidP="00BA23AD">
      <w:pPr>
        <w:pStyle w:val="NormalHanging12a"/>
      </w:pPr>
      <w:r w:rsidRPr="002F1100">
        <w:t>–</w:t>
      </w:r>
      <w:r w:rsidRPr="002F1100">
        <w:tab/>
        <w:t>võttes arvesse kodukorra artiklit 100 ja V lisa,</w:t>
      </w:r>
    </w:p>
    <w:p w:rsidR="00BA23AD" w:rsidRPr="002F1100" w:rsidRDefault="00BA23AD" w:rsidP="00BA23AD">
      <w:pPr>
        <w:pStyle w:val="NormalHanging12a"/>
      </w:pPr>
      <w:r w:rsidRPr="002F1100">
        <w:t>–</w:t>
      </w:r>
      <w:r w:rsidRPr="002F1100">
        <w:tab/>
        <w:t>võttes arvesse eelarvekontrollikomisjoni raportit (A9-0111/2024),</w:t>
      </w:r>
    </w:p>
    <w:p w:rsidR="00BA23AD" w:rsidRPr="002F1100" w:rsidRDefault="00BA23AD" w:rsidP="00BA23AD">
      <w:pPr>
        <w:widowControl/>
        <w:spacing w:after="240"/>
        <w:ind w:left="567" w:hanging="567"/>
        <w:rPr>
          <w:szCs w:val="24"/>
        </w:rPr>
      </w:pPr>
      <w:r w:rsidRPr="002F1100">
        <w:t>A.</w:t>
      </w:r>
      <w:r w:rsidRPr="002F1100">
        <w:tab/>
        <w:t>arvestades, et Euroopa Pangandusjärelevalve (edaspidi „asutus“) tulude ja kulude eelarvestuse</w:t>
      </w:r>
      <w:r w:rsidRPr="002F1100">
        <w:rPr>
          <w:rStyle w:val="FootnoteReference"/>
          <w:szCs w:val="24"/>
        </w:rPr>
        <w:footnoteReference w:id="11"/>
      </w:r>
      <w:r w:rsidRPr="002F1100">
        <w:t xml:space="preserve"> kohaselt oli asutuse 2022. aasta lõplik eelarve 50 315 014 eurot; arvestades, et asutust rahastatakse peamiselt liidu eelarvest (18 685 999 eurot) ning liikmesriikide riiklike järelevalveasutuste ja vaatlejate osalusest (31 629 015 eurot);</w:t>
      </w:r>
    </w:p>
    <w:p w:rsidR="00BA23AD" w:rsidRPr="002F1100" w:rsidRDefault="00BA23AD" w:rsidP="00BA23AD">
      <w:pPr>
        <w:widowControl/>
        <w:spacing w:after="240"/>
        <w:ind w:left="567" w:hanging="567"/>
      </w:pPr>
      <w:r w:rsidRPr="002F1100">
        <w:t>B.</w:t>
      </w:r>
      <w:r w:rsidRPr="002F1100">
        <w:tab/>
        <w:t>arvestades, et Euroopa Kontrollikoda (edaspidi „kontrollikoda“) märkis oma aruandes Euroopa Pangandusjärelevalve eelarveaasta 2022 raamatupidamise aastaaruande kohta (edaspidi „kontrollikoja aruanne“), et ta sai piisava kindluse selle kohta, et asutuse raamatupidamise aastaaruanne on usaldusväärne ning selle aluseks olevad tehingud on seaduslikud ja korrektsed;</w:t>
      </w:r>
    </w:p>
    <w:p w:rsidR="00BA23AD" w:rsidRPr="002F1100" w:rsidRDefault="00BA23AD" w:rsidP="00BA23AD">
      <w:pPr>
        <w:widowControl/>
        <w:spacing w:after="240"/>
        <w:ind w:left="567" w:hanging="567"/>
        <w:rPr>
          <w:b/>
          <w:i/>
          <w:szCs w:val="24"/>
        </w:rPr>
      </w:pPr>
      <w:r w:rsidRPr="002F1100">
        <w:rPr>
          <w:b/>
          <w:i/>
        </w:rPr>
        <w:t>Eelarvehaldus ja finantsjuhtimine</w:t>
      </w:r>
    </w:p>
    <w:p w:rsidR="00BA23AD" w:rsidRPr="002F1100" w:rsidRDefault="00BA23AD" w:rsidP="00BA23AD">
      <w:pPr>
        <w:pStyle w:val="NormalHanging12a"/>
        <w:widowControl/>
        <w:rPr>
          <w:szCs w:val="24"/>
        </w:rPr>
      </w:pPr>
      <w:r w:rsidRPr="002F1100">
        <w:t>1.</w:t>
      </w:r>
      <w:r w:rsidRPr="002F1100">
        <w:tab/>
        <w:t>märgib rahuloluga, et 2022. aastal tehtud eelarveseire tulemusel oli jooksva aasta kulukohustuste assigneeringute eelarve täitmise määr 99,56 %, mis on 2021. aasta määrast 1,05 % kõrgem; märgib lisaks, et jooksva aasta maksete assigneeringute täitmise määr oli 87,00 %, mis on 2021. aasta määrast 3,00 % kõrgem;</w:t>
      </w:r>
    </w:p>
    <w:p w:rsidR="00BA23AD" w:rsidRPr="002F1100" w:rsidRDefault="00BA23AD" w:rsidP="00BA23AD">
      <w:pPr>
        <w:widowControl/>
        <w:spacing w:after="240"/>
        <w:ind w:left="567" w:hanging="567"/>
        <w:rPr>
          <w:b/>
          <w:i/>
          <w:szCs w:val="24"/>
        </w:rPr>
      </w:pPr>
      <w:r w:rsidRPr="002F1100">
        <w:rPr>
          <w:b/>
          <w:i/>
        </w:rPr>
        <w:t>Tulemused</w:t>
      </w:r>
    </w:p>
    <w:p w:rsidR="00BA23AD" w:rsidRPr="002F1100" w:rsidRDefault="00BA23AD" w:rsidP="00BA23AD">
      <w:pPr>
        <w:pStyle w:val="NormalHanging12a"/>
        <w:widowControl/>
        <w:rPr>
          <w:szCs w:val="24"/>
        </w:rPr>
      </w:pPr>
      <w:r w:rsidRPr="002F1100">
        <w:t>2.</w:t>
      </w:r>
      <w:r w:rsidRPr="002F1100">
        <w:tab/>
        <w:t>väljendab heameelt selle üle, et asutus kasutab jätkuvalt teatavaid meetmeid peamiste tulemusnäitajatena, et hinnata oma tegevust ja selle tulemusi, pidades silmas tööprogrammi eesmärkide saavutamist; märgib, et asutus on 2022. aastaks määratlenud oma tööprogrammi jaoks viis vertikaalset prioriteeti (nt järelevalve ja kriisilahenduse usaldatavusraamistiku ajakohastamine ja seire, kogu ELi hõlmava stressitestimise raamistiku läbivaatamine ja tugevdamine) ja kaks horisontaalset prioriteeti (vahendite pakkumine keskkonna-, sotsiaalsete ja juhtimisriskide mõõtmiseks ja juhtimiseks ning COVID-19 mõju seireks ja leevendamiseks); märgib, et 2022. aastal täitis asutus 95 % oma tööprogrammis sätestatud ligikaudu 250 ülesandest, sealhulgas 15 % ülesannetest, mis tuli aasta jooksul tööprogrammi lisada; tunnistab lisaks, et see on eelneva aastaga võrreldes parem saavutus;</w:t>
      </w:r>
    </w:p>
    <w:p w:rsidR="00BA23AD" w:rsidRPr="002F1100" w:rsidRDefault="00BA23AD" w:rsidP="00BA23AD">
      <w:pPr>
        <w:pStyle w:val="NormalHanging12a"/>
        <w:widowControl/>
        <w:rPr>
          <w:szCs w:val="24"/>
        </w:rPr>
      </w:pPr>
      <w:r w:rsidRPr="002F1100">
        <w:t>3.</w:t>
      </w:r>
      <w:r w:rsidRPr="002F1100">
        <w:tab/>
        <w:t xml:space="preserve">on teadlik, et Venemaa põhjendamatu agressioonisõda Ukraina vastu on pannud asutust kaaluma sellest konfliktist tulenevaid probleeme ja ebakindlust oma pädevusvaldkondades ning neid vastavalt käsitlema; väljendab heameelt selle üle, et </w:t>
      </w:r>
      <w:r w:rsidRPr="002F1100">
        <w:lastRenderedPageBreak/>
        <w:t>asutus pööras seetõttu suurt tähelepanu pankade ja finantssektori riskide hindamisele ning võttis meetmeid selle sektori jälgimiseks; märgib lisaks, et asutus keskendus peale selle jõupingutustele, mis aitavad kaasa kehtestatud sanktsioonide kohaldamisele ja nende täitmise tagamisele, ning tasandile, millega sellest konfliktist mõjutatud inimesed vahetumalt seotud on; tunneb heameelt asutuse jõupingutuste üle, mille eesmärk on lihtsustada juurdepääsu finantssüsteemile;</w:t>
      </w:r>
    </w:p>
    <w:p w:rsidR="00BA23AD" w:rsidRPr="002F1100" w:rsidRDefault="00543195" w:rsidP="00BA23AD">
      <w:pPr>
        <w:widowControl/>
        <w:spacing w:after="240"/>
        <w:ind w:left="567" w:hanging="567"/>
        <w:rPr>
          <w:szCs w:val="24"/>
        </w:rPr>
      </w:pPr>
      <w:r>
        <w:t>4.</w:t>
      </w:r>
      <w:r>
        <w:tab/>
        <w:t>märgib, et mõned ameti 2022. </w:t>
      </w:r>
      <w:r w:rsidR="00BA23AD" w:rsidRPr="002F1100">
        <w:t>aasta tegevuse olulistest mõjuritest aitasid kujundada seadusandlikke menetlusi, mille tu</w:t>
      </w:r>
      <w:r>
        <w:t>lemusel võeti vastu määrus (EL) </w:t>
      </w:r>
      <w:r w:rsidR="00BA23AD" w:rsidRPr="002F1100">
        <w:t>2022/2554</w:t>
      </w:r>
      <w:r w:rsidR="00BA23AD" w:rsidRPr="002F1100">
        <w:rPr>
          <w:rStyle w:val="FootnoteReference"/>
          <w:szCs w:val="24"/>
        </w:rPr>
        <w:footnoteReference w:id="12"/>
      </w:r>
      <w:r>
        <w:t xml:space="preserve"> ja direktiiv (EL) </w:t>
      </w:r>
      <w:r w:rsidR="00BA23AD" w:rsidRPr="002F1100">
        <w:t>2022/2556</w:t>
      </w:r>
      <w:r w:rsidR="00BA23AD" w:rsidRPr="002F1100">
        <w:rPr>
          <w:rStyle w:val="FootnoteReference"/>
          <w:szCs w:val="24"/>
        </w:rPr>
        <w:footnoteReference w:id="13"/>
      </w:r>
      <w:r w:rsidR="00BA23AD" w:rsidRPr="002F1100">
        <w:t xml:space="preserve"> (digitaalse tegevuskerksuse määrus ja direktiiv) ning </w:t>
      </w:r>
      <w:r>
        <w:t>määrus (EL) </w:t>
      </w:r>
      <w:r w:rsidR="00BA23AD" w:rsidRPr="002F1100">
        <w:t>2023/1114</w:t>
      </w:r>
      <w:r w:rsidR="00BA23AD" w:rsidRPr="002F1100">
        <w:rPr>
          <w:rStyle w:val="FootnoteReference"/>
          <w:szCs w:val="24"/>
        </w:rPr>
        <w:footnoteReference w:id="14"/>
      </w:r>
      <w:r w:rsidR="00BA23AD" w:rsidRPr="002F1100">
        <w:t xml:space="preserve"> (krüptovaraturgude määrus) vastuseks eri nõudmistele </w:t>
      </w:r>
      <w:proofErr w:type="spellStart"/>
      <w:r w:rsidR="00BA23AD" w:rsidRPr="002F1100">
        <w:t>digirahanduse</w:t>
      </w:r>
      <w:proofErr w:type="spellEnd"/>
      <w:r w:rsidR="00BA23AD" w:rsidRPr="002F1100">
        <w:t xml:space="preserve"> ja sellega seotud küsimustega seotud nõustamise järele; märgib, et lisaks keskenduti finantssüsteemi rahapesu ja terrorismi rahastamise eesmärgil kasutamise tõkestamisele; märgib lisaks, et pankade jaoks asjakohase keskkonna-, sotsiaalse ja juhtimisraamistiku väljatöötamine ning COVID-19 mõju jälgimine nende bilansile oli asutuse töös jätkuvalt esirinnas; võtab teadmiseks, et asutus ajakohastas ka oma vastastikuse hindamise töökava aastateks 2022–2023 kooskõlas määrusega</w:t>
      </w:r>
      <w:r>
        <w:t xml:space="preserve"> (EL) nr </w:t>
      </w:r>
      <w:r w:rsidR="00BA23AD" w:rsidRPr="002F1100">
        <w:t>1093/2010;</w:t>
      </w:r>
    </w:p>
    <w:p w:rsidR="00BA23AD" w:rsidRPr="002F1100" w:rsidRDefault="00BA23AD" w:rsidP="00BA23AD">
      <w:pPr>
        <w:widowControl/>
        <w:spacing w:after="240"/>
        <w:ind w:left="567" w:hanging="567"/>
        <w:rPr>
          <w:b/>
          <w:i/>
          <w:szCs w:val="24"/>
        </w:rPr>
      </w:pPr>
      <w:r w:rsidRPr="002F1100">
        <w:rPr>
          <w:b/>
          <w:i/>
        </w:rPr>
        <w:t>Tõhusus ja selle suurendamine</w:t>
      </w:r>
    </w:p>
    <w:p w:rsidR="00BA23AD" w:rsidRPr="002F1100" w:rsidRDefault="00BA23AD" w:rsidP="00BA23AD">
      <w:pPr>
        <w:widowControl/>
        <w:spacing w:after="240"/>
        <w:ind w:left="567" w:hanging="567"/>
        <w:rPr>
          <w:szCs w:val="24"/>
        </w:rPr>
      </w:pPr>
      <w:r w:rsidRPr="002F1100">
        <w:t>5.</w:t>
      </w:r>
      <w:r w:rsidRPr="002F1100">
        <w:tab/>
        <w:t xml:space="preserve">väljendab heameelt selle üle, et hangete valdkonnas kutsub asutus teisi ameteid osalema asutuse avatud hankemenetlustes alati, kui on võimalus, et teised ametid on huvitatud; märgib, et 2022. aastal oli asutus juhtrollis ühes institutsioonidevahelises hankemenetluses, milles osalesid Euroopa Väärtpaberiturujärelevalve (ESMA) ja Euroopa Kindlustus- ja Tööandjapensionide Järelevalve (EIOPA); märgib lisaks, et asutus on samuti osalenud paljudes </w:t>
      </w:r>
      <w:proofErr w:type="spellStart"/>
      <w:r w:rsidRPr="002F1100">
        <w:t>institutsioonidevahelistes</w:t>
      </w:r>
      <w:proofErr w:type="spellEnd"/>
      <w:r w:rsidRPr="002F1100">
        <w:t xml:space="preserve"> menetlustes, mida juhtisid muud liidu institutsioonid, organid ja asutused, peamiselt neis, mida juhtis komisjon; märgib, et 2022. aastal sõlmiti muude liidu institutsioonide, organite ja asutustega 77 % asutuse 96 kehtivast raamlepingust;</w:t>
      </w:r>
    </w:p>
    <w:p w:rsidR="00BA23AD" w:rsidRPr="002F1100" w:rsidRDefault="00BA23AD" w:rsidP="00BA23AD">
      <w:pPr>
        <w:widowControl/>
        <w:spacing w:after="240"/>
        <w:ind w:left="567" w:hanging="567"/>
        <w:rPr>
          <w:szCs w:val="24"/>
        </w:rPr>
      </w:pPr>
      <w:r w:rsidRPr="002F1100">
        <w:t>6.</w:t>
      </w:r>
      <w:r w:rsidRPr="002F1100">
        <w:tab/>
        <w:t xml:space="preserve">märgib, et Euroopa järelevalveasutuse ühiskomitee, milles osalevad asutus, EIOPA, ESMA, komisjon ja Euroopa Süsteemsete Riskide Nõukogu, on peamine foorum ühiste regulatiivsete küsimuste arutamiseks ja </w:t>
      </w:r>
      <w:proofErr w:type="spellStart"/>
      <w:r w:rsidRPr="002F1100">
        <w:t>ühisalgatuste</w:t>
      </w:r>
      <w:proofErr w:type="spellEnd"/>
      <w:r w:rsidRPr="002F1100">
        <w:t xml:space="preserve"> kokkuleppimiseks; tuletab meelde, et </w:t>
      </w:r>
      <w:proofErr w:type="spellStart"/>
      <w:r w:rsidRPr="002F1100">
        <w:t>ühisalgatused</w:t>
      </w:r>
      <w:proofErr w:type="spellEnd"/>
      <w:r w:rsidRPr="002F1100">
        <w:t xml:space="preserve"> ühendavad eri vaatenurki, vähendavad </w:t>
      </w:r>
      <w:proofErr w:type="spellStart"/>
      <w:r w:rsidRPr="002F1100">
        <w:t>topelttööd</w:t>
      </w:r>
      <w:proofErr w:type="spellEnd"/>
      <w:r w:rsidRPr="002F1100">
        <w:t>, tõhustavad õppimist ja tugevdavad osalejate vahelisi suhteid;</w:t>
      </w:r>
    </w:p>
    <w:p w:rsidR="00BA23AD" w:rsidRPr="002F1100" w:rsidRDefault="00BA23AD" w:rsidP="00BA23AD">
      <w:pPr>
        <w:widowControl/>
        <w:spacing w:after="240"/>
        <w:ind w:left="567" w:hanging="567"/>
        <w:rPr>
          <w:bCs/>
          <w:szCs w:val="24"/>
        </w:rPr>
      </w:pPr>
      <w:r w:rsidRPr="002F1100">
        <w:t>7.</w:t>
      </w:r>
      <w:r w:rsidRPr="002F1100">
        <w:tab/>
        <w:t xml:space="preserve">väljendab heameelt selle üle, et asutus on aktiivne ulatuslikes koostöö- ja </w:t>
      </w:r>
      <w:proofErr w:type="spellStart"/>
      <w:r w:rsidRPr="002F1100">
        <w:t>ressursijagamisalgatustes</w:t>
      </w:r>
      <w:proofErr w:type="spellEnd"/>
      <w:r w:rsidRPr="002F1100">
        <w:t xml:space="preserve"> eri ametitega, näiteks jagades raamatupidamisteenuseid </w:t>
      </w:r>
      <w:proofErr w:type="spellStart"/>
      <w:r w:rsidRPr="002F1100">
        <w:t>ESMAga</w:t>
      </w:r>
      <w:proofErr w:type="spellEnd"/>
      <w:r w:rsidRPr="002F1100">
        <w:t xml:space="preserve">, jagades julgeolekuametnikku </w:t>
      </w:r>
      <w:proofErr w:type="spellStart"/>
      <w:r w:rsidRPr="002F1100">
        <w:t>EIOPAga</w:t>
      </w:r>
      <w:proofErr w:type="spellEnd"/>
      <w:r w:rsidRPr="002F1100">
        <w:t xml:space="preserve">, ühised IT-projektid, investeeringud </w:t>
      </w:r>
      <w:r w:rsidRPr="002F1100">
        <w:lastRenderedPageBreak/>
        <w:t xml:space="preserve">karjääri arendamisse ja kogemuste pakkumine, et aidata teistel ametitel saada </w:t>
      </w:r>
      <w:proofErr w:type="spellStart"/>
      <w:r w:rsidRPr="002F1100">
        <w:t>EMASi</w:t>
      </w:r>
      <w:proofErr w:type="spellEnd"/>
      <w:r w:rsidRPr="002F1100">
        <w:t xml:space="preserve"> sertifikaati; rõhutab lisaks koostöö ja parimate tavade kohandamise horisontaalset kasu;</w:t>
      </w:r>
    </w:p>
    <w:p w:rsidR="00BA23AD" w:rsidRPr="002F1100" w:rsidRDefault="00BA23AD" w:rsidP="00BA23AD">
      <w:pPr>
        <w:widowControl/>
        <w:spacing w:after="240"/>
        <w:ind w:left="567" w:hanging="567"/>
        <w:rPr>
          <w:szCs w:val="24"/>
        </w:rPr>
      </w:pPr>
      <w:r w:rsidRPr="002F1100">
        <w:t>8.</w:t>
      </w:r>
      <w:r w:rsidRPr="002F1100">
        <w:tab/>
        <w:t xml:space="preserve">peab kiiduväärseks, et asutus on teinud mitmeid algatusi, nagu protsesside optimeerimine, ressursside haldamine, </w:t>
      </w:r>
      <w:proofErr w:type="spellStart"/>
      <w:r w:rsidRPr="002F1100">
        <w:t>digiteerimine</w:t>
      </w:r>
      <w:proofErr w:type="spellEnd"/>
      <w:r w:rsidRPr="002F1100">
        <w:t xml:space="preserve">, koostöö tõhustamine ja pideva arengu kultuuri edendamine; märgib, et peamised strateegiad hõlmavad protsesside automatiseerimist (paberivabad finantstehingud, massiline maksekoormus, </w:t>
      </w:r>
      <w:proofErr w:type="spellStart"/>
      <w:r w:rsidRPr="002F1100">
        <w:t>töövoo</w:t>
      </w:r>
      <w:proofErr w:type="spellEnd"/>
      <w:r w:rsidRPr="002F1100">
        <w:t xml:space="preserve"> vahendid), ressursside optimeerimist, andmepõhist otsustamist, tehnoloogiaintegratsiooni (pilvteenused, personalijuhtimise </w:t>
      </w:r>
      <w:proofErr w:type="spellStart"/>
      <w:r w:rsidRPr="002F1100">
        <w:t>digiteerimine</w:t>
      </w:r>
      <w:proofErr w:type="spellEnd"/>
      <w:r w:rsidRPr="002F1100">
        <w:t>), koostööd erialaüleste meeskondade kaudu ja projektijuhtimist;</w:t>
      </w:r>
    </w:p>
    <w:p w:rsidR="00BA23AD" w:rsidRPr="002F1100" w:rsidRDefault="00BA23AD" w:rsidP="00BA23AD">
      <w:pPr>
        <w:pStyle w:val="NormalHanging12a"/>
      </w:pPr>
      <w:r w:rsidRPr="002F1100">
        <w:t>9.</w:t>
      </w:r>
      <w:r w:rsidRPr="002F1100">
        <w:tab/>
        <w:t>rõhutab, et asutus on ELi asutuste võrgustiku aktiivne liige ning et teiste Euroopa järelevalveasutustega arendatakse pidevalt koostoimet, näiteks töötajate reservnimekirjade jagamine asutuse, ESMA ja EIOPA vahel;</w:t>
      </w:r>
    </w:p>
    <w:p w:rsidR="00BA23AD" w:rsidRPr="002F1100" w:rsidRDefault="00BA23AD" w:rsidP="00BA23AD">
      <w:pPr>
        <w:widowControl/>
        <w:spacing w:after="240"/>
        <w:ind w:left="567" w:hanging="567"/>
        <w:rPr>
          <w:b/>
          <w:i/>
          <w:szCs w:val="24"/>
        </w:rPr>
      </w:pPr>
      <w:r w:rsidRPr="002F1100">
        <w:rPr>
          <w:b/>
          <w:i/>
        </w:rPr>
        <w:t>Personalipoliitika</w:t>
      </w:r>
    </w:p>
    <w:p w:rsidR="00BA23AD" w:rsidRPr="002F1100" w:rsidRDefault="00BA23AD" w:rsidP="00BA23AD">
      <w:pPr>
        <w:widowControl/>
        <w:spacing w:after="240"/>
        <w:ind w:left="567" w:hanging="567"/>
        <w:rPr>
          <w:szCs w:val="24"/>
        </w:rPr>
      </w:pPr>
      <w:r w:rsidRPr="002F1100">
        <w:t>10.</w:t>
      </w:r>
      <w:r w:rsidRPr="002F1100">
        <w:tab/>
        <w:t>märgib, et 31. detsembri 2022. aasta seisuga oli ametikohtade loetelust täidetud 98,14 % – liidu eelarves kinnitatud 162 ajutise teenistuja ametikohast oli täidetud 159 (2021. aastal oli kinnitatud ametikohti sama palju); märgib, et 2022. aastal töötas asutuses ka 44 lepingulist töötajat (kinnitatud ametikohti oli 50) ja 13 lähetatud riiklikku eksperti (kinnitatud ametikohti oli 19, pluss kuus lähetatud riiklikku eksperti, kelle kulusid ei kaetud);</w:t>
      </w:r>
    </w:p>
    <w:p w:rsidR="00BA23AD" w:rsidRPr="002F1100" w:rsidRDefault="00BA23AD" w:rsidP="00BA23AD">
      <w:pPr>
        <w:widowControl/>
        <w:spacing w:after="240"/>
        <w:ind w:left="567" w:hanging="567"/>
        <w:rPr>
          <w:szCs w:val="24"/>
        </w:rPr>
      </w:pPr>
      <w:r w:rsidRPr="002F1100">
        <w:t>11.</w:t>
      </w:r>
      <w:r w:rsidRPr="002F1100">
        <w:tab/>
        <w:t xml:space="preserve">täheldab, et 2022. aastal oli tööjõu </w:t>
      </w:r>
      <w:proofErr w:type="spellStart"/>
      <w:r w:rsidRPr="002F1100">
        <w:t>voolavuse</w:t>
      </w:r>
      <w:proofErr w:type="spellEnd"/>
      <w:r w:rsidRPr="002F1100">
        <w:t xml:space="preserve"> kogumäär 11,5 % (võrreldes 12 %-ga 2021. aastal); võtab teadmiseks, et tööjõu </w:t>
      </w:r>
      <w:proofErr w:type="spellStart"/>
      <w:r w:rsidRPr="002F1100">
        <w:t>voolavuse</w:t>
      </w:r>
      <w:proofErr w:type="spellEnd"/>
      <w:r w:rsidRPr="002F1100">
        <w:t xml:space="preserve"> kogumäär hõlmab selliste lähetatud riiklike ekspertide lepingute lõppemist, kelle lepingud kestavad oma olemuselt lühemat aega, samas kui koosseisuliste töötajate (ajutised teenistujad ja lepingulised töötajad) tööjõu </w:t>
      </w:r>
      <w:proofErr w:type="spellStart"/>
      <w:r w:rsidRPr="002F1100">
        <w:t>voolavuse</w:t>
      </w:r>
      <w:proofErr w:type="spellEnd"/>
      <w:r w:rsidRPr="002F1100">
        <w:t xml:space="preserve"> määr oli 9 % (lepinguliste töötajate puhul veidi kõrgem kui ajutistel töötajatel); rõhutab, et alates 2020. aastast on asutus hakanud täiendama oma talendijuhtimise põhimõtteid lisameetmetega, et suurendada töötajate mõjuvõimu ja toetada pikaajalist kaasatust (tugev väärtuspakkumine töötajatele, kohandatud karjääriarengu programmid, nagu </w:t>
      </w:r>
      <w:proofErr w:type="spellStart"/>
      <w:r w:rsidRPr="002F1100">
        <w:t>mentorlus</w:t>
      </w:r>
      <w:proofErr w:type="spellEnd"/>
      <w:r w:rsidRPr="002F1100">
        <w:t>, töö- ja eraelu algatused, näiteks sotsiaalklubi jne);</w:t>
      </w:r>
    </w:p>
    <w:p w:rsidR="00BA23AD" w:rsidRPr="002F1100" w:rsidRDefault="00BA23AD" w:rsidP="00BA23AD">
      <w:pPr>
        <w:pStyle w:val="NormalHanging12a"/>
        <w:widowControl/>
        <w:rPr>
          <w:szCs w:val="24"/>
        </w:rPr>
      </w:pPr>
      <w:r w:rsidRPr="002F1100">
        <w:t>12.</w:t>
      </w:r>
      <w:r w:rsidRPr="002F1100">
        <w:tab/>
        <w:t>võtab teadmiseks soolise jaotuse asutuse kõrgemas ja keskastme juhtkonnas, kus 29-st kõrgema ja keskastme juhtkonna liikmest 16 on mehed (55 %), ja asutuse kogu personali hulgas, kus 222-st töötajast 114 (51 %) on mehed; toetab asjaolu, et asutus on vastu võtnud ELi asutuste võrgustiku mitmekesisuse ja kaasamise harta; märgib, et asutus on osa võrgustikust „</w:t>
      </w:r>
      <w:proofErr w:type="spellStart"/>
      <w:r w:rsidRPr="002F1100">
        <w:t>Choose</w:t>
      </w:r>
      <w:proofErr w:type="spellEnd"/>
      <w:r w:rsidRPr="002F1100">
        <w:t xml:space="preserve"> Paris </w:t>
      </w:r>
      <w:proofErr w:type="spellStart"/>
      <w:r w:rsidRPr="002F1100">
        <w:t>Region</w:t>
      </w:r>
      <w:proofErr w:type="spellEnd"/>
      <w:r w:rsidRPr="002F1100">
        <w:t>“, kuhu kuuluvad rahvusvahelised organisatsioonid, kes edendavad mitmekesist, kaasavat ja õiglast töökohta, ning pakub värbamisprotsessi raames puuetega inimestele konkreetseid abinõusid;</w:t>
      </w:r>
    </w:p>
    <w:p w:rsidR="00BA23AD" w:rsidRPr="002F1100" w:rsidRDefault="00BA23AD" w:rsidP="00BA23AD">
      <w:pPr>
        <w:widowControl/>
        <w:spacing w:after="240"/>
        <w:ind w:left="567" w:hanging="567"/>
        <w:rPr>
          <w:szCs w:val="24"/>
        </w:rPr>
      </w:pPr>
      <w:r w:rsidRPr="002F1100">
        <w:t>13.</w:t>
      </w:r>
      <w:r w:rsidRPr="002F1100">
        <w:tab/>
        <w:t xml:space="preserve">on teadlik, et 2022. aastal käivitati töötajate kaasamise uuring, millele vastamise määr oli 71 %; märgib, et töötajate kaasamist näitav üldine positiivsete vastuste koguprotsent oli 65 %, mis oli 1 % kõrgem kui eelmises töötajate kaasamise uuringus 2019. aastal (vaatamata keerulistele COVID-19 aegadele) ja võrreldes ELi </w:t>
      </w:r>
      <w:proofErr w:type="spellStart"/>
      <w:r w:rsidRPr="002F1100">
        <w:t>ametitevahelise</w:t>
      </w:r>
      <w:proofErr w:type="spellEnd"/>
      <w:r w:rsidRPr="002F1100">
        <w:t xml:space="preserve"> võrdlusalusega;</w:t>
      </w:r>
    </w:p>
    <w:p w:rsidR="00BA23AD" w:rsidRPr="002F1100" w:rsidRDefault="00BA23AD" w:rsidP="00BA23AD">
      <w:pPr>
        <w:widowControl/>
        <w:spacing w:after="240"/>
        <w:ind w:left="567" w:hanging="567"/>
        <w:rPr>
          <w:b/>
          <w:i/>
          <w:szCs w:val="24"/>
        </w:rPr>
      </w:pPr>
      <w:r w:rsidRPr="002F1100">
        <w:rPr>
          <w:b/>
          <w:i/>
        </w:rPr>
        <w:t>Huvide konfliktide ennetamine ja haldamine ning läbipaistvus</w:t>
      </w:r>
    </w:p>
    <w:p w:rsidR="00BA23AD" w:rsidRPr="002F1100" w:rsidRDefault="00BA23AD" w:rsidP="00BA23AD">
      <w:pPr>
        <w:widowControl/>
        <w:spacing w:after="240"/>
        <w:ind w:left="567" w:hanging="567"/>
      </w:pPr>
      <w:r w:rsidRPr="002F1100">
        <w:lastRenderedPageBreak/>
        <w:t>14.</w:t>
      </w:r>
      <w:r w:rsidRPr="002F1100">
        <w:tab/>
        <w:t>väljendab heameelt selle üle, et asutus ühtlustas 2022. aastal eetikaprotsessi, eelkõige elektroonilise töövoosüsteemi kasutusele võtmise kaudu, mis hõlmab lahkuvate töötajate võimalikke huvide konflikte käsitlevate teadete ja töösuhtejärgse tegevuse teadete tihedamat ja tõhusamat hindamist;</w:t>
      </w:r>
    </w:p>
    <w:p w:rsidR="00BA23AD" w:rsidRPr="002F1100" w:rsidRDefault="00BA23AD" w:rsidP="00BA23AD">
      <w:pPr>
        <w:pStyle w:val="NormalHanging12a"/>
      </w:pPr>
      <w:r w:rsidRPr="002F1100">
        <w:t>15.</w:t>
      </w:r>
      <w:r w:rsidRPr="002F1100">
        <w:tab/>
        <w:t>rõhutab, et rikkumisest teatamist käsitlevad suunised, mis hõlmavad korruptsioonivastaseid suuniseid, on lisatud asutuse eetikale ja usaldusväärsusele pühendatud koolitusprogrammide õppematerjalide hulka;</w:t>
      </w:r>
    </w:p>
    <w:p w:rsidR="00BA23AD" w:rsidRPr="002F1100" w:rsidRDefault="00BA23AD" w:rsidP="00BA23AD">
      <w:pPr>
        <w:pStyle w:val="NormalHanging12a"/>
      </w:pPr>
      <w:r w:rsidRPr="002F1100">
        <w:t>16.</w:t>
      </w:r>
      <w:r w:rsidRPr="002F1100">
        <w:tab/>
        <w:t>peab kiiduväärseks seda, et järelevalvenõukogu võttis 2022. aastal vastu oma kodukorra muudatuse, samuti juhatuse kodukorra ja alaliste kriisilahenduse ning rahapesu ja terrorismi rahastamise tõkestamise komiteede volituste muudatuse, kohustades huvide konfliktist teatanud liikmeid puuduma ilma eranditeta nii hääletuselt kui ka arutelult endalt;</w:t>
      </w:r>
    </w:p>
    <w:p w:rsidR="00BA23AD" w:rsidRPr="002F1100" w:rsidRDefault="00BA23AD" w:rsidP="00BA23AD">
      <w:pPr>
        <w:widowControl/>
        <w:spacing w:after="240"/>
        <w:ind w:left="567" w:hanging="567"/>
        <w:rPr>
          <w:szCs w:val="24"/>
        </w:rPr>
      </w:pPr>
      <w:r w:rsidRPr="002F1100">
        <w:t>17.</w:t>
      </w:r>
      <w:r w:rsidRPr="002F1100">
        <w:tab/>
        <w:t xml:space="preserve">märgib, et pärast ühe </w:t>
      </w:r>
      <w:proofErr w:type="spellStart"/>
      <w:r w:rsidRPr="002F1100">
        <w:t>OLAFi</w:t>
      </w:r>
      <w:proofErr w:type="spellEnd"/>
      <w:r w:rsidRPr="002F1100">
        <w:t xml:space="preserve"> juurdluse lõpetamist, ilma et oleks olnud märke õigusnormide rikkumisest seoses asjaomase õigusraamistiku järgimisega, sai asutus soovituse võtta haldusmeetmeid, eelkõige seoses kõrgema juhtkonna töölepingutega; märgib, et uurimise käigus selgus, et puuduvad lepingutingimused, mis käsitleksid tegevkoosseisust välja arvamist või ooteaega; rõhutab, et vastusena lisas asutus 2022. aasta veebruaris direktorite, nõustajate ja muude teenistujate lepingutesse uue artikli; märgib, et personalieeskirjade õigusraamistiku piirangute tõttu teatas asutus </w:t>
      </w:r>
      <w:proofErr w:type="spellStart"/>
      <w:r w:rsidRPr="002F1100">
        <w:t>OLAFile</w:t>
      </w:r>
      <w:proofErr w:type="spellEnd"/>
      <w:r w:rsidRPr="002F1100">
        <w:t>, et ta ei saa kehtestada töötajatele nõudeid väljaspool seda raamistikku, näiteks maksta hüvitist juhul, kui endisel töötajal on keelatud kutsetegevusega tegeleda või kui talle on seatud sellega tegelemisel olulised tingimused;</w:t>
      </w:r>
    </w:p>
    <w:p w:rsidR="00BA23AD" w:rsidRPr="002F1100" w:rsidRDefault="00BA23AD" w:rsidP="00BA23AD">
      <w:pPr>
        <w:widowControl/>
        <w:spacing w:after="240"/>
        <w:ind w:left="567" w:hanging="567"/>
        <w:rPr>
          <w:szCs w:val="24"/>
        </w:rPr>
      </w:pPr>
      <w:r w:rsidRPr="002F1100">
        <w:t>18.</w:t>
      </w:r>
      <w:r w:rsidRPr="002F1100">
        <w:tab/>
        <w:t>kiidab heaks asjaolu, et asutus avalikustab kõik töötajate kohtumised väliste erasektori sidusrühmadega kahe nädala jooksul pärast eesistujaga kohtumist vastavalt määruse (EL) nr 1093/2010 artiklile 49a ning et seda kohaldatakse samamoodi tegevdirektori suhtes, kuigi nimetatud määruse artiklis 52a nõutakse tegevdirektori koosolekute avalikustamist, kuid ei täpsustata, kui kiiresti pärast nende toimumist; märgib, et muude töötajate kohtumised erasektori sidusrühmadega avalikustatakse kord kvartalis;</w:t>
      </w:r>
    </w:p>
    <w:p w:rsidR="00BA23AD" w:rsidRPr="002F1100" w:rsidRDefault="00BA23AD" w:rsidP="00BA23AD">
      <w:pPr>
        <w:widowControl/>
        <w:spacing w:after="240"/>
        <w:ind w:left="567" w:hanging="567"/>
        <w:rPr>
          <w:szCs w:val="24"/>
        </w:rPr>
      </w:pPr>
      <w:r w:rsidRPr="002F1100">
        <w:t>19.</w:t>
      </w:r>
      <w:r w:rsidRPr="002F1100">
        <w:tab/>
        <w:t>juhib tähelepanu ühe rikkumisest teatamise juhtumi lõpetamisele 2022. aastal; märgib, et võetud meetmed hõlmasid kontakteerumist riikliku pädeva asutusega, et mõista riigisiseselt võetavaid väiteid ja meetmeid, mille tulemusel lõpetati juhtum ilma, et asutus oleks pidanud meetmeid võtma;</w:t>
      </w:r>
    </w:p>
    <w:p w:rsidR="00BA23AD" w:rsidRPr="002F1100" w:rsidRDefault="00BA23AD" w:rsidP="00BA23AD">
      <w:pPr>
        <w:widowControl/>
        <w:spacing w:after="240"/>
        <w:ind w:left="567" w:hanging="567"/>
        <w:rPr>
          <w:szCs w:val="24"/>
        </w:rPr>
      </w:pPr>
      <w:r w:rsidRPr="002F1100">
        <w:t>20.</w:t>
      </w:r>
      <w:r w:rsidRPr="002F1100">
        <w:tab/>
        <w:t>tuletab meelde, et juhtorganite liikmete ning asendusliikmete, kõrgema astme juhtide ja direktorite elulookirjeldused avaldatakse asutuse veebisaitidel; märgib, et need elulookirjeldused sisaldavad teavet töökogemuse ja hariduse kohta; märgib lisaks, et seoses ekspertidega avaldab asutus pangandussektori sidusrühmade kogu elulookirjeldused;</w:t>
      </w:r>
    </w:p>
    <w:p w:rsidR="00BA23AD" w:rsidRPr="002F1100" w:rsidRDefault="00BA23AD" w:rsidP="00BA23AD">
      <w:pPr>
        <w:widowControl/>
        <w:spacing w:after="240"/>
        <w:ind w:left="567" w:hanging="567"/>
        <w:rPr>
          <w:b/>
          <w:i/>
          <w:szCs w:val="24"/>
        </w:rPr>
      </w:pPr>
      <w:r w:rsidRPr="002F1100">
        <w:rPr>
          <w:b/>
          <w:i/>
        </w:rPr>
        <w:t>Hanked</w:t>
      </w:r>
    </w:p>
    <w:p w:rsidR="00BA23AD" w:rsidRPr="002F1100" w:rsidRDefault="00BA23AD" w:rsidP="00BA23AD">
      <w:pPr>
        <w:widowControl/>
        <w:spacing w:after="240"/>
        <w:ind w:left="567" w:hanging="567"/>
        <w:rPr>
          <w:szCs w:val="24"/>
        </w:rPr>
      </w:pPr>
      <w:r w:rsidRPr="002F1100">
        <w:t>21.</w:t>
      </w:r>
      <w:r w:rsidRPr="002F1100">
        <w:tab/>
        <w:t xml:space="preserve">võtab teadmiseks, et kontrollikoja andmetel püüdis asutus hankida teenuseid kahes avatud hankemenetluses, millest üks oli mõeldud finantsteenuste turu-uuringuteks ja teine andmekaitsealaseks konsulteerimiseks; märgib, et ühe pakkumuse puhul valiku- ja hindamiskriteeriumid kattusid; rõhutab, et selline kattumine on vastuolus </w:t>
      </w:r>
      <w:r w:rsidRPr="002F1100">
        <w:lastRenderedPageBreak/>
        <w:t>finantsmääruse artikliga 167, milles on sätestatud, et valiku- ja hindamiskriteeriumid peavad olema täielikult eraldatud; märgib, et valikukriteeriume kasutatakse pakkujate suutlikkuse hindamiseks, kuid pakkumuste hinna ja kvaliteedi hindamiseks kasutatakse hindamiskriteeriume; märgib kahetsusega, et mõlemal juhul hindas asutus lepingute maksimaalset maksumust üle, mis tulenes puudustest enne hankemenetluste algatamist tehtud turuhindade uurimises;</w:t>
      </w:r>
    </w:p>
    <w:p w:rsidR="00BA23AD" w:rsidRPr="002F1100" w:rsidRDefault="00BA23AD" w:rsidP="00BA23AD">
      <w:pPr>
        <w:widowControl/>
        <w:spacing w:after="240"/>
        <w:ind w:left="567" w:hanging="567"/>
        <w:rPr>
          <w:szCs w:val="24"/>
        </w:rPr>
      </w:pPr>
      <w:r w:rsidRPr="002F1100">
        <w:t>22.</w:t>
      </w:r>
      <w:r w:rsidRPr="002F1100">
        <w:tab/>
        <w:t>võtab teadmiseks, et kontrollikoja andmetel on 2021. aastal teatatud kahte eraldi läbirääkimistega hankemenetlust mõjutanud hankepuudujäägid kõrvaldatud, kuna asutus kasutab nüüd komisjoni vorme, viies seeläbi oma menetlused kooskõlla kontrollikoja tähelepanekuga;</w:t>
      </w:r>
    </w:p>
    <w:p w:rsidR="00BA23AD" w:rsidRPr="002F1100" w:rsidRDefault="00BA23AD" w:rsidP="00BA23AD">
      <w:pPr>
        <w:widowControl/>
        <w:spacing w:after="240"/>
        <w:ind w:left="567" w:hanging="567"/>
        <w:rPr>
          <w:szCs w:val="24"/>
        </w:rPr>
      </w:pPr>
      <w:r w:rsidRPr="002F1100">
        <w:t>23.</w:t>
      </w:r>
      <w:r w:rsidRPr="002F1100">
        <w:tab/>
        <w:t>rõhutab, et alates eelarveaastast 2020 on kontrollikoda esitanud igal aastal uusi hangetega seotud tähelepanekuid nelja ameti, sealhulgas asutuse kohta; tuletab meelde, et riigihanke-eeskirjade eesmärk on võimaldada hankijatel saada vajalikke kaupu ja teenuseid parima hinnaga, tagades samal ajal pakkujate vahelise ausa konkurentsi ning läbipaistvuse, proportsionaalsuse, võrdse kohtlemise ja mittediskrimineerimise põhimõtete järgimise; kutsub asutust üles tagama kohaldatavate hanke-eeskirjade täieliku järgimise, et saavutada parim võimalik kulutõhusus;</w:t>
      </w:r>
    </w:p>
    <w:p w:rsidR="00BA23AD" w:rsidRPr="002F1100" w:rsidRDefault="00BA23AD" w:rsidP="00BA23AD">
      <w:pPr>
        <w:widowControl/>
        <w:spacing w:after="240"/>
        <w:ind w:left="567" w:hanging="567"/>
        <w:rPr>
          <w:b/>
          <w:i/>
          <w:szCs w:val="24"/>
        </w:rPr>
      </w:pPr>
      <w:proofErr w:type="spellStart"/>
      <w:r w:rsidRPr="002F1100">
        <w:rPr>
          <w:b/>
          <w:i/>
        </w:rPr>
        <w:t>Sisekontroll</w:t>
      </w:r>
      <w:proofErr w:type="spellEnd"/>
    </w:p>
    <w:p w:rsidR="00BA23AD" w:rsidRPr="002F1100" w:rsidRDefault="00BA23AD" w:rsidP="00BA23AD">
      <w:pPr>
        <w:widowControl/>
        <w:spacing w:after="240"/>
        <w:ind w:left="567" w:hanging="567"/>
        <w:rPr>
          <w:szCs w:val="24"/>
        </w:rPr>
      </w:pPr>
      <w:r w:rsidRPr="002F1100">
        <w:t>24.</w:t>
      </w:r>
      <w:r w:rsidRPr="002F1100">
        <w:tab/>
        <w:t xml:space="preserve">tuletab meelde, et asutus alustas 2021. aastal tööd spetsiaalse </w:t>
      </w:r>
      <w:proofErr w:type="spellStart"/>
      <w:r w:rsidRPr="002F1100">
        <w:t>riskijuhtimispartneriga</w:t>
      </w:r>
      <w:proofErr w:type="spellEnd"/>
      <w:r w:rsidRPr="002F1100">
        <w:t xml:space="preserve">, et parandada asutuse praeguse </w:t>
      </w:r>
      <w:proofErr w:type="spellStart"/>
      <w:r w:rsidRPr="002F1100">
        <w:t>riskijuhtimisprogrammi</w:t>
      </w:r>
      <w:proofErr w:type="spellEnd"/>
      <w:r w:rsidRPr="002F1100">
        <w:t xml:space="preserve"> </w:t>
      </w:r>
      <w:proofErr w:type="spellStart"/>
      <w:r w:rsidRPr="002F1100">
        <w:t>kokkusobivust</w:t>
      </w:r>
      <w:proofErr w:type="spellEnd"/>
      <w:r w:rsidRPr="002F1100">
        <w:t xml:space="preserve"> COSO ettevõtte riskijuhtimise raamistikuga, ning jätkas seda tööd 2022. aastal; märgib, et sisekontrolli edasiseks tugevdamiseks kavatseb asutus integreerida oma </w:t>
      </w:r>
      <w:proofErr w:type="spellStart"/>
      <w:r w:rsidRPr="002F1100">
        <w:t>riskijuhtimisprogrammi</w:t>
      </w:r>
      <w:proofErr w:type="spellEnd"/>
      <w:r w:rsidRPr="002F1100">
        <w:t xml:space="preserve"> COSO ettevõtte riskijuhtimise raamistikku, intensiivistada eetikaga seotud tegevusi ja pakkuda 2023. aastal kohandatud </w:t>
      </w:r>
      <w:proofErr w:type="spellStart"/>
      <w:r w:rsidRPr="002F1100">
        <w:t>sisekontrollikoolitust</w:t>
      </w:r>
      <w:proofErr w:type="spellEnd"/>
      <w:r w:rsidRPr="002F1100">
        <w:t xml:space="preserve">, et säilitada ja suurendada üldise </w:t>
      </w:r>
      <w:proofErr w:type="spellStart"/>
      <w:r w:rsidRPr="002F1100">
        <w:t>sisekontrollisüsteemi</w:t>
      </w:r>
      <w:proofErr w:type="spellEnd"/>
      <w:r w:rsidRPr="002F1100">
        <w:t xml:space="preserve"> tõhusust;</w:t>
      </w:r>
    </w:p>
    <w:p w:rsidR="00BA23AD" w:rsidRPr="002F1100" w:rsidRDefault="00BA23AD" w:rsidP="00BA23AD">
      <w:pPr>
        <w:widowControl/>
        <w:spacing w:after="240"/>
        <w:ind w:left="567" w:hanging="567"/>
        <w:rPr>
          <w:szCs w:val="24"/>
        </w:rPr>
      </w:pPr>
      <w:r w:rsidRPr="002F1100">
        <w:t>25.</w:t>
      </w:r>
      <w:r w:rsidRPr="002F1100">
        <w:tab/>
        <w:t>märgib, et kontrollikoja andmetel on 2021. aastal teatatud sisekontrolli puudused, mis mõjutavad töölevõtmismenetlusi, parandatud, kuna asutus on oma menetlusi vastavalt muutnud;</w:t>
      </w:r>
    </w:p>
    <w:p w:rsidR="00BA23AD" w:rsidRPr="002F1100" w:rsidRDefault="00BA23AD" w:rsidP="00BA23AD">
      <w:pPr>
        <w:widowControl/>
        <w:spacing w:after="240"/>
        <w:ind w:left="567" w:hanging="567"/>
        <w:rPr>
          <w:b/>
          <w:i/>
          <w:szCs w:val="24"/>
        </w:rPr>
      </w:pPr>
      <w:r w:rsidRPr="002F1100">
        <w:rPr>
          <w:b/>
          <w:i/>
        </w:rPr>
        <w:t>Muud kommentaarid</w:t>
      </w:r>
    </w:p>
    <w:p w:rsidR="00BA23AD" w:rsidRPr="002F1100" w:rsidRDefault="00BA23AD" w:rsidP="00BA23AD">
      <w:pPr>
        <w:widowControl/>
        <w:spacing w:after="240"/>
        <w:ind w:left="567" w:hanging="567"/>
        <w:rPr>
          <w:szCs w:val="24"/>
        </w:rPr>
      </w:pPr>
      <w:r w:rsidRPr="002F1100">
        <w:t>26.</w:t>
      </w:r>
      <w:r w:rsidRPr="002F1100">
        <w:tab/>
        <w:t>väljendab heameelt selle üle, et asutus jätkas 2022. aastal oma töö ja tulemuste edendamist mitmete sidekanalite kaudu, nagu ettevõtte veebisait, pressiintervjuud ja sotsiaalmeediaplatvormid; märgib, et asutus suurendas ka dünaamiliste andmete visualiseerimiste arvu, mille eesmärk oli esitada suures koguses andmeid põhjalikumalt ja arusaadavamalt, ning avaldas 149 pressiteadet ja uudist, edendas oma tööd ajakirjanduses ja meedias, viis läbi 74 intervjuud ja infotunde ajakirjandusega ning vastas 706 päringule e-posti teel;</w:t>
      </w:r>
    </w:p>
    <w:p w:rsidR="00BA23AD" w:rsidRPr="002F1100" w:rsidRDefault="00BA23AD" w:rsidP="00BA23AD">
      <w:pPr>
        <w:pStyle w:val="NormalHanging12a"/>
        <w:widowControl/>
      </w:pPr>
      <w:r w:rsidRPr="002F1100">
        <w:t>27.</w:t>
      </w:r>
      <w:r w:rsidRPr="002F1100">
        <w:tab/>
        <w:t>väljendab heameelt selle üle, et 2022. aastal anti asutusele keskkonnajuhtimis- ja -auditeerimissüsteemi (EMAS) sertifikaat ning et ta saavutas edukalt oma 2022. aasta keskkonnaeesmärgid ja -sihid reisimise, energeetika, jäätmete, hangete ja põhitegevuse valdkonnas;</w:t>
      </w:r>
      <w:r w:rsidRPr="002F1100">
        <w:rPr>
          <w:color w:val="374151"/>
        </w:rPr>
        <w:t xml:space="preserve"> </w:t>
      </w:r>
      <w:r w:rsidRPr="002F1100">
        <w:t>rõhutab, et nende saavutuste hulka kuulub reisimisega seotud tegevuste vähendamine vähemalt 50 % võrra, hoonete energiatarbimise vähendamine 10 % võrra, kohustus võtta ringlusse vähemalt 70 % jäätmetest ning keskkonnamõju arvestamine 100 % asutuse sõlmitud lepingute puhul;</w:t>
      </w:r>
    </w:p>
    <w:p w:rsidR="00BA23AD" w:rsidRPr="002F1100" w:rsidRDefault="00BA23AD" w:rsidP="00BA23AD">
      <w:pPr>
        <w:pStyle w:val="NormalHanging12a"/>
        <w:widowControl/>
      </w:pPr>
      <w:r w:rsidRPr="002F1100">
        <w:lastRenderedPageBreak/>
        <w:t>28.</w:t>
      </w:r>
      <w:r w:rsidRPr="002F1100">
        <w:tab/>
        <w:t>tunnustab asutust kohustuse eest vähendada 2022. aastal energiatarbimist 10 % (võrreldes 2019. aastaga); juhib tähelepanu asjaolule, et selle eesmärgi saavutamiseks on asutus võtnud kasutusele selliseid meetmeid nagu küttegraafikute muutmine ja termostaatide seadepunktide temperatuuride alandamine, energiavarustuse täielik üleviimine taastuvatele energiaallikatele, arvestite igapäevane jälgimine, et hinnata võetud meetmete tulemusi, ning töötajate energiasäästualase teadlikkuse suurendamise kampaania korraldamine; märgib, et 2022. aasta lõpuks vähendati energiatarbimist (võrreldes 2019. aastaga) 16,4 %;</w:t>
      </w:r>
    </w:p>
    <w:p w:rsidR="00606CAB" w:rsidRPr="002F1100" w:rsidRDefault="00606CAB" w:rsidP="00606CAB">
      <w:pPr>
        <w:keepLines/>
        <w:spacing w:before="100" w:beforeAutospacing="1" w:after="100" w:afterAutospacing="1"/>
        <w:jc w:val="center"/>
      </w:pPr>
      <w:r w:rsidRPr="002F1100">
        <w:rPr>
          <w:noProof/>
        </w:rPr>
        <w:t>o</w:t>
      </w:r>
      <w:r w:rsidRPr="002F1100">
        <w:rPr>
          <w:noProof/>
        </w:rPr>
        <w:br/>
        <w:t>o   o</w:t>
      </w:r>
    </w:p>
    <w:p w:rsidR="00E365E1" w:rsidRPr="002F1100" w:rsidRDefault="00BA23AD" w:rsidP="00543195">
      <w:pPr>
        <w:pStyle w:val="NormalHanging12a"/>
      </w:pPr>
      <w:r w:rsidRPr="002F1100">
        <w:t>29.</w:t>
      </w:r>
      <w:r w:rsidRPr="002F1100">
        <w:tab/>
        <w:t xml:space="preserve">viitab eelarve täitmisele heakskiidu andmise otsusele lisatud muude horisontaalsete tähelepanekute osas oma </w:t>
      </w:r>
      <w:r w:rsidR="00606CAB" w:rsidRPr="002F1100">
        <w:t>11. </w:t>
      </w:r>
      <w:r w:rsidRPr="002F1100">
        <w:t>aprilli 2024. aasta resolutsioonile</w:t>
      </w:r>
      <w:r w:rsidRPr="002F1100">
        <w:rPr>
          <w:vertAlign w:val="superscript"/>
        </w:rPr>
        <w:footnoteReference w:id="15"/>
      </w:r>
      <w:r w:rsidRPr="002F1100">
        <w:t xml:space="preserve"> ametite tulemuste, finantsjuhtimise ja kontrolli kohta.</w:t>
      </w:r>
      <w:bookmarkStart w:id="11" w:name="TextBodyEnd"/>
      <w:bookmarkEnd w:id="11"/>
    </w:p>
    <w:sectPr w:rsidR="00E365E1" w:rsidRPr="002F1100" w:rsidSect="00177CC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FE3" w:rsidRPr="00177CC6" w:rsidRDefault="00DD0FE3">
      <w:r w:rsidRPr="00177CC6">
        <w:separator/>
      </w:r>
    </w:p>
  </w:endnote>
  <w:endnote w:type="continuationSeparator" w:id="0">
    <w:p w:rsidR="00DD0FE3" w:rsidRPr="00177CC6" w:rsidRDefault="00DD0FE3">
      <w:r w:rsidRPr="00177C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AD" w:rsidRPr="00177CC6" w:rsidRDefault="00BA23AD" w:rsidP="007D69BE">
    <w:pPr>
      <w:pStyle w:val="EPFooter"/>
    </w:pPr>
    <w:r w:rsidRPr="00177CC6">
      <w:t>PE</w:t>
    </w:r>
    <w:r w:rsidRPr="00177CC6">
      <w:rPr>
        <w:rStyle w:val="HideTWBExt"/>
      </w:rPr>
      <w:t>&lt;</w:t>
    </w:r>
    <w:proofErr w:type="spellStart"/>
    <w:r w:rsidRPr="00177CC6">
      <w:rPr>
        <w:rStyle w:val="HideTWBExt"/>
      </w:rPr>
      <w:t>NoPE</w:t>
    </w:r>
    <w:proofErr w:type="spellEnd"/>
    <w:r w:rsidRPr="00177CC6">
      <w:rPr>
        <w:rStyle w:val="HideTWBExt"/>
      </w:rPr>
      <w:t>&gt;</w:t>
    </w:r>
    <w:r w:rsidRPr="00177CC6">
      <w:t>753.513</w:t>
    </w:r>
    <w:r w:rsidRPr="00177CC6">
      <w:rPr>
        <w:rStyle w:val="HideTWBExt"/>
      </w:rPr>
      <w:t>&lt;/</w:t>
    </w:r>
    <w:proofErr w:type="spellStart"/>
    <w:r w:rsidRPr="00177CC6">
      <w:rPr>
        <w:rStyle w:val="HideTWBExt"/>
      </w:rPr>
      <w:t>NoPE</w:t>
    </w:r>
    <w:proofErr w:type="spellEnd"/>
    <w:r w:rsidRPr="00177CC6">
      <w:rPr>
        <w:rStyle w:val="HideTWBExt"/>
      </w:rPr>
      <w:t>&gt;&lt;Version&gt;</w:t>
    </w:r>
    <w:r w:rsidRPr="00177CC6">
      <w:t>v02-00</w:t>
    </w:r>
    <w:r w:rsidRPr="00177CC6">
      <w:rPr>
        <w:rStyle w:val="HideTWBExt"/>
      </w:rPr>
      <w:t>&lt;/</w:t>
    </w:r>
    <w:proofErr w:type="spellStart"/>
    <w:r w:rsidRPr="00177CC6">
      <w:rPr>
        <w:rStyle w:val="HideTWBExt"/>
      </w:rPr>
      <w:t>Version</w:t>
    </w:r>
    <w:proofErr w:type="spellEnd"/>
    <w:r w:rsidRPr="00177CC6">
      <w:rPr>
        <w:rStyle w:val="HideTWBExt"/>
      </w:rPr>
      <w:t>&gt;</w:t>
    </w:r>
    <w:r w:rsidRPr="00177CC6">
      <w:tab/>
    </w:r>
    <w:r w:rsidRPr="00177CC6">
      <w:fldChar w:fldCharType="begin"/>
    </w:r>
    <w:r w:rsidRPr="00177CC6">
      <w:instrText xml:space="preserve"> PAGE  \* MERGEFORMAT </w:instrText>
    </w:r>
    <w:r w:rsidRPr="00177CC6">
      <w:fldChar w:fldCharType="separate"/>
    </w:r>
    <w:r w:rsidR="00177CC6" w:rsidRPr="00177CC6">
      <w:rPr>
        <w:noProof/>
      </w:rPr>
      <w:t>2</w:t>
    </w:r>
    <w:r w:rsidRPr="00177CC6">
      <w:fldChar w:fldCharType="end"/>
    </w:r>
    <w:r w:rsidRPr="00177CC6">
      <w:t>/</w:t>
    </w:r>
    <w:fldSimple w:instr=" NUMPAGES  \* MERGEFORMAT ">
      <w:r w:rsidR="00177CC6" w:rsidRPr="00177CC6">
        <w:rPr>
          <w:noProof/>
        </w:rPr>
        <w:t>4</w:t>
      </w:r>
    </w:fldSimple>
    <w:r w:rsidRPr="00177CC6">
      <w:tab/>
    </w:r>
    <w:r w:rsidRPr="00177CC6">
      <w:rPr>
        <w:rStyle w:val="HideTWBExt"/>
      </w:rPr>
      <w:t>&lt;PathFdR&gt;</w:t>
    </w:r>
    <w:r w:rsidRPr="00177CC6">
      <w:t>RR\1298889ET.docx</w:t>
    </w:r>
    <w:r w:rsidRPr="00177CC6">
      <w:rPr>
        <w:rStyle w:val="HideTWBExt"/>
      </w:rPr>
      <w:t>&lt;/</w:t>
    </w:r>
    <w:proofErr w:type="spellStart"/>
    <w:r w:rsidRPr="00177CC6">
      <w:rPr>
        <w:rStyle w:val="HideTWBExt"/>
      </w:rPr>
      <w:t>PathFdR</w:t>
    </w:r>
    <w:proofErr w:type="spellEnd"/>
    <w:r w:rsidRPr="00177CC6">
      <w:rPr>
        <w:rStyle w:val="HideTWBExt"/>
      </w:rPr>
      <w:t>&gt;</w:t>
    </w:r>
  </w:p>
  <w:p w:rsidR="00BA23AD" w:rsidRPr="00177CC6" w:rsidRDefault="00BA23AD" w:rsidP="007D69BE">
    <w:pPr>
      <w:pStyle w:val="EPFooter2"/>
    </w:pPr>
    <w:r w:rsidRPr="00177CC6">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AD" w:rsidRPr="00177CC6" w:rsidRDefault="00BA23AD" w:rsidP="007D69B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AD" w:rsidRPr="00177CC6" w:rsidRDefault="00BA23AD" w:rsidP="007D69BE">
    <w:pPr>
      <w:pStyle w:val="EPFooter"/>
    </w:pPr>
    <w:r w:rsidRPr="00177CC6">
      <w:rPr>
        <w:rStyle w:val="HideTWBExt"/>
      </w:rPr>
      <w:t>&lt;PathFdR&gt;</w:t>
    </w:r>
    <w:r w:rsidRPr="00177CC6">
      <w:t>RR\1298889ET.docx</w:t>
    </w:r>
    <w:r w:rsidRPr="00177CC6">
      <w:rPr>
        <w:rStyle w:val="HideTWBExt"/>
      </w:rPr>
      <w:t>&lt;/</w:t>
    </w:r>
    <w:proofErr w:type="spellStart"/>
    <w:r w:rsidRPr="00177CC6">
      <w:rPr>
        <w:rStyle w:val="HideTWBExt"/>
      </w:rPr>
      <w:t>PathFdR</w:t>
    </w:r>
    <w:proofErr w:type="spellEnd"/>
    <w:r w:rsidRPr="00177CC6">
      <w:rPr>
        <w:rStyle w:val="HideTWBExt"/>
      </w:rPr>
      <w:t>&gt;</w:t>
    </w:r>
    <w:r w:rsidRPr="00177CC6">
      <w:tab/>
    </w:r>
    <w:r w:rsidRPr="00177CC6">
      <w:tab/>
      <w:t>PE</w:t>
    </w:r>
    <w:r w:rsidRPr="00177CC6">
      <w:rPr>
        <w:rStyle w:val="HideTWBExt"/>
      </w:rPr>
      <w:t>&lt;</w:t>
    </w:r>
    <w:proofErr w:type="spellStart"/>
    <w:r w:rsidRPr="00177CC6">
      <w:rPr>
        <w:rStyle w:val="HideTWBExt"/>
      </w:rPr>
      <w:t>NoPE</w:t>
    </w:r>
    <w:proofErr w:type="spellEnd"/>
    <w:r w:rsidRPr="00177CC6">
      <w:rPr>
        <w:rStyle w:val="HideTWBExt"/>
      </w:rPr>
      <w:t>&gt;</w:t>
    </w:r>
    <w:r w:rsidRPr="00177CC6">
      <w:t>753.513</w:t>
    </w:r>
    <w:r w:rsidRPr="00177CC6">
      <w:rPr>
        <w:rStyle w:val="HideTWBExt"/>
      </w:rPr>
      <w:t>&lt;/</w:t>
    </w:r>
    <w:proofErr w:type="spellStart"/>
    <w:r w:rsidRPr="00177CC6">
      <w:rPr>
        <w:rStyle w:val="HideTWBExt"/>
      </w:rPr>
      <w:t>NoPE</w:t>
    </w:r>
    <w:proofErr w:type="spellEnd"/>
    <w:r w:rsidRPr="00177CC6">
      <w:rPr>
        <w:rStyle w:val="HideTWBExt"/>
      </w:rPr>
      <w:t>&gt;&lt;Version&gt;</w:t>
    </w:r>
    <w:r w:rsidRPr="00177CC6">
      <w:t>v02-00</w:t>
    </w:r>
    <w:r w:rsidRPr="00177CC6">
      <w:rPr>
        <w:rStyle w:val="HideTWBExt"/>
      </w:rPr>
      <w:t>&lt;/</w:t>
    </w:r>
    <w:proofErr w:type="spellStart"/>
    <w:r w:rsidRPr="00177CC6">
      <w:rPr>
        <w:rStyle w:val="HideTWBExt"/>
      </w:rPr>
      <w:t>Version</w:t>
    </w:r>
    <w:proofErr w:type="spellEnd"/>
    <w:r w:rsidRPr="00177CC6">
      <w:rPr>
        <w:rStyle w:val="HideTWBExt"/>
      </w:rPr>
      <w:t>&gt;</w:t>
    </w:r>
  </w:p>
  <w:p w:rsidR="00BA23AD" w:rsidRPr="00177CC6" w:rsidRDefault="00BA23AD" w:rsidP="007D69BE">
    <w:pPr>
      <w:pStyle w:val="EPFooter2"/>
    </w:pPr>
    <w:r w:rsidRPr="00177CC6">
      <w:t>ET</w:t>
    </w:r>
    <w:r w:rsidRPr="00177CC6">
      <w:tab/>
    </w:r>
    <w:r w:rsidRPr="00177CC6">
      <w:rPr>
        <w:b w:val="0"/>
        <w:i/>
        <w:color w:val="C0C0C0"/>
        <w:sz w:val="22"/>
      </w:rPr>
      <w:t>Ühinenud mitmekesisuses</w:t>
    </w:r>
    <w:r w:rsidRPr="00177CC6">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7CC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7CC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7C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FE3" w:rsidRPr="00177CC6" w:rsidRDefault="00DD0FE3">
      <w:r w:rsidRPr="00177CC6">
        <w:separator/>
      </w:r>
    </w:p>
  </w:footnote>
  <w:footnote w:type="continuationSeparator" w:id="0">
    <w:p w:rsidR="00DD0FE3" w:rsidRPr="00177CC6" w:rsidRDefault="00DD0FE3">
      <w:r w:rsidRPr="00177CC6">
        <w:continuationSeparator/>
      </w:r>
    </w:p>
  </w:footnote>
  <w:footnote w:id="1">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C, C/2023/594, 27.10.2023.</w:t>
      </w:r>
    </w:p>
  </w:footnote>
  <w:footnote w:id="2">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C, C/2023/112, 12.10.2023.</w:t>
      </w:r>
    </w:p>
  </w:footnote>
  <w:footnote w:id="3">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L 193, 30.7.2018, lk 1.</w:t>
      </w:r>
    </w:p>
  </w:footnote>
  <w:footnote w:id="4">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L 331, 15.12.2010, lk 12.</w:t>
      </w:r>
    </w:p>
  </w:footnote>
  <w:footnote w:id="5">
    <w:p w:rsidR="00BA23AD" w:rsidRPr="00177CC6" w:rsidRDefault="00BA23AD" w:rsidP="00177CC6">
      <w:pPr>
        <w:pStyle w:val="FootnoteText"/>
        <w:ind w:left="567" w:hanging="567"/>
        <w:rPr>
          <w:sz w:val="24"/>
          <w:szCs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L 122, 10.5.2019, lk 1.</w:t>
      </w:r>
    </w:p>
  </w:footnote>
  <w:footnote w:id="6">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C, C/2023/594, 27.10.2023.</w:t>
      </w:r>
    </w:p>
  </w:footnote>
  <w:footnote w:id="7">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C, C/2023/112, 12.10.2023.</w:t>
      </w:r>
    </w:p>
  </w:footnote>
  <w:footnote w:id="8">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L 193, 30.7.2018, lk 1.</w:t>
      </w:r>
    </w:p>
  </w:footnote>
  <w:footnote w:id="9">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L 331, 15.12.2010, lk 12.</w:t>
      </w:r>
    </w:p>
  </w:footnote>
  <w:footnote w:id="10">
    <w:p w:rsidR="00BA23AD" w:rsidRPr="00177CC6" w:rsidRDefault="00BA23AD" w:rsidP="00177CC6">
      <w:pPr>
        <w:pStyle w:val="FootnoteText"/>
        <w:ind w:left="567" w:hanging="567"/>
        <w:rPr>
          <w:sz w:val="24"/>
          <w:szCs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L 122, 10.5.2019, lk 1.</w:t>
      </w:r>
    </w:p>
  </w:footnote>
  <w:footnote w:id="11">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ELT C 73, 28.2.2023, lk 102.</w:t>
      </w:r>
    </w:p>
  </w:footnote>
  <w:footnote w:id="12">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Euroopa Parlamendi ja nõukogu 14. detsembri 2022. aasta määrus (EL) 2022/2554, mis käsitleb finantssektori digitaalset tegevuskerksust ning millega muudetakse määrusi (EÜ) nr 1060/2009, (EL) nr 648/2012, (EL) nr 600/2014, (EL) nr 909/2014 ja (EL) 2016/1011 (ELT L 333, 27.12.2022, lk 1).</w:t>
      </w:r>
    </w:p>
  </w:footnote>
  <w:footnote w:id="13">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Euroopa Parlamendi ja nõukogu 14. detsembri 2022. aasta direktiiv (EL) 2022/2556, millega muudetakse direktiive 2009/65/EÜ, 2009/138/EÜ, 2011/61/EL, 2013/36/EL, 2014/59/EL, 2014/65/EL, (EL) 2015/2366 ja (EL) 2016/2341 seoses finantssektori digitaalse tegevuskerksusega (ELT L 333, 27.12.2022, lk 153).</w:t>
      </w:r>
    </w:p>
  </w:footnote>
  <w:footnote w:id="14">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 xml:space="preserve">Euroopa Parlamendi ja nõukogu 31. mai 2023. aasta määrus (EL) 2023/1114, mis käsitleb </w:t>
      </w:r>
      <w:proofErr w:type="spellStart"/>
      <w:r w:rsidRPr="00177CC6">
        <w:rPr>
          <w:sz w:val="24"/>
          <w:lang w:val="et-EE"/>
        </w:rPr>
        <w:t>krüptovaraturge</w:t>
      </w:r>
      <w:proofErr w:type="spellEnd"/>
      <w:r w:rsidRPr="00177CC6">
        <w:rPr>
          <w:sz w:val="24"/>
          <w:lang w:val="et-EE"/>
        </w:rPr>
        <w:t xml:space="preserve"> ning millega muudetakse määrusi (EL) nr 1093/2010 ja (EL) nr 1095/2010 ning direktiive 2013/36/EL ja (EL) 2019/1937 (ELT L 150, 9.6.2023, lk 40).</w:t>
      </w:r>
    </w:p>
  </w:footnote>
  <w:footnote w:id="15">
    <w:p w:rsidR="00BA23AD" w:rsidRPr="00177CC6" w:rsidRDefault="00BA23AD" w:rsidP="00177CC6">
      <w:pPr>
        <w:pStyle w:val="FootnoteText"/>
        <w:ind w:left="567" w:hanging="567"/>
        <w:rPr>
          <w:sz w:val="24"/>
          <w:lang w:val="et-EE"/>
        </w:rPr>
      </w:pPr>
      <w:r w:rsidRPr="00177CC6">
        <w:rPr>
          <w:rStyle w:val="FootnoteReference"/>
          <w:sz w:val="24"/>
          <w:lang w:val="et-EE"/>
        </w:rPr>
        <w:footnoteRef/>
      </w:r>
      <w:r w:rsidR="00177CC6" w:rsidRPr="00177CC6">
        <w:rPr>
          <w:sz w:val="24"/>
          <w:lang w:val="et-EE"/>
        </w:rPr>
        <w:t xml:space="preserve"> </w:t>
      </w:r>
      <w:r w:rsidR="00177CC6" w:rsidRPr="00177CC6">
        <w:rPr>
          <w:sz w:val="24"/>
          <w:lang w:val="et-EE"/>
        </w:rPr>
        <w:tab/>
      </w:r>
      <w:r w:rsidRPr="00177CC6">
        <w:rPr>
          <w:sz w:val="24"/>
          <w:lang w:val="et-EE"/>
        </w:rPr>
        <w:t>Vastuvõetud tekstid, P9_TA(2024)0</w:t>
      </w:r>
      <w:r w:rsidR="00543195">
        <w:rPr>
          <w:sz w:val="24"/>
          <w:lang w:val="et-EE"/>
        </w:rPr>
        <w:t>280</w:t>
      </w:r>
      <w:bookmarkStart w:id="10" w:name="_GoBack"/>
      <w:bookmarkEnd w:id="10"/>
      <w:r w:rsidRPr="00177CC6">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AD" w:rsidRPr="00177CC6" w:rsidRDefault="00BA2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AD" w:rsidRPr="00177CC6" w:rsidRDefault="00BA23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AD" w:rsidRPr="00177CC6" w:rsidRDefault="00BA23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7CC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7CC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7C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ET"/>
    <w:docVar w:name="dvnumam" w:val="0"/>
    <w:docVar w:name="dvpe" w:val="753.513"/>
    <w:docVar w:name="dvrapporteur" w:val="Raportöör: "/>
    <w:docVar w:name="dvtitre" w:val="Euroopa Parlamendi .... 2024. aasta otsus Euroopa Pangandusjärelevalve 2022. aasta eelarve täitmisele heakskiidu andmise kohta(2023/2146(DEC))"/>
  </w:docVars>
  <w:rsids>
    <w:rsidRoot w:val="00DD0FE3"/>
    <w:rsid w:val="00002272"/>
    <w:rsid w:val="00064002"/>
    <w:rsid w:val="000677B9"/>
    <w:rsid w:val="000831BA"/>
    <w:rsid w:val="000A42CC"/>
    <w:rsid w:val="000E7DD9"/>
    <w:rsid w:val="0010095E"/>
    <w:rsid w:val="00125B37"/>
    <w:rsid w:val="00177CC6"/>
    <w:rsid w:val="00187494"/>
    <w:rsid w:val="001F32AE"/>
    <w:rsid w:val="002767FF"/>
    <w:rsid w:val="002B18FE"/>
    <w:rsid w:val="002B5493"/>
    <w:rsid w:val="002F1100"/>
    <w:rsid w:val="00343214"/>
    <w:rsid w:val="00361C00"/>
    <w:rsid w:val="003762FD"/>
    <w:rsid w:val="00395FA1"/>
    <w:rsid w:val="003E15D4"/>
    <w:rsid w:val="00411CCE"/>
    <w:rsid w:val="0041666E"/>
    <w:rsid w:val="00421060"/>
    <w:rsid w:val="00471C19"/>
    <w:rsid w:val="004867E3"/>
    <w:rsid w:val="00494A28"/>
    <w:rsid w:val="004C0004"/>
    <w:rsid w:val="004C5D52"/>
    <w:rsid w:val="0050519A"/>
    <w:rsid w:val="005072A1"/>
    <w:rsid w:val="00514517"/>
    <w:rsid w:val="00543195"/>
    <w:rsid w:val="00545827"/>
    <w:rsid w:val="00560270"/>
    <w:rsid w:val="005C2568"/>
    <w:rsid w:val="006037C0"/>
    <w:rsid w:val="00606CA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23A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FE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A4E6B"/>
  <w15:chartTrackingRefBased/>
  <w15:docId w15:val="{393E79A6-23D0-4B63-A215-24429EE5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23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23AD"/>
    <w:pPr>
      <w:spacing w:before="480" w:after="240"/>
    </w:pPr>
  </w:style>
  <w:style w:type="paragraph" w:customStyle="1" w:styleId="PageHeading">
    <w:name w:val="PageHeading"/>
    <w:basedOn w:val="Normal"/>
    <w:rsid w:val="00BA23AD"/>
    <w:pPr>
      <w:keepNext/>
      <w:spacing w:after="480"/>
      <w:jc w:val="center"/>
    </w:pPr>
    <w:rPr>
      <w:rFonts w:ascii="Arial" w:hAnsi="Arial" w:cs="Arial"/>
      <w:b/>
    </w:rPr>
  </w:style>
  <w:style w:type="paragraph" w:customStyle="1" w:styleId="NormalBold">
    <w:name w:val="NormalBold"/>
    <w:basedOn w:val="Normal"/>
    <w:rsid w:val="00BA23AD"/>
    <w:rPr>
      <w:b/>
    </w:rPr>
  </w:style>
  <w:style w:type="paragraph" w:customStyle="1" w:styleId="NormalHanging12a">
    <w:name w:val="NormalHanging12a"/>
    <w:basedOn w:val="Normal"/>
    <w:link w:val="NormalHanging12aChar"/>
    <w:rsid w:val="00BA23AD"/>
    <w:pPr>
      <w:spacing w:after="240"/>
      <w:ind w:left="567" w:hanging="567"/>
    </w:pPr>
  </w:style>
  <w:style w:type="paragraph" w:customStyle="1" w:styleId="NormalCenter12a">
    <w:name w:val="NormalCenter12a"/>
    <w:basedOn w:val="Normal"/>
    <w:rsid w:val="00BA23AD"/>
    <w:pPr>
      <w:spacing w:after="240"/>
      <w:jc w:val="center"/>
    </w:pPr>
  </w:style>
  <w:style w:type="paragraph" w:styleId="Header">
    <w:name w:val="header"/>
    <w:basedOn w:val="Normal"/>
    <w:link w:val="HeaderChar"/>
    <w:rsid w:val="00BA23AD"/>
    <w:pPr>
      <w:tabs>
        <w:tab w:val="center" w:pos="4513"/>
        <w:tab w:val="right" w:pos="9026"/>
      </w:tabs>
    </w:pPr>
  </w:style>
  <w:style w:type="character" w:customStyle="1" w:styleId="HeaderChar">
    <w:name w:val="Header Char"/>
    <w:basedOn w:val="DefaultParagraphFont"/>
    <w:link w:val="Header"/>
    <w:rsid w:val="00BA23AD"/>
    <w:rPr>
      <w:sz w:val="24"/>
      <w:lang w:val="et-EE"/>
    </w:rPr>
  </w:style>
  <w:style w:type="paragraph" w:customStyle="1" w:styleId="EPFooter">
    <w:name w:val="EPFooter"/>
    <w:basedOn w:val="Normal"/>
    <w:rsid w:val="00BA23AD"/>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BA23AD"/>
    <w:rPr>
      <w:sz w:val="24"/>
      <w:lang w:val="et-EE"/>
    </w:rPr>
  </w:style>
  <w:style w:type="paragraph" w:styleId="BalloonText">
    <w:name w:val="Balloon Text"/>
    <w:basedOn w:val="Normal"/>
    <w:link w:val="BalloonTextChar"/>
    <w:rsid w:val="00606CAB"/>
    <w:rPr>
      <w:rFonts w:ascii="Segoe UI" w:hAnsi="Segoe UI" w:cs="Segoe UI"/>
      <w:sz w:val="18"/>
      <w:szCs w:val="18"/>
    </w:rPr>
  </w:style>
  <w:style w:type="character" w:customStyle="1" w:styleId="BalloonTextChar">
    <w:name w:val="Balloon Text Char"/>
    <w:basedOn w:val="DefaultParagraphFont"/>
    <w:link w:val="BalloonText"/>
    <w:rsid w:val="00606CA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9FB3E-C181-4B34-BDB0-033215230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2453</Words>
  <Characters>18275</Characters>
  <Application>Microsoft Office Word</Application>
  <DocSecurity>0</DocSecurity>
  <Lines>152</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2024-05-15T08:51:00Z</dcterms:created>
  <dcterms:modified xsi:type="dcterms:W3CDTF">2024-05-15T08:51:00Z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P9_TA(2024)0262_</vt:lpwstr>
  </property>
  <property fmtid="{D5CDD505-2E9C-101B-9397-08002B2CF9AE}" pid="4" name="&lt;Type&gt;">
    <vt:lpwstr>RR</vt:lpwstr>
  </property>
</Properties>
</file>