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41C4" w:rsidTr="0010095E">
        <w:trPr>
          <w:trHeight w:hRule="exact" w:val="1418"/>
        </w:trPr>
        <w:tc>
          <w:tcPr>
            <w:tcW w:w="6804" w:type="dxa"/>
            <w:shd w:val="clear" w:color="auto" w:fill="auto"/>
            <w:vAlign w:val="center"/>
          </w:tcPr>
          <w:p w:rsidR="00751A4A" w:rsidRPr="007141C4" w:rsidRDefault="00A96830" w:rsidP="0010095E">
            <w:pPr>
              <w:pStyle w:val="EPName"/>
            </w:pPr>
            <w:r w:rsidRPr="007141C4">
              <w:t>Parlamentul European</w:t>
            </w:r>
          </w:p>
          <w:p w:rsidR="00751A4A" w:rsidRPr="007141C4" w:rsidRDefault="00817416" w:rsidP="00756632">
            <w:pPr>
              <w:pStyle w:val="EPTerm"/>
              <w:rPr>
                <w:rStyle w:val="HideTWBExt"/>
                <w:noProof w:val="0"/>
                <w:vanish w:val="0"/>
                <w:color w:val="auto"/>
              </w:rPr>
            </w:pPr>
            <w:r w:rsidRPr="007141C4">
              <w:t>2019-2024</w:t>
            </w:r>
          </w:p>
        </w:tc>
        <w:tc>
          <w:tcPr>
            <w:tcW w:w="2268" w:type="dxa"/>
            <w:shd w:val="clear" w:color="auto" w:fill="auto"/>
          </w:tcPr>
          <w:p w:rsidR="00751A4A" w:rsidRPr="007141C4" w:rsidRDefault="00187494" w:rsidP="0010095E">
            <w:pPr>
              <w:pStyle w:val="EPLogo"/>
            </w:pPr>
            <w:r w:rsidRPr="007141C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141C4" w:rsidRDefault="00D058B8" w:rsidP="004C5D52">
      <w:pPr>
        <w:pStyle w:val="LineTop"/>
      </w:pPr>
    </w:p>
    <w:p w:rsidR="00680577" w:rsidRPr="007141C4" w:rsidRDefault="00A96830" w:rsidP="00680577">
      <w:pPr>
        <w:pStyle w:val="EPBodyTA1"/>
      </w:pPr>
      <w:r w:rsidRPr="007141C4">
        <w:t>TEXTE ADOPTATE</w:t>
      </w:r>
    </w:p>
    <w:p w:rsidR="00D058B8" w:rsidRPr="007141C4" w:rsidRDefault="00D058B8" w:rsidP="00D058B8">
      <w:pPr>
        <w:pStyle w:val="LineBottom"/>
      </w:pPr>
    </w:p>
    <w:p w:rsidR="00A96830" w:rsidRPr="007141C4" w:rsidRDefault="00A96830" w:rsidP="00A96830">
      <w:pPr>
        <w:pStyle w:val="ATHeading1"/>
      </w:pPr>
      <w:bookmarkStart w:id="0" w:name="TANumber"/>
      <w:r w:rsidRPr="007141C4">
        <w:t>P9_TA(2024)</w:t>
      </w:r>
      <w:bookmarkEnd w:id="0"/>
      <w:r w:rsidR="00486F9D" w:rsidRPr="007141C4">
        <w:t>0262</w:t>
      </w:r>
    </w:p>
    <w:p w:rsidR="00A96830" w:rsidRPr="007141C4" w:rsidRDefault="00A96830" w:rsidP="00A96830">
      <w:pPr>
        <w:pStyle w:val="ATHeading2"/>
      </w:pPr>
      <w:bookmarkStart w:id="1" w:name="title"/>
      <w:r w:rsidRPr="007141C4">
        <w:t>Descărcarea de gestiune 2022: Autoritatea Bancară Europeană</w:t>
      </w:r>
      <w:bookmarkEnd w:id="1"/>
    </w:p>
    <w:p w:rsidR="00A96830" w:rsidRPr="007141C4" w:rsidRDefault="00A96830" w:rsidP="00A96830">
      <w:pPr>
        <w:rPr>
          <w:i/>
          <w:vanish/>
        </w:rPr>
      </w:pPr>
      <w:r w:rsidRPr="007141C4">
        <w:rPr>
          <w:i/>
        </w:rPr>
        <w:fldChar w:fldCharType="begin"/>
      </w:r>
      <w:r w:rsidRPr="007141C4">
        <w:rPr>
          <w:i/>
        </w:rPr>
        <w:instrText xml:space="preserve"> TC"(</w:instrText>
      </w:r>
      <w:bookmarkStart w:id="2" w:name="DocNumber"/>
      <w:r w:rsidRPr="007141C4">
        <w:rPr>
          <w:i/>
        </w:rPr>
        <w:instrText>A9-0111/2024</w:instrText>
      </w:r>
      <w:bookmarkEnd w:id="2"/>
      <w:r w:rsidRPr="007141C4">
        <w:rPr>
          <w:i/>
        </w:rPr>
        <w:instrText xml:space="preserve"> - Raportor: Petri </w:instrText>
      </w:r>
      <w:proofErr w:type="spellStart"/>
      <w:r w:rsidRPr="007141C4">
        <w:rPr>
          <w:i/>
        </w:rPr>
        <w:instrText>Sarvamaa</w:instrText>
      </w:r>
      <w:proofErr w:type="spellEnd"/>
      <w:r w:rsidRPr="007141C4">
        <w:rPr>
          <w:i/>
        </w:rPr>
        <w:instrText xml:space="preserve">)"\l3 \n&gt; \* MERGEFORMAT </w:instrText>
      </w:r>
      <w:r w:rsidRPr="007141C4">
        <w:rPr>
          <w:i/>
        </w:rPr>
        <w:fldChar w:fldCharType="end"/>
      </w:r>
    </w:p>
    <w:p w:rsidR="00A96830" w:rsidRPr="007141C4" w:rsidRDefault="00A96830" w:rsidP="00A96830">
      <w:pPr>
        <w:rPr>
          <w:vanish/>
        </w:rPr>
      </w:pPr>
      <w:bookmarkStart w:id="3" w:name="Commission"/>
      <w:r w:rsidRPr="007141C4">
        <w:rPr>
          <w:vanish/>
        </w:rPr>
        <w:t>Comisia pentru control bugetar</w:t>
      </w:r>
      <w:bookmarkEnd w:id="3"/>
    </w:p>
    <w:p w:rsidR="00A96830" w:rsidRPr="007141C4" w:rsidRDefault="00A96830" w:rsidP="00A96830">
      <w:pPr>
        <w:rPr>
          <w:vanish/>
        </w:rPr>
      </w:pPr>
      <w:bookmarkStart w:id="4" w:name="PE"/>
      <w:r w:rsidRPr="007141C4">
        <w:rPr>
          <w:vanish/>
        </w:rPr>
        <w:t>PE753.513</w:t>
      </w:r>
      <w:bookmarkEnd w:id="4"/>
    </w:p>
    <w:p w:rsidR="00A96830" w:rsidRPr="007141C4" w:rsidRDefault="00A96830" w:rsidP="00472167">
      <w:pPr>
        <w:pStyle w:val="ATHeading3"/>
      </w:pPr>
      <w:bookmarkStart w:id="5" w:name="Sujet"/>
      <w:r w:rsidRPr="007141C4">
        <w:t>1. Decizia Parlamentului European din 11 aprilie 2024 privind descărcarea de gestiune pentru execuția bugetului Autorității Bancare Europene aferent exercițiului financiar 2022</w:t>
      </w:r>
      <w:bookmarkEnd w:id="5"/>
      <w:r w:rsidRPr="007141C4">
        <w:t xml:space="preserve"> </w:t>
      </w:r>
      <w:bookmarkStart w:id="6" w:name="References"/>
      <w:r w:rsidRPr="007141C4">
        <w:t>(2023/2146(DEC))</w:t>
      </w:r>
      <w:bookmarkEnd w:id="6"/>
    </w:p>
    <w:p w:rsidR="00285073" w:rsidRPr="007141C4" w:rsidRDefault="00285073" w:rsidP="00285073">
      <w:pPr>
        <w:pStyle w:val="EPComma"/>
      </w:pPr>
      <w:bookmarkStart w:id="7" w:name="TextBodyBegin"/>
      <w:bookmarkEnd w:id="7"/>
      <w:r w:rsidRPr="007141C4">
        <w:rPr>
          <w:i/>
        </w:rPr>
        <w:t>Parlamentul European</w:t>
      </w:r>
      <w:r w:rsidRPr="007141C4">
        <w:t>,</w:t>
      </w:r>
    </w:p>
    <w:p w:rsidR="00285073" w:rsidRPr="007141C4" w:rsidRDefault="00285073" w:rsidP="00285073">
      <w:pPr>
        <w:pStyle w:val="NormalHanging12a"/>
      </w:pPr>
      <w:r w:rsidRPr="007141C4">
        <w:t>–</w:t>
      </w:r>
      <w:r w:rsidRPr="007141C4">
        <w:tab/>
        <w:t>având în vedere conturile anuale finale ale Autorității Bancare Europene pentru exercițiul financiar 2022,</w:t>
      </w:r>
    </w:p>
    <w:p w:rsidR="00285073" w:rsidRPr="007141C4" w:rsidRDefault="00285073" w:rsidP="00285073">
      <w:pPr>
        <w:pStyle w:val="NormalHanging12a"/>
      </w:pPr>
      <w:r w:rsidRPr="007141C4">
        <w:t>–</w:t>
      </w:r>
      <w:r w:rsidRPr="007141C4">
        <w:tab/>
        <w:t>având în vedere Raportul anual al Curții de Conturi privind agențiile UE pentru exercițiul financiar 2022, însoțit de răspunsurile agențiilor</w:t>
      </w:r>
      <w:r w:rsidRPr="007141C4">
        <w:rPr>
          <w:rStyle w:val="FootnoteReference"/>
        </w:rPr>
        <w:footnoteReference w:id="1"/>
      </w:r>
      <w:r w:rsidRPr="007141C4">
        <w:t>,</w:t>
      </w:r>
    </w:p>
    <w:p w:rsidR="00285073" w:rsidRPr="007141C4" w:rsidRDefault="00285073" w:rsidP="00285073">
      <w:pPr>
        <w:pStyle w:val="NormalHanging12a"/>
      </w:pPr>
      <w:r w:rsidRPr="007141C4">
        <w:t>–</w:t>
      </w:r>
      <w:r w:rsidRPr="007141C4">
        <w:tab/>
        <w:t>având în vedere declarația de asigurare</w:t>
      </w:r>
      <w:r w:rsidRPr="007141C4">
        <w:rPr>
          <w:rStyle w:val="FootnoteReference"/>
        </w:rPr>
        <w:footnoteReference w:id="2"/>
      </w:r>
      <w:r w:rsidRPr="007141C4">
        <w:t xml:space="preserve"> privind fiabilitatea conturilor și legalitatea și regularitatea operațiunilor subiacente întocmită de Curtea de Conturi pentru exercițiul 2022 în temeiul articolului 287 din Tratatul privind funcționarea Uniunii Europene,</w:t>
      </w:r>
    </w:p>
    <w:p w:rsidR="00285073" w:rsidRPr="007141C4" w:rsidRDefault="00285073" w:rsidP="00285073">
      <w:pPr>
        <w:pStyle w:val="NormalHanging12a"/>
      </w:pPr>
      <w:r w:rsidRPr="007141C4">
        <w:t>–</w:t>
      </w:r>
      <w:r w:rsidRPr="007141C4">
        <w:tab/>
        <w:t>având în vedere Recomandarea Consiliului din 22 februarie 2024 privind descărcarea de gestiune a Autorității în ceea ce privește execuția bugetară pentru exercițiul financiar 2022 (</w:t>
      </w:r>
      <w:r w:rsidR="006E4499" w:rsidRPr="007141C4">
        <w:t>06180/2024 – C9</w:t>
      </w:r>
      <w:r w:rsidR="006E4499" w:rsidRPr="007141C4">
        <w:noBreakHyphen/>
        <w:t>0084/2024</w:t>
      </w:r>
      <w:r w:rsidRPr="007141C4">
        <w:t>),</w:t>
      </w:r>
    </w:p>
    <w:p w:rsidR="00285073" w:rsidRPr="007141C4" w:rsidRDefault="00285073" w:rsidP="00285073">
      <w:pPr>
        <w:pStyle w:val="NormalHanging12a"/>
      </w:pPr>
      <w:r w:rsidRPr="007141C4">
        <w:t>–</w:t>
      </w:r>
      <w:r w:rsidRPr="007141C4">
        <w:tab/>
        <w:t>având în vedere articolul 319 din Tratatul privind funcționarea Uniunii Europene,</w:t>
      </w:r>
    </w:p>
    <w:p w:rsidR="00285073" w:rsidRPr="007141C4" w:rsidRDefault="00285073" w:rsidP="00285073">
      <w:pPr>
        <w:pStyle w:val="NormalHanging12a"/>
      </w:pPr>
      <w:r w:rsidRPr="007141C4">
        <w:t>–</w:t>
      </w:r>
      <w:r w:rsidRPr="007141C4">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7141C4">
        <w:rPr>
          <w:rStyle w:val="FootnoteReference"/>
        </w:rPr>
        <w:footnoteReference w:id="3"/>
      </w:r>
      <w:r w:rsidRPr="007141C4">
        <w:t>, în special articolul 70,</w:t>
      </w:r>
    </w:p>
    <w:p w:rsidR="00285073" w:rsidRPr="007141C4" w:rsidRDefault="00285073" w:rsidP="00285073">
      <w:pPr>
        <w:pStyle w:val="NormalHanging12a"/>
      </w:pPr>
      <w:r w:rsidRPr="007141C4">
        <w:t>–</w:t>
      </w:r>
      <w:r w:rsidRPr="007141C4">
        <w:tab/>
        <w:t xml:space="preserve">având în vedere Regulamentul (UE) nr. 1093/2010 al Parlamentului European și al Consiliului din 24 noiembrie 2010 de instituire a Autorității europene de supraveghere (Autoritatea bancară europeană), de modificare a Deciziei nr. 716/2009/CE și de </w:t>
      </w:r>
      <w:r w:rsidRPr="007141C4">
        <w:lastRenderedPageBreak/>
        <w:t>abrogare a Deciziei 2009/78/CE</w:t>
      </w:r>
      <w:r w:rsidRPr="007141C4">
        <w:rPr>
          <w:rStyle w:val="FootnoteReference"/>
        </w:rPr>
        <w:footnoteReference w:id="4"/>
      </w:r>
      <w:r w:rsidRPr="007141C4">
        <w:t xml:space="preserve"> a Comisiei, în special articolul 64,</w:t>
      </w:r>
    </w:p>
    <w:p w:rsidR="00285073" w:rsidRPr="007141C4" w:rsidRDefault="00285073" w:rsidP="00285073">
      <w:pPr>
        <w:pStyle w:val="NormalHanging12a"/>
      </w:pPr>
      <w:r w:rsidRPr="007141C4">
        <w:t>–</w:t>
      </w:r>
      <w:r w:rsidRPr="007141C4">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7141C4">
        <w:rPr>
          <w:rStyle w:val="FootnoteReference"/>
        </w:rPr>
        <w:footnoteReference w:id="5"/>
      </w:r>
      <w:r w:rsidRPr="007141C4">
        <w:t>, în special articolul 105,</w:t>
      </w:r>
    </w:p>
    <w:p w:rsidR="00285073" w:rsidRPr="007141C4" w:rsidRDefault="00285073" w:rsidP="00285073">
      <w:pPr>
        <w:pStyle w:val="NormalHanging12a"/>
      </w:pPr>
      <w:r w:rsidRPr="007141C4">
        <w:t>–</w:t>
      </w:r>
      <w:r w:rsidRPr="007141C4">
        <w:tab/>
        <w:t>având în vedere articolul 100 și anexa V la Regulamentul său de procedură,</w:t>
      </w:r>
    </w:p>
    <w:p w:rsidR="00285073" w:rsidRPr="007141C4" w:rsidRDefault="00285073" w:rsidP="00285073">
      <w:pPr>
        <w:pStyle w:val="NormalHanging12a"/>
      </w:pPr>
      <w:r w:rsidRPr="007141C4">
        <w:t>–</w:t>
      </w:r>
      <w:r w:rsidRPr="007141C4">
        <w:tab/>
        <w:t>având în vedere raportul Comisiei pentru control bugetar (A9-0111/2024),</w:t>
      </w:r>
    </w:p>
    <w:p w:rsidR="00285073" w:rsidRPr="007141C4" w:rsidRDefault="00285073" w:rsidP="00285073">
      <w:pPr>
        <w:pStyle w:val="NormalHanging12a"/>
      </w:pPr>
      <w:r w:rsidRPr="007141C4">
        <w:t>1.</w:t>
      </w:r>
      <w:r w:rsidRPr="007141C4">
        <w:tab/>
        <w:t>acordă directorului executiv al Autorității Bancare Europene descărcarea de gestiune pentru execuția bugetului Autorității aferent exercițiului financiar 2022;</w:t>
      </w:r>
    </w:p>
    <w:p w:rsidR="00285073" w:rsidRPr="007141C4" w:rsidRDefault="00285073" w:rsidP="00285073">
      <w:pPr>
        <w:pStyle w:val="NormalHanging12a"/>
      </w:pPr>
      <w:r w:rsidRPr="007141C4">
        <w:t>2.</w:t>
      </w:r>
      <w:r w:rsidRPr="007141C4">
        <w:tab/>
        <w:t>își prezintă observațiile în cadrul rezoluției de mai jos;</w:t>
      </w:r>
    </w:p>
    <w:p w:rsidR="00285073" w:rsidRPr="007141C4" w:rsidRDefault="00285073" w:rsidP="00285073">
      <w:pPr>
        <w:pStyle w:val="NormalHanging12a"/>
      </w:pPr>
      <w:r w:rsidRPr="007141C4">
        <w:t>3.</w:t>
      </w:r>
      <w:r w:rsidRPr="007141C4">
        <w:tab/>
        <w:t xml:space="preserve">încredințează Președintei sarcina de a transmite prezenta decizie împreună cu rezoluția Parlamentului, ca parte integrantă a acesteia, directorului executiv al Autorității Bancare Europene, Consiliului, Comisiei și Curții de Conturi și de a asigura publicarea acestora în </w:t>
      </w:r>
      <w:r w:rsidRPr="007141C4">
        <w:rPr>
          <w:i/>
        </w:rPr>
        <w:t>Jurnalul Oficial al Uniunii Europene</w:t>
      </w:r>
      <w:r w:rsidRPr="007141C4">
        <w:t xml:space="preserve"> (seria L).</w:t>
      </w:r>
    </w:p>
    <w:p w:rsidR="00285073" w:rsidRPr="007141C4" w:rsidRDefault="00285073" w:rsidP="00285073"/>
    <w:p w:rsidR="00285073" w:rsidRPr="007141C4" w:rsidRDefault="00285073" w:rsidP="00285073">
      <w:pPr>
        <w:widowControl/>
        <w:rPr>
          <w:rFonts w:ascii="Arial" w:hAnsi="Arial" w:cs="Arial"/>
          <w:b/>
        </w:rPr>
        <w:sectPr w:rsidR="00285073" w:rsidRPr="007141C4" w:rsidSect="00BB459F">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285073" w:rsidRPr="007141C4" w:rsidRDefault="00472167" w:rsidP="00472167">
      <w:pPr>
        <w:pStyle w:val="ATHeading3"/>
      </w:pPr>
      <w:r w:rsidRPr="007141C4">
        <w:lastRenderedPageBreak/>
        <w:t xml:space="preserve">2. Decizia Parlamentului European din 11 aprilie 2024 </w:t>
      </w:r>
      <w:r w:rsidR="00285073" w:rsidRPr="007141C4">
        <w:t>privind închiderea conturilor Autorității Bancare Europene pentru exercițiul financiar 2022</w:t>
      </w:r>
      <w:r w:rsidRPr="007141C4">
        <w:t xml:space="preserve"> </w:t>
      </w:r>
      <w:r w:rsidR="00285073" w:rsidRPr="007141C4">
        <w:t>(2023/2146(DEC))</w:t>
      </w:r>
    </w:p>
    <w:p w:rsidR="00285073" w:rsidRPr="007141C4" w:rsidRDefault="00285073" w:rsidP="00285073">
      <w:pPr>
        <w:pStyle w:val="EPComma"/>
      </w:pPr>
      <w:r w:rsidRPr="007141C4">
        <w:rPr>
          <w:i/>
        </w:rPr>
        <w:t>Parlamentul European</w:t>
      </w:r>
      <w:r w:rsidRPr="007141C4">
        <w:t>,</w:t>
      </w:r>
    </w:p>
    <w:p w:rsidR="00285073" w:rsidRPr="007141C4" w:rsidRDefault="00285073" w:rsidP="00285073">
      <w:pPr>
        <w:pStyle w:val="NormalHanging12a"/>
      </w:pPr>
      <w:r w:rsidRPr="007141C4">
        <w:t>–</w:t>
      </w:r>
      <w:r w:rsidRPr="007141C4">
        <w:tab/>
        <w:t>având în vedere conturile anuale finale ale Autorității Bancare Europene pentru exercițiul financiar 2022,</w:t>
      </w:r>
    </w:p>
    <w:p w:rsidR="00285073" w:rsidRPr="007141C4" w:rsidRDefault="00285073" w:rsidP="00285073">
      <w:pPr>
        <w:pStyle w:val="NormalHanging12a"/>
      </w:pPr>
      <w:r w:rsidRPr="007141C4">
        <w:t>–</w:t>
      </w:r>
      <w:r w:rsidRPr="007141C4">
        <w:tab/>
        <w:t>având în vedere Raportul anual al Curții de Conturi privind agențiile UE pentru exercițiul financiar 2022, însoțit de răspunsurile agențiilor</w:t>
      </w:r>
      <w:r w:rsidRPr="007141C4">
        <w:rPr>
          <w:rStyle w:val="FootnoteReference"/>
        </w:rPr>
        <w:footnoteReference w:id="6"/>
      </w:r>
      <w:r w:rsidRPr="007141C4">
        <w:t>,</w:t>
      </w:r>
    </w:p>
    <w:p w:rsidR="00285073" w:rsidRPr="007141C4" w:rsidRDefault="00285073" w:rsidP="00285073">
      <w:pPr>
        <w:pStyle w:val="NormalHanging12a"/>
      </w:pPr>
      <w:r w:rsidRPr="007141C4">
        <w:t>–</w:t>
      </w:r>
      <w:r w:rsidRPr="007141C4">
        <w:tab/>
        <w:t>având în vedere declarația de asigurare</w:t>
      </w:r>
      <w:r w:rsidRPr="007141C4">
        <w:rPr>
          <w:rStyle w:val="FootnoteReference"/>
        </w:rPr>
        <w:footnoteReference w:id="7"/>
      </w:r>
      <w:r w:rsidRPr="007141C4">
        <w:t xml:space="preserve"> privind fiabilitatea conturilor și legalitatea și regularitatea operațiunilor subiacente întocmită de Curtea de Conturi pentru exercițiul 2022 în temeiul articolului 287 din Tratatul privind funcționarea Uniunii Europene,</w:t>
      </w:r>
    </w:p>
    <w:p w:rsidR="00285073" w:rsidRPr="007141C4" w:rsidRDefault="00285073" w:rsidP="00285073">
      <w:pPr>
        <w:pStyle w:val="NormalHanging12a"/>
      </w:pPr>
      <w:r w:rsidRPr="007141C4">
        <w:t>–</w:t>
      </w:r>
      <w:r w:rsidRPr="007141C4">
        <w:tab/>
        <w:t>având în vedere Recomandarea Consiliului din 22 februarie 2024 privind descărcarea de gestiune a Autorității în ceea ce privește execuția bugetară pentru exercițiul financiar 2022 (</w:t>
      </w:r>
      <w:r w:rsidR="006E4499" w:rsidRPr="007141C4">
        <w:t>06180/2024 – C9</w:t>
      </w:r>
      <w:r w:rsidR="006E4499" w:rsidRPr="007141C4">
        <w:noBreakHyphen/>
        <w:t>0084/2024</w:t>
      </w:r>
      <w:r w:rsidRPr="007141C4">
        <w:t>),</w:t>
      </w:r>
    </w:p>
    <w:p w:rsidR="00285073" w:rsidRPr="007141C4" w:rsidRDefault="00285073" w:rsidP="00285073">
      <w:pPr>
        <w:pStyle w:val="NormalHanging12a"/>
      </w:pPr>
      <w:r w:rsidRPr="007141C4">
        <w:t>–</w:t>
      </w:r>
      <w:r w:rsidRPr="007141C4">
        <w:tab/>
        <w:t>având în vedere articolul 319 din Tratatul privind funcționarea Uniunii Europene,</w:t>
      </w:r>
    </w:p>
    <w:p w:rsidR="00285073" w:rsidRPr="007141C4" w:rsidRDefault="00285073" w:rsidP="00285073">
      <w:pPr>
        <w:pStyle w:val="NormalHanging12a"/>
      </w:pPr>
      <w:r w:rsidRPr="007141C4">
        <w:t>–</w:t>
      </w:r>
      <w:r w:rsidRPr="007141C4">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7141C4">
        <w:rPr>
          <w:rStyle w:val="FootnoteReference"/>
        </w:rPr>
        <w:footnoteReference w:id="8"/>
      </w:r>
      <w:r w:rsidRPr="007141C4">
        <w:t>, în special articolul 70,</w:t>
      </w:r>
    </w:p>
    <w:p w:rsidR="00285073" w:rsidRPr="007141C4" w:rsidRDefault="00285073" w:rsidP="00285073">
      <w:pPr>
        <w:pStyle w:val="NormalHanging12a"/>
      </w:pPr>
      <w:r w:rsidRPr="007141C4">
        <w:t>–</w:t>
      </w:r>
      <w:r w:rsidRPr="007141C4">
        <w:tab/>
        <w:t>având în vedere Regulamentul (UE) nr. 1093/2010 al Parlamentului European și al Consiliului din 24 noiembrie 2010 de instituire a Autorității europene de supraveghere (Autoritatea bancară europeană), de modificare a Deciziei nr. 716/2009/CE și de abrogare a Deciziei 2009/78/CE</w:t>
      </w:r>
      <w:r w:rsidRPr="007141C4">
        <w:rPr>
          <w:rStyle w:val="FootnoteReference"/>
        </w:rPr>
        <w:footnoteReference w:id="9"/>
      </w:r>
      <w:r w:rsidRPr="007141C4">
        <w:t xml:space="preserve"> a Comisiei, în special articolul 64,</w:t>
      </w:r>
    </w:p>
    <w:p w:rsidR="00285073" w:rsidRPr="007141C4" w:rsidRDefault="00285073" w:rsidP="00285073">
      <w:pPr>
        <w:pStyle w:val="NormalHanging12a"/>
      </w:pPr>
      <w:r w:rsidRPr="007141C4">
        <w:t>–</w:t>
      </w:r>
      <w:r w:rsidRPr="007141C4">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7141C4">
        <w:rPr>
          <w:rStyle w:val="FootnoteReference"/>
        </w:rPr>
        <w:footnoteReference w:id="10"/>
      </w:r>
      <w:r w:rsidRPr="007141C4">
        <w:t>, în special articolul 105,</w:t>
      </w:r>
    </w:p>
    <w:p w:rsidR="00285073" w:rsidRPr="007141C4" w:rsidRDefault="00285073" w:rsidP="00285073">
      <w:pPr>
        <w:pStyle w:val="NormalHanging12a"/>
      </w:pPr>
      <w:r w:rsidRPr="007141C4">
        <w:t>–</w:t>
      </w:r>
      <w:r w:rsidRPr="007141C4">
        <w:tab/>
        <w:t>având în vedere articolul 100 și anexa V la Regulamentul său de procedură,</w:t>
      </w:r>
    </w:p>
    <w:p w:rsidR="00285073" w:rsidRPr="007141C4" w:rsidRDefault="00285073" w:rsidP="00285073">
      <w:pPr>
        <w:pStyle w:val="NormalHanging12a"/>
      </w:pPr>
      <w:r w:rsidRPr="007141C4">
        <w:t>–</w:t>
      </w:r>
      <w:r w:rsidRPr="007141C4">
        <w:tab/>
        <w:t>având în vedere raportul Comisiei pentru control bugetar (A9-0111/2024),</w:t>
      </w:r>
    </w:p>
    <w:p w:rsidR="00285073" w:rsidRPr="007141C4" w:rsidRDefault="00285073" w:rsidP="00285073">
      <w:pPr>
        <w:pStyle w:val="NormalHanging12a"/>
      </w:pPr>
      <w:r w:rsidRPr="007141C4">
        <w:t>1.</w:t>
      </w:r>
      <w:r w:rsidRPr="007141C4">
        <w:tab/>
        <w:t>aprobă închiderea conturilor Autorității Bancare Europene pentru exercițiul financiar 2022;</w:t>
      </w:r>
    </w:p>
    <w:p w:rsidR="00285073" w:rsidRPr="007141C4" w:rsidRDefault="00285073" w:rsidP="00285073">
      <w:pPr>
        <w:pStyle w:val="NormalHanging12a"/>
      </w:pPr>
      <w:r w:rsidRPr="007141C4">
        <w:t>2.</w:t>
      </w:r>
      <w:r w:rsidRPr="007141C4">
        <w:tab/>
        <w:t xml:space="preserve">încredințează Președintei sarcina de a transmite prezenta decizie directorului executiv al </w:t>
      </w:r>
      <w:r w:rsidRPr="007141C4">
        <w:lastRenderedPageBreak/>
        <w:t xml:space="preserve">Autorității Bancare Europene, Consiliului, Comisiei și Curții de Conturi și de a asigura publicarea acesteia în </w:t>
      </w:r>
      <w:r w:rsidRPr="007141C4">
        <w:rPr>
          <w:i/>
        </w:rPr>
        <w:t>Jurnalul Oficial al Uniunii Europene</w:t>
      </w:r>
      <w:r w:rsidRPr="007141C4">
        <w:t xml:space="preserve"> (seria L).</w:t>
      </w:r>
    </w:p>
    <w:p w:rsidR="00285073" w:rsidRPr="007141C4" w:rsidRDefault="00285073" w:rsidP="00285073"/>
    <w:p w:rsidR="00285073" w:rsidRPr="007141C4" w:rsidRDefault="00285073" w:rsidP="00285073">
      <w:pPr>
        <w:widowControl/>
        <w:rPr>
          <w:rFonts w:ascii="Arial" w:hAnsi="Arial" w:cs="Arial"/>
          <w:b/>
        </w:rPr>
        <w:sectPr w:rsidR="00285073" w:rsidRPr="007141C4" w:rsidSect="00BB459F">
          <w:footnotePr>
            <w:numRestart w:val="eachPage"/>
          </w:footnotePr>
          <w:endnotePr>
            <w:numFmt w:val="decimal"/>
          </w:endnotePr>
          <w:pgSz w:w="11906" w:h="16838"/>
          <w:pgMar w:top="1134" w:right="1418" w:bottom="1418" w:left="1418" w:header="567" w:footer="567" w:gutter="0"/>
          <w:cols w:space="720"/>
          <w:docGrid w:linePitch="326"/>
        </w:sectPr>
      </w:pPr>
    </w:p>
    <w:p w:rsidR="00285073" w:rsidRPr="007141C4" w:rsidRDefault="00472167" w:rsidP="00472167">
      <w:pPr>
        <w:pStyle w:val="ATHeading3"/>
      </w:pPr>
      <w:r w:rsidRPr="007141C4">
        <w:lastRenderedPageBreak/>
        <w:t xml:space="preserve">3. Rezoluția Parlamentului European din 11 aprilie 2024 </w:t>
      </w:r>
      <w:r w:rsidR="00285073" w:rsidRPr="007141C4">
        <w:t>conținând observațiile care fac parte integrantă din decizia privind descărcarea de gestiune pentru execuția bugetului Autorității Bancare Europene aferent exercițiului financiar 2022</w:t>
      </w:r>
      <w:r w:rsidRPr="007141C4">
        <w:t xml:space="preserve"> </w:t>
      </w:r>
      <w:r w:rsidR="00285073" w:rsidRPr="007141C4">
        <w:t>(2023/2146(DEC))</w:t>
      </w:r>
    </w:p>
    <w:p w:rsidR="00285073" w:rsidRPr="007141C4" w:rsidRDefault="00285073" w:rsidP="00285073">
      <w:pPr>
        <w:pStyle w:val="EPComma"/>
      </w:pPr>
      <w:r w:rsidRPr="007141C4">
        <w:rPr>
          <w:i/>
        </w:rPr>
        <w:t>Parlamentul European</w:t>
      </w:r>
      <w:r w:rsidRPr="007141C4">
        <w:t>,</w:t>
      </w:r>
    </w:p>
    <w:p w:rsidR="00285073" w:rsidRPr="007141C4" w:rsidRDefault="00285073" w:rsidP="00285073">
      <w:pPr>
        <w:pStyle w:val="NormalHanging12a"/>
      </w:pPr>
      <w:r w:rsidRPr="007141C4">
        <w:t>–</w:t>
      </w:r>
      <w:r w:rsidRPr="007141C4">
        <w:tab/>
        <w:t>având în vedere decizia sa privind descărcarea de gestiune pentru execuția bugetului Autorității Bancare Europene aferent exercițiului financiar 2022,</w:t>
      </w:r>
    </w:p>
    <w:p w:rsidR="00285073" w:rsidRPr="007141C4" w:rsidRDefault="00285073" w:rsidP="00285073">
      <w:pPr>
        <w:pStyle w:val="NormalHanging12a"/>
      </w:pPr>
      <w:r w:rsidRPr="007141C4">
        <w:t>–</w:t>
      </w:r>
      <w:r w:rsidRPr="007141C4">
        <w:tab/>
        <w:t>având în vedere articolul 100 și anexa V la Regulamentul său de procedură,</w:t>
      </w:r>
    </w:p>
    <w:p w:rsidR="00285073" w:rsidRPr="007141C4" w:rsidRDefault="00285073" w:rsidP="00285073">
      <w:pPr>
        <w:pStyle w:val="NormalHanging12a"/>
      </w:pPr>
      <w:r w:rsidRPr="007141C4">
        <w:t>–</w:t>
      </w:r>
      <w:r w:rsidRPr="007141C4">
        <w:tab/>
        <w:t>având în vedere raportul Comisiei pentru control bugetar (A9-0111/2024),</w:t>
      </w:r>
    </w:p>
    <w:p w:rsidR="00285073" w:rsidRPr="007141C4" w:rsidRDefault="00285073" w:rsidP="00285073">
      <w:pPr>
        <w:widowControl/>
        <w:spacing w:after="240"/>
        <w:ind w:left="567" w:hanging="567"/>
        <w:rPr>
          <w:szCs w:val="24"/>
        </w:rPr>
      </w:pPr>
      <w:r w:rsidRPr="007141C4">
        <w:t>A.</w:t>
      </w:r>
      <w:r w:rsidRPr="007141C4">
        <w:tab/>
        <w:t>întrucât, potrivit declarației sale de venituri și cheltuieli</w:t>
      </w:r>
      <w:r w:rsidRPr="007141C4">
        <w:rPr>
          <w:rStyle w:val="FootnoteReference"/>
          <w:szCs w:val="24"/>
        </w:rPr>
        <w:footnoteReference w:id="11"/>
      </w:r>
      <w:r w:rsidRPr="007141C4">
        <w:t>, bugetul final al Autorității Bancare Europene (denumită în continuare „Autoritatea”) aferent exercițiului financiar 2022 a fost de 50 315 014 EUR; întrucât Autoritatea este finanțată, în principal, printr-o contribuție din partea Uniunii (18 685 999 EUR) și prin contribuții din partea autorităților naționale de supraveghere din statele membre și a observatorilor (31 629 015 EUR);</w:t>
      </w:r>
    </w:p>
    <w:p w:rsidR="00285073" w:rsidRPr="007141C4" w:rsidRDefault="00285073" w:rsidP="00285073">
      <w:pPr>
        <w:widowControl/>
        <w:spacing w:after="240"/>
        <w:ind w:left="567" w:hanging="567"/>
      </w:pPr>
      <w:r w:rsidRPr="007141C4">
        <w:t>B.</w:t>
      </w:r>
      <w:r w:rsidRPr="007141C4">
        <w:tab/>
        <w:t>întrucât Curtea de Conturi („Curtea”), în raportul său privind conturile anuale ale Autorității Bancare Europene pentru exercițiul financiar 2022 („raportul Curții”), declară că a obținut asigurări rezonabile cu privire la fiabilitatea conturilor anuale ale Autorității și cu privire la legalitatea și regularitatea operațiunilor subiacente,</w:t>
      </w:r>
    </w:p>
    <w:p w:rsidR="00285073" w:rsidRPr="007141C4" w:rsidRDefault="00285073" w:rsidP="00285073">
      <w:pPr>
        <w:widowControl/>
        <w:spacing w:after="240"/>
        <w:ind w:left="567" w:hanging="567"/>
        <w:rPr>
          <w:b/>
          <w:i/>
          <w:szCs w:val="24"/>
        </w:rPr>
      </w:pPr>
      <w:r w:rsidRPr="007141C4">
        <w:rPr>
          <w:b/>
          <w:i/>
        </w:rPr>
        <w:t>Gestiunea bugetară și financiară</w:t>
      </w:r>
    </w:p>
    <w:p w:rsidR="00285073" w:rsidRPr="007141C4" w:rsidRDefault="00285073" w:rsidP="00285073">
      <w:pPr>
        <w:pStyle w:val="NormalHanging12a"/>
        <w:widowControl/>
        <w:rPr>
          <w:szCs w:val="24"/>
        </w:rPr>
      </w:pPr>
      <w:r w:rsidRPr="007141C4">
        <w:t>1.</w:t>
      </w:r>
      <w:r w:rsidRPr="007141C4">
        <w:tab/>
        <w:t>constată cu satisfacție că eforturile de monitorizare a bugetului în cursul exercițiului financiar 2022 au avut ca rezultat o rată de execuție bugetară a creditelor de angajament aferente exercițiului actual de 99,56 %, ceea ce reprezintă o creștere de 1,05 % față de 2021; constată, de asemenea, că rata de execuție a creditelor de plată aferente exercițiului actual a fost de 87,00 %, ceea ce reprezintă o creștere de 3,00 % față de 2021;</w:t>
      </w:r>
    </w:p>
    <w:p w:rsidR="00285073" w:rsidRPr="007141C4" w:rsidRDefault="00285073" w:rsidP="00285073">
      <w:pPr>
        <w:widowControl/>
        <w:spacing w:after="240"/>
        <w:ind w:left="567" w:hanging="567"/>
        <w:rPr>
          <w:b/>
          <w:i/>
          <w:szCs w:val="24"/>
        </w:rPr>
      </w:pPr>
      <w:r w:rsidRPr="007141C4">
        <w:rPr>
          <w:b/>
          <w:i/>
        </w:rPr>
        <w:t>Performanța</w:t>
      </w:r>
    </w:p>
    <w:p w:rsidR="00285073" w:rsidRPr="007141C4" w:rsidRDefault="00285073" w:rsidP="00285073">
      <w:pPr>
        <w:pStyle w:val="NormalHanging12a"/>
        <w:widowControl/>
        <w:rPr>
          <w:szCs w:val="24"/>
        </w:rPr>
      </w:pPr>
      <w:r w:rsidRPr="007141C4">
        <w:t>2.</w:t>
      </w:r>
      <w:r w:rsidRPr="007141C4">
        <w:tab/>
        <w:t>salută faptul că Autoritatea continuă să utilizeze anumite măsuri ca indicatori-cheie de performanță pentru a-și evalua activitățile și rezultatele acestora, în vederea atingerii obiectivelor programului de lucru; observă că, pentru 2022, Autoritatea a stabilit pentru programul său de lucru cinci priorități verticale (de exemplu monitorizarea și actualizarea cadrului prudențial pentru supraveghere și rezoluție, revizuirea și consolidarea cadrului de simulări de criză la nivelul UE) și două priorități orizontale (asigurarea de instrumente pentru măsurarea și gestionarea riscurilor legate de mediu, sociale și de guvernanță, precum și monitorizarea și atenuarea impactului pandemiei de COVID-19); observă că, în 2022, Autoritatea a executat 95 % din cele aproximativ 250 de sarcini prevăzute în programul său de lucru, inclusiv 15 % din sarcinile care au trebuit să fie adăugate activității în cursul exercițiului; recunoaște, de asemenea, că aceasta reprezintă o îmbunătățire față de exercițiul precedent;</w:t>
      </w:r>
    </w:p>
    <w:p w:rsidR="00285073" w:rsidRPr="007141C4" w:rsidRDefault="00285073" w:rsidP="00285073">
      <w:pPr>
        <w:pStyle w:val="NormalHanging12a"/>
        <w:widowControl/>
        <w:rPr>
          <w:szCs w:val="24"/>
        </w:rPr>
      </w:pPr>
      <w:r w:rsidRPr="007141C4">
        <w:lastRenderedPageBreak/>
        <w:t>3.</w:t>
      </w:r>
      <w:r w:rsidRPr="007141C4">
        <w:tab/>
        <w:t>este conștient de faptul că războiul de agresiune nejustificat al Rusiei împotriva Ucrainei a determinat Autoritatea să ia în considerare provocările și incertitudinile pe care acest conflict le generează pentru domeniile ce intră în sfera sa de competență și să le trateze în consecință; salută faptul că, drept urmare, Autoritatea s-a axat puternic pe evaluarea riscurilor pentru bănci și pentru sectorul financiar și a luat măsuri pentru a monitoriza acest sector; constată, de asemenea, că Autoritatea și-a axat eforturile pe aplicarea și asigurarea respectării sancțiunilor impuse, iar la un nivel mai semnificativ pentru persoanele afectate de acest conflict, salută eforturile Autorității de a oferi orientări pentru a facilita accesul la sistemul financiar;</w:t>
      </w:r>
    </w:p>
    <w:p w:rsidR="00285073" w:rsidRPr="007141C4" w:rsidRDefault="00285073" w:rsidP="00285073">
      <w:pPr>
        <w:widowControl/>
        <w:spacing w:after="240"/>
        <w:ind w:left="567" w:hanging="567"/>
        <w:rPr>
          <w:szCs w:val="24"/>
        </w:rPr>
      </w:pPr>
      <w:r w:rsidRPr="007141C4">
        <w:t>4.</w:t>
      </w:r>
      <w:r w:rsidRPr="007141C4">
        <w:tab/>
        <w:t>observă că unii dintre factorii determinanți ai activității Autorității din 2022 au contribuit la procedurile legislative care au condus la adoptarea Regulamentului (UE) 2022/2554</w:t>
      </w:r>
      <w:r w:rsidRPr="007141C4">
        <w:rPr>
          <w:rStyle w:val="FootnoteReference"/>
          <w:szCs w:val="24"/>
        </w:rPr>
        <w:footnoteReference w:id="12"/>
      </w:r>
      <w:r w:rsidRPr="007141C4">
        <w:t xml:space="preserve"> și a Directivei (UE) 2022/2556</w:t>
      </w:r>
      <w:r w:rsidRPr="007141C4">
        <w:rPr>
          <w:rStyle w:val="FootnoteReference"/>
          <w:szCs w:val="24"/>
        </w:rPr>
        <w:footnoteReference w:id="13"/>
      </w:r>
      <w:r w:rsidRPr="007141C4">
        <w:t xml:space="preserve"> (regulamentul și directiva privind reziliența operațională digitală) și a Regulamentului (UE) 2023/1114</w:t>
      </w:r>
      <w:r w:rsidRPr="007141C4">
        <w:rPr>
          <w:rStyle w:val="FootnoteReference"/>
          <w:szCs w:val="24"/>
        </w:rPr>
        <w:footnoteReference w:id="14"/>
      </w:r>
      <w:r w:rsidRPr="007141C4">
        <w:t xml:space="preserve"> (Regulamentul privind piețele </w:t>
      </w:r>
      <w:proofErr w:type="spellStart"/>
      <w:r w:rsidRPr="007141C4">
        <w:t>criptoactivelor</w:t>
      </w:r>
      <w:proofErr w:type="spellEnd"/>
      <w:r w:rsidRPr="007141C4">
        <w:t xml:space="preserve">), drept răspuns la diferite cereri de recomandări privind finanțele digitale și aspectele conexe; constată că un alt subiect de interes a fost prevenirea utilizării sistemului financiar în scopul spălării banilor și finanțării terorismului; constată, de asemenea, că în prim-planul activității Autorității s-au aflat în continuare dezvoltarea unui cadru de mediu, social și de guvernanță relevant pentru bănci și monitorizarea impactului pandemiei de COVID-19 asupra bilanțurilor acestora; observă că Autoritatea și-a actualizat, de asemenea, planul de lucru pentru evaluarea inter </w:t>
      </w:r>
      <w:proofErr w:type="spellStart"/>
      <w:r w:rsidRPr="007141C4">
        <w:t>pares</w:t>
      </w:r>
      <w:proofErr w:type="spellEnd"/>
      <w:r w:rsidRPr="007141C4">
        <w:t xml:space="preserve"> pentru perioada 2022-2023, în conformitate cu Regulamentul </w:t>
      </w:r>
      <w:r w:rsidR="00A11E66">
        <w:t xml:space="preserve">(UE) </w:t>
      </w:r>
      <w:r w:rsidRPr="007141C4">
        <w:t>nr. 1093/2010;</w:t>
      </w:r>
    </w:p>
    <w:p w:rsidR="00285073" w:rsidRPr="007141C4" w:rsidRDefault="00285073" w:rsidP="00285073">
      <w:pPr>
        <w:widowControl/>
        <w:spacing w:after="240"/>
        <w:ind w:left="567" w:hanging="567"/>
        <w:rPr>
          <w:b/>
          <w:i/>
          <w:szCs w:val="24"/>
        </w:rPr>
      </w:pPr>
      <w:r w:rsidRPr="007141C4">
        <w:rPr>
          <w:b/>
          <w:i/>
        </w:rPr>
        <w:t>Eficiența și realizările</w:t>
      </w:r>
    </w:p>
    <w:p w:rsidR="00285073" w:rsidRPr="007141C4" w:rsidRDefault="00285073" w:rsidP="00285073">
      <w:pPr>
        <w:widowControl/>
        <w:spacing w:after="240"/>
        <w:ind w:left="567" w:hanging="567"/>
        <w:rPr>
          <w:szCs w:val="24"/>
        </w:rPr>
      </w:pPr>
      <w:r w:rsidRPr="007141C4">
        <w:t>5.</w:t>
      </w:r>
      <w:r w:rsidRPr="007141C4">
        <w:tab/>
        <w:t>salută faptul că, în domeniul achizițiilor publice, Autoritatea a adoptat abordarea prin care invită alte agenții să participe la procedurile sale deschise de achiziții, ori de câte ori există un interes potențial din partea altor agenții; observă că, în 2022, Autoritatea a fost agenția principală într-o procedură interinstituțională de achiziții publice la care au participat Autoritatea Europeană pentru Valori Mobiliare și Piețe (ESMA) și Autoritatea Europeană de Asigurări și Pensii Ocupaționale (EIOPA); constată, totodată, că Autoritatea a participat și la multe proceduri interinstituționale desfășurate de alte instituții, organisme, oficii și agenții ale Uniunii, în principal de cele gestionate de Comisie; observă că, în 2022, 77 % dintre cele 96 de contracte-cadru în vigoare ale Autorității au fost încheiate în urma unor proceduri de achiziții gestionate de alte instituții, organisme, oficii și agenții ale Uniunii;</w:t>
      </w:r>
    </w:p>
    <w:p w:rsidR="00285073" w:rsidRPr="007141C4" w:rsidRDefault="00285073" w:rsidP="00285073">
      <w:pPr>
        <w:widowControl/>
        <w:spacing w:after="240"/>
        <w:ind w:left="567" w:hanging="567"/>
        <w:rPr>
          <w:szCs w:val="24"/>
        </w:rPr>
      </w:pPr>
      <w:r w:rsidRPr="007141C4">
        <w:t>6.</w:t>
      </w:r>
      <w:r w:rsidRPr="007141C4">
        <w:tab/>
        <w:t xml:space="preserve">constată că Comitetul comun al autorităților europene de supraveghere, care reunește Autoritatea, EIOPA, ESMA, Comisia și Comitetul european pentru risc sistemic, </w:t>
      </w:r>
      <w:r w:rsidRPr="007141C4">
        <w:lastRenderedPageBreak/>
        <w:t>reprezintă un forum esențial în care se discută aspecte de reglementare comune și se adoptă inițiative comune; reamintește că inițiativele comune reunesc diverse perspective, reduc dublarea eforturilor, îmbunătățesc asimilarea de noi informații și întăresc relațiile dintre participanți;</w:t>
      </w:r>
    </w:p>
    <w:p w:rsidR="00285073" w:rsidRPr="007141C4" w:rsidRDefault="00285073" w:rsidP="00285073">
      <w:pPr>
        <w:widowControl/>
        <w:spacing w:after="240"/>
        <w:ind w:left="567" w:hanging="567"/>
        <w:rPr>
          <w:bCs/>
          <w:szCs w:val="24"/>
        </w:rPr>
      </w:pPr>
      <w:r w:rsidRPr="007141C4">
        <w:t>7.</w:t>
      </w:r>
      <w:r w:rsidRPr="007141C4">
        <w:tab/>
        <w:t>felicită Autoritatea că se implică în multiple inițiative de cooperare și de partajare a resurselor cu diferite agenții, cum ar fi partajarea serviciilor contabile cu ESMA, partajarea responsabilului cu securitatea cu EIOPA, desfășurarea unor proiecte informatice comune, investițiile în dezvoltarea carierelor și prezentarea experienței sale pentru a ajuta alte agenții să obțină certificarea EMAS; evidențiază, de asemenea, beneficiile orizontale ale colaborării și ale adaptării bunelor practici;</w:t>
      </w:r>
    </w:p>
    <w:p w:rsidR="00285073" w:rsidRPr="007141C4" w:rsidRDefault="00285073" w:rsidP="00285073">
      <w:pPr>
        <w:widowControl/>
        <w:spacing w:after="240"/>
        <w:ind w:left="567" w:hanging="567"/>
        <w:rPr>
          <w:szCs w:val="24"/>
        </w:rPr>
      </w:pPr>
      <w:r w:rsidRPr="007141C4">
        <w:t>8.</w:t>
      </w:r>
      <w:r w:rsidRPr="007141C4">
        <w:tab/>
        <w:t xml:space="preserve">apreciază faptul că Autoritatea a întreprins diverse inițiative, cum ar fi optimizarea proceselor, gestionarea resurselor, digitalizarea, consolidarea colaborării și promovarea unei culturi a îmbunătățirii continue; constată că printre principalele strategii se numără automatizarea proceselor (tranzacții financiare fără hârtie, efectuarea de plăți în masă, instrumente pentru fluxul de lucru), optimizarea resurselor, adoptarea deciziilor pe baza datelor, integrarea tehnologiilor (servicii de </w:t>
      </w:r>
      <w:proofErr w:type="spellStart"/>
      <w:r w:rsidRPr="007141C4">
        <w:t>cloud</w:t>
      </w:r>
      <w:proofErr w:type="spellEnd"/>
      <w:r w:rsidRPr="007141C4">
        <w:t>, digitalizarea serviciilor de resurse umane), colaborarea prin echipe multifuncționale și gestionarea proiectelor;</w:t>
      </w:r>
    </w:p>
    <w:p w:rsidR="00285073" w:rsidRPr="007141C4" w:rsidRDefault="00285073" w:rsidP="00285073">
      <w:pPr>
        <w:pStyle w:val="NormalHanging12a"/>
      </w:pPr>
      <w:r w:rsidRPr="007141C4">
        <w:t>9.</w:t>
      </w:r>
      <w:r w:rsidRPr="007141C4">
        <w:tab/>
        <w:t>subliniază că Autoritatea este un membru activ al Rețelei agențiilor UE și că se dezvoltă constant sinergii cu celelalte autorități europene de supraveghere, cum ar fi listele de rezervă comune pentru recrutare utilizate de Autoritate, ESMA și EIOPA;</w:t>
      </w:r>
    </w:p>
    <w:p w:rsidR="00285073" w:rsidRPr="007141C4" w:rsidRDefault="00285073" w:rsidP="00285073">
      <w:pPr>
        <w:widowControl/>
        <w:spacing w:after="240"/>
        <w:ind w:left="567" w:hanging="567"/>
        <w:rPr>
          <w:b/>
          <w:i/>
          <w:szCs w:val="24"/>
        </w:rPr>
      </w:pPr>
      <w:r w:rsidRPr="007141C4">
        <w:rPr>
          <w:b/>
          <w:i/>
        </w:rPr>
        <w:t>Politica de personal</w:t>
      </w:r>
    </w:p>
    <w:p w:rsidR="00285073" w:rsidRPr="007141C4" w:rsidRDefault="00285073" w:rsidP="00285073">
      <w:pPr>
        <w:widowControl/>
        <w:spacing w:after="240"/>
        <w:ind w:left="567" w:hanging="567"/>
        <w:rPr>
          <w:szCs w:val="24"/>
        </w:rPr>
      </w:pPr>
      <w:r w:rsidRPr="007141C4">
        <w:t>10.</w:t>
      </w:r>
      <w:r w:rsidRPr="007141C4">
        <w:tab/>
        <w:t>observă că la 31 decembrie 2022 schema de personal era completată în proporție de 98,14 %, fiind ocupate 159 din cele 162 de posturi de agenți temporari autorizate în cadrul bugetului Uniunii (același număr de posturi autorizate ca și în 2021); constată că, în 2022, pentru Autoritate au lucrat de asemenea 44 de agenți contractuali (dintre cele 50 de posturi autorizate) și 13 experți naționali detașați (dintre cele 19 posturi autorizate, plus șase experți naționali detașați fără costuri pentru Autoritate);</w:t>
      </w:r>
    </w:p>
    <w:p w:rsidR="00285073" w:rsidRPr="007141C4" w:rsidRDefault="00285073" w:rsidP="00285073">
      <w:pPr>
        <w:widowControl/>
        <w:spacing w:after="240"/>
        <w:ind w:left="567" w:hanging="567"/>
        <w:rPr>
          <w:szCs w:val="24"/>
        </w:rPr>
      </w:pPr>
      <w:r w:rsidRPr="007141C4">
        <w:t>11.</w:t>
      </w:r>
      <w:r w:rsidRPr="007141C4">
        <w:tab/>
        <w:t>observă că proporția globală a rotației personalului în 2022 a fost de 11,5 % (față de 12 % în 2021); constată că proporția globală a rotației personalului include contractele finalizate ale experților naționali detașați, care au o durată mai scurtă prin însăși natura lor, în timp ce proporția rotației personalului statutar (agenți temporari și agenți contractuali) a fost de 9 % (ușor mai ridicată pentru agenții contractuali decât pentru agenții temporari); evidențiază că, din 2020, Autoritatea a început să își îmbogățească modalitatea de gestionare a specialiștilor cu noi măsuri de autonomizare a personalului și de stimulare a implicării acestuia pe termen lung (beneficii semnificative oferite angajaților, programe adaptate de dezvoltare a carierei precum mentoratul, inițiative pentru echilibrul dintre viața profesională și cea privată, de exemplu clubul social, etc.);</w:t>
      </w:r>
    </w:p>
    <w:p w:rsidR="00285073" w:rsidRPr="007141C4" w:rsidRDefault="00285073" w:rsidP="00285073">
      <w:pPr>
        <w:pStyle w:val="NormalHanging12a"/>
        <w:widowControl/>
        <w:rPr>
          <w:szCs w:val="24"/>
        </w:rPr>
      </w:pPr>
      <w:r w:rsidRPr="007141C4">
        <w:t>12.</w:t>
      </w:r>
      <w:r w:rsidRPr="007141C4">
        <w:tab/>
        <w:t>ia act de distribuția de gen din cadrul conducerii superioare și medii a Autorității, 16 dintre cei 29 de membri ai conducerii superioare și medii fiind bărbați (55 %), precum și din cadrul întregului personal al Autorității, 114 din 222 de angajați (51 %) fiind bărbați; salută adoptarea de către Autoritate a Cartei Rețelei agențiilor ONU privind diversitatea și incluziunea; observă că Autoritatea este membră a rețelei de organizații internaționale „</w:t>
      </w:r>
      <w:proofErr w:type="spellStart"/>
      <w:r w:rsidRPr="007141C4">
        <w:t>Choose</w:t>
      </w:r>
      <w:proofErr w:type="spellEnd"/>
      <w:r w:rsidRPr="007141C4">
        <w:t xml:space="preserve"> Paris </w:t>
      </w:r>
      <w:proofErr w:type="spellStart"/>
      <w:r w:rsidRPr="007141C4">
        <w:t>Region</w:t>
      </w:r>
      <w:proofErr w:type="spellEnd"/>
      <w:r w:rsidRPr="007141C4">
        <w:t>”, care promovează locurile de muncă diverse, incluzive și echitabile și oferă persoanelor cu dizabilități facilități specifice în cadrul procesului de recrutare;</w:t>
      </w:r>
    </w:p>
    <w:p w:rsidR="00285073" w:rsidRPr="007141C4" w:rsidRDefault="00285073" w:rsidP="00285073">
      <w:pPr>
        <w:widowControl/>
        <w:spacing w:after="240"/>
        <w:ind w:left="567" w:hanging="567"/>
        <w:rPr>
          <w:szCs w:val="24"/>
        </w:rPr>
      </w:pPr>
      <w:r w:rsidRPr="007141C4">
        <w:lastRenderedPageBreak/>
        <w:t>13.</w:t>
      </w:r>
      <w:r w:rsidRPr="007141C4">
        <w:tab/>
        <w:t xml:space="preserve">constată că în 2022 a fost lansat un sondaj privind implicarea personalului, la care au răspuns 71 % din cei chestionați; observă că punctajul total favorabil care reprezintă implicarea personalului a fost de 65 % – cu 1 % mai mare decât în cazul precedentului sondaj din 2019 (în pofida conjuncturii dificile create de pandemia de COVID-19), precum și în comparație cu criteriul de referință </w:t>
      </w:r>
      <w:proofErr w:type="spellStart"/>
      <w:r w:rsidRPr="007141C4">
        <w:t>interagenții</w:t>
      </w:r>
      <w:proofErr w:type="spellEnd"/>
      <w:r w:rsidRPr="007141C4">
        <w:t xml:space="preserve"> al UE;</w:t>
      </w:r>
    </w:p>
    <w:p w:rsidR="00285073" w:rsidRPr="007141C4" w:rsidRDefault="00285073" w:rsidP="00285073">
      <w:pPr>
        <w:widowControl/>
        <w:spacing w:after="240"/>
        <w:ind w:left="567" w:hanging="567"/>
        <w:rPr>
          <w:b/>
          <w:i/>
          <w:szCs w:val="24"/>
        </w:rPr>
      </w:pPr>
      <w:r w:rsidRPr="007141C4">
        <w:rPr>
          <w:b/>
          <w:i/>
        </w:rPr>
        <w:t>Prevenirea și gestionarea conflictelor de interese și transparența</w:t>
      </w:r>
    </w:p>
    <w:p w:rsidR="00285073" w:rsidRPr="007141C4" w:rsidRDefault="00285073" w:rsidP="00285073">
      <w:pPr>
        <w:widowControl/>
        <w:spacing w:after="240"/>
        <w:ind w:left="567" w:hanging="567"/>
      </w:pPr>
      <w:r w:rsidRPr="007141C4">
        <w:t>14.</w:t>
      </w:r>
      <w:r w:rsidRPr="007141C4">
        <w:tab/>
        <w:t>felicită Autoritatea că, în 2022, a raționalizat procesul în materie de etică, în special prin introducerea unui sistem electronic de gestionare a fluxului de lucru, care include o evaluare mai atentă și mai eficientă a notificărilor privind potențialele conflicte de interese ale personalului care pleacă și a notificărilor privind activitățile după plecare;</w:t>
      </w:r>
    </w:p>
    <w:p w:rsidR="00285073" w:rsidRPr="007141C4" w:rsidRDefault="00285073" w:rsidP="00285073">
      <w:pPr>
        <w:pStyle w:val="NormalHanging12a"/>
      </w:pPr>
      <w:r w:rsidRPr="007141C4">
        <w:t>15.</w:t>
      </w:r>
      <w:r w:rsidRPr="007141C4">
        <w:tab/>
        <w:t>subliniază că orientările privind semnalarea neregulilor, care cuprind orientări anticorupție, au fost incluse în materialele de curs ale programelor de formare ale Autorității axate pe etică și integritate;</w:t>
      </w:r>
    </w:p>
    <w:p w:rsidR="00285073" w:rsidRPr="007141C4" w:rsidRDefault="00285073" w:rsidP="00285073">
      <w:pPr>
        <w:pStyle w:val="NormalHanging12a"/>
      </w:pPr>
      <w:r w:rsidRPr="007141C4">
        <w:t>16.</w:t>
      </w:r>
      <w:r w:rsidRPr="007141C4">
        <w:tab/>
        <w:t>apreciază faptul că, în 2022, Consiliul supraveghetorilor a adoptat o modificare a regulamentului său de procedură, precum și a celui al Consiliului de administrație și a mandatelor comitetelor permanente pentru rezoluție și pentru combaterea spălării banilor și a finanțării terorismului, obligând membrii care au declarat un conflict de interese să fie absenți atât de la vot, cât și de la dezbateri, fără excepție;</w:t>
      </w:r>
    </w:p>
    <w:p w:rsidR="00285073" w:rsidRPr="007141C4" w:rsidRDefault="00285073" w:rsidP="00285073">
      <w:pPr>
        <w:widowControl/>
        <w:spacing w:after="240"/>
        <w:ind w:left="567" w:hanging="567"/>
        <w:rPr>
          <w:szCs w:val="24"/>
        </w:rPr>
      </w:pPr>
      <w:r w:rsidRPr="007141C4">
        <w:t>17.</w:t>
      </w:r>
      <w:r w:rsidRPr="007141C4">
        <w:tab/>
        <w:t>constată că, în urma încheierii unei investigații a OLAF fără a se constata nereguli în ceea ce privește respectarea cadrului juridic aplicabil, Autoritatea a primit recomandarea de a lua măsuri administrative, în special în ceea ce privește contractele de muncă ale personalului de conducere de nivel superior; observă că ancheta a scos la iveală lipsa unor dispoziții contractuale referitoare la suspendarea din funcție cu păstrarea salarizării sau la o perioadă de existență a stării de incompatibilitate; accentuează că, drept răspuns, Autoritatea a introdus un nou articol în contractele pentru directori, consilieri și personalul de nivel superior în februarie 2022; observă că, din cauza limitărilor impuse de cadrul juridic al Statutului funcționarilor, Autoritatea a informat OLAF că nu poate impune cerințe personalului în afara acestui cadru, cum ar fi acordarea de compensații atunci când un fost membru al personalului este împiedicat să desfășoare o activitate profesională sau trebuie să îndeplinească condiții substanțiale pentru aceasta;</w:t>
      </w:r>
    </w:p>
    <w:p w:rsidR="00285073" w:rsidRPr="007141C4" w:rsidRDefault="00285073" w:rsidP="00285073">
      <w:pPr>
        <w:widowControl/>
        <w:spacing w:after="240"/>
        <w:ind w:left="567" w:hanging="567"/>
        <w:rPr>
          <w:szCs w:val="24"/>
        </w:rPr>
      </w:pPr>
      <w:r w:rsidRPr="007141C4">
        <w:t>18.</w:t>
      </w:r>
      <w:r w:rsidRPr="007141C4">
        <w:tab/>
        <w:t>felicită Autoritatea că informează cu privire la toate reuniunile personalului cu părțile interesate externe din sectorul privat, în speță în cursul a două săptămâni după reuniunile la care participă președintele, în conformitate cu articolul 49a din Regulamentul (UE) nr. 1093/2010, iar această practică se aplică în același mod directorului executiv, deși articolul 52a din regulamentul menționat impune ca reuniunile la care participă directorul executiv să fie făcute publice, dar nu precizează termenul în care trebuie făcut acest lucru după ce au avut loc reuniunea; ia act de faptul că, în cazul reuniunilor altor angajați cu părțile interesate din sectorul privat, informarea respectivă se face trimestrial;</w:t>
      </w:r>
    </w:p>
    <w:p w:rsidR="00285073" w:rsidRPr="007141C4" w:rsidRDefault="00285073" w:rsidP="00285073">
      <w:pPr>
        <w:widowControl/>
        <w:spacing w:after="240"/>
        <w:ind w:left="567" w:hanging="567"/>
        <w:rPr>
          <w:szCs w:val="24"/>
        </w:rPr>
      </w:pPr>
      <w:r w:rsidRPr="007141C4">
        <w:t>19.</w:t>
      </w:r>
      <w:r w:rsidRPr="007141C4">
        <w:tab/>
        <w:t>atrage atenția asupra faptului că în 2022 a fost închis un caz de avertizare în interes public; constată că acțiunile întreprinse au inclus contactarea unei autorități naționale competente pentru a putea fi înțelese acuzațiile și adoptarea unor la nivel național, ceea ce a dus la închiderea cazului fără a fi necesară nicio acțiune din partea Autorității;</w:t>
      </w:r>
    </w:p>
    <w:p w:rsidR="00285073" w:rsidRPr="007141C4" w:rsidRDefault="00285073" w:rsidP="00285073">
      <w:pPr>
        <w:widowControl/>
        <w:spacing w:after="240"/>
        <w:ind w:left="567" w:hanging="567"/>
        <w:rPr>
          <w:szCs w:val="24"/>
        </w:rPr>
      </w:pPr>
      <w:r w:rsidRPr="007141C4">
        <w:lastRenderedPageBreak/>
        <w:t>20.</w:t>
      </w:r>
      <w:r w:rsidRPr="007141C4">
        <w:tab/>
        <w:t>reamintește că CV-urile membrilor organelor de conducere și ale membrilor supleanți, ale cadrelor de conducere de nivel superior și ale directorilor sunt publicate pe site-urile Autorității; observă că aceste CV-uri conțin informații privind experiența profesională și studiile; constată, de asemenea, că, în ceea ce privește experții, Autoritatea publică CV-urile Grupului părților interesate din domeniul bancar;</w:t>
      </w:r>
    </w:p>
    <w:p w:rsidR="00285073" w:rsidRPr="007141C4" w:rsidRDefault="00285073" w:rsidP="00285073">
      <w:pPr>
        <w:widowControl/>
        <w:spacing w:after="240"/>
        <w:ind w:left="567" w:hanging="567"/>
        <w:rPr>
          <w:b/>
          <w:i/>
          <w:szCs w:val="24"/>
        </w:rPr>
      </w:pPr>
      <w:r w:rsidRPr="007141C4">
        <w:rPr>
          <w:b/>
          <w:i/>
        </w:rPr>
        <w:t>Achizițiile publice</w:t>
      </w:r>
    </w:p>
    <w:p w:rsidR="00285073" w:rsidRPr="007141C4" w:rsidRDefault="00285073" w:rsidP="00285073">
      <w:pPr>
        <w:widowControl/>
        <w:spacing w:after="240"/>
        <w:ind w:left="567" w:hanging="567"/>
        <w:rPr>
          <w:szCs w:val="24"/>
        </w:rPr>
      </w:pPr>
      <w:r w:rsidRPr="007141C4">
        <w:t>21.</w:t>
      </w:r>
      <w:r w:rsidRPr="007141C4">
        <w:tab/>
        <w:t>observă că, potrivit Curții, Autoritatea a organizat două proceduri deschise de achiziții de servicii, una pentru un studiu de piață privind serviciile financiare și alta pentru consultare în ceea ce privește protecția datelor; observă că, în cazul uneia dintre proceduri, a avut loc o suprapunere între criteriile de atribuire și cele de selecție; reliefează că acest lucru contravine articolului 167 din Regulamentul financiar, care prevede că criteriile de selecție și cele de atribuire trebuie să fie complet separate; menționează că criteriile de selecție sunt utilizate pentru a evalua capacitatea ofertanților, în timp ce criteriile de atribuire sunt utilizate pentru a evalua prețul și calitatea ofertelor; constată cu regret că, în ambele cazuri, Autoritatea a supraestimat valoarea maximă a contractelor din cauza unor deficiențe ale cercetărilor pe care le-a efectuat cu privire la prețurile de pe piață înainte de lansarea procedurilor;</w:t>
      </w:r>
    </w:p>
    <w:p w:rsidR="00285073" w:rsidRPr="007141C4" w:rsidRDefault="00285073" w:rsidP="00285073">
      <w:pPr>
        <w:widowControl/>
        <w:spacing w:after="240"/>
        <w:ind w:left="567" w:hanging="567"/>
        <w:rPr>
          <w:szCs w:val="24"/>
        </w:rPr>
      </w:pPr>
      <w:r w:rsidRPr="007141C4">
        <w:t>22.</w:t>
      </w:r>
      <w:r w:rsidRPr="007141C4">
        <w:tab/>
        <w:t>observă că, potrivit Curții, deficiențele în materie de achiziții care afectează două proceduri negociate separate, consemnate în 2021, au fost corectate, iar în prezent Autoritatea utilizează modelele Comisiei, aliniindu-și procedurile la observația Curții;</w:t>
      </w:r>
    </w:p>
    <w:p w:rsidR="00285073" w:rsidRPr="007141C4" w:rsidRDefault="00285073" w:rsidP="00285073">
      <w:pPr>
        <w:widowControl/>
        <w:spacing w:after="240"/>
        <w:ind w:left="567" w:hanging="567"/>
        <w:rPr>
          <w:szCs w:val="24"/>
        </w:rPr>
      </w:pPr>
      <w:r w:rsidRPr="007141C4">
        <w:t>23.</w:t>
      </w:r>
      <w:r w:rsidRPr="007141C4">
        <w:tab/>
        <w:t>subliniază că, începând cu exercițiul financiar 2020, Curtea a formulat în fiecare an noi observații legate de achizițiile publice pentru patru agenții, inclusiv pentru Autoritate; reamintește că obiectivul normelor privind achizițiile publice este de a permite entităților contractante să obțină bunurile și serviciile de care au nevoie la cel mai bun preț, asigurând, în același timp, concurența loială între ofertanți și respectarea principiilor transparenței, proporționalității, egalității de tratament și nediscriminării; invită Autoritatea să asigure respectarea deplină a normelor aplicabile în materie de achiziții publice pentru a obține cel mai bun raport calitate-preț posibil;</w:t>
      </w:r>
    </w:p>
    <w:p w:rsidR="00285073" w:rsidRPr="007141C4" w:rsidRDefault="00285073" w:rsidP="00285073">
      <w:pPr>
        <w:widowControl/>
        <w:spacing w:after="240"/>
        <w:ind w:left="567" w:hanging="567"/>
        <w:rPr>
          <w:b/>
          <w:i/>
          <w:szCs w:val="24"/>
        </w:rPr>
      </w:pPr>
      <w:r w:rsidRPr="007141C4">
        <w:rPr>
          <w:b/>
          <w:i/>
        </w:rPr>
        <w:t>Controlul intern</w:t>
      </w:r>
    </w:p>
    <w:p w:rsidR="00285073" w:rsidRPr="007141C4" w:rsidRDefault="00285073" w:rsidP="00285073">
      <w:pPr>
        <w:widowControl/>
        <w:spacing w:after="240"/>
        <w:ind w:left="567" w:hanging="567"/>
        <w:rPr>
          <w:szCs w:val="24"/>
        </w:rPr>
      </w:pPr>
      <w:r w:rsidRPr="007141C4">
        <w:t>24.</w:t>
      </w:r>
      <w:r w:rsidRPr="007141C4">
        <w:tab/>
        <w:t>reamintește că, în 2021, Autoritatea a început colaborarea cu un partener specializat în gestionarea riscurilor, pentru a îmbunătăți compatibilitatea programului actual de gestionare a riscurilor al Autorității cu cadrul COSO de gestionare a riscurilor în întreprinderi (ERM), iar în 2022 continuat această colaborare; observă că, pentru a consolida și mai mult controalele interne, Autoritatea intenționează să își integreze programul de gestionare a riscurilor în cadrul ERM al COSO, să intensifice activitățile legate de etică și să ofere formare personalizată în domeniul controalelor interne în 2023, cu scopul de a susține și de a spori eficacitatea sistemului general de control intern;</w:t>
      </w:r>
    </w:p>
    <w:p w:rsidR="00285073" w:rsidRPr="007141C4" w:rsidRDefault="00285073" w:rsidP="00285073">
      <w:pPr>
        <w:widowControl/>
        <w:spacing w:after="240"/>
        <w:ind w:left="567" w:hanging="567"/>
        <w:rPr>
          <w:szCs w:val="24"/>
        </w:rPr>
      </w:pPr>
      <w:r w:rsidRPr="007141C4">
        <w:t>25.</w:t>
      </w:r>
      <w:r w:rsidRPr="007141C4">
        <w:tab/>
        <w:t>constată că, potrivit Curții, deficiențele de control intern care afectează procedurile de recrutare, consemnate în 2021, au fost corectate, Autoritatea modificându-și procedurile în consecință;</w:t>
      </w:r>
    </w:p>
    <w:p w:rsidR="00285073" w:rsidRPr="007141C4" w:rsidRDefault="00285073" w:rsidP="00285073">
      <w:pPr>
        <w:widowControl/>
        <w:spacing w:after="240"/>
        <w:ind w:left="567" w:hanging="567"/>
        <w:rPr>
          <w:b/>
          <w:i/>
          <w:szCs w:val="24"/>
        </w:rPr>
      </w:pPr>
      <w:r w:rsidRPr="007141C4">
        <w:rPr>
          <w:b/>
          <w:i/>
        </w:rPr>
        <w:t>Alte observații</w:t>
      </w:r>
    </w:p>
    <w:p w:rsidR="00285073" w:rsidRPr="007141C4" w:rsidRDefault="00285073" w:rsidP="00285073">
      <w:pPr>
        <w:widowControl/>
        <w:spacing w:after="240"/>
        <w:ind w:left="567" w:hanging="567"/>
        <w:rPr>
          <w:szCs w:val="24"/>
        </w:rPr>
      </w:pPr>
      <w:r w:rsidRPr="007141C4">
        <w:lastRenderedPageBreak/>
        <w:t>26.</w:t>
      </w:r>
      <w:r w:rsidRPr="007141C4">
        <w:tab/>
        <w:t>salută faptul că, în 2022, Autoritatea a continuat să își promoveze activitatea și rezultatele prin intermediul unei game largi de canale de comunicare, cum ar fi site-ul instituției, interviurile de presă și platformele de comunicare socială; observă că Autoritatea a majorat, de asemenea, numărul de vizualizări dinamice ale datelor menite să prezinte volume mari de date într-un mod mai cuprinzător și mai ușor de înțeles și a publicat 149 de comunicate de presă și articole de actualități, a promovat activitatea Autorității în presă și în mass-media, realizând 74 de interviuri și informări pentru presă, și a răspuns la 706 întrebări prin e-mail;</w:t>
      </w:r>
    </w:p>
    <w:p w:rsidR="00285073" w:rsidRPr="007141C4" w:rsidRDefault="00285073" w:rsidP="00285073">
      <w:pPr>
        <w:pStyle w:val="NormalHanging12a"/>
        <w:widowControl/>
      </w:pPr>
      <w:r w:rsidRPr="007141C4">
        <w:t>27.</w:t>
      </w:r>
      <w:r w:rsidRPr="007141C4">
        <w:tab/>
        <w:t>felicită Autoritatea că, în 2022, a primit certificatul Sistemului de management și audit de mediu (EMAS) și și-a îndeplinit cu succes obiectivele și țintele de mediu pentru 2022 în domeniile deplasărilor, energiei, deșeurilor, achizițiilor publice și activității principale;</w:t>
      </w:r>
      <w:r w:rsidRPr="007141C4">
        <w:rPr>
          <w:color w:val="374151"/>
        </w:rPr>
        <w:t xml:space="preserve"> </w:t>
      </w:r>
      <w:r w:rsidRPr="007141C4">
        <w:t>subliniază că realizările respective includ o reducere cu cel puțin 50 % a activităților legate de deplasări, o scădere cu 10 % a consumului de energie al clădirilor, un angajament pentru reciclarea a cel puțin 70 % din deșeuri și luarea în considerare a impactului asupra mediului în 100 % din contractele încheiate de Autoritate în urma procedurilor de achiziții;</w:t>
      </w:r>
    </w:p>
    <w:p w:rsidR="00285073" w:rsidRPr="007141C4" w:rsidRDefault="00285073" w:rsidP="00285073">
      <w:pPr>
        <w:pStyle w:val="NormalHanging12a"/>
        <w:widowControl/>
      </w:pPr>
      <w:r w:rsidRPr="007141C4">
        <w:t>28.</w:t>
      </w:r>
      <w:r w:rsidRPr="007141C4">
        <w:tab/>
        <w:t>felicită Autoritatea pentru că s-a angajat să reducă consumul de energie cu 10 % în 2022 (comparativ cu 2019); subliniază că, pentru a atinge acest obiectiv, Autoritatea a introdus măsuri precum orare de încălzire variabile și scăderea temperaturilor setate pe termostate, aprovizionarea numai din surse regenerabile de energie, monitorizarea zilnică a contoarelor pentru evaluarea măsurilor luate și desfășurarea unei campanii de sensibilizare a personalului în ceea ce privește economiile de energie; observă că, până la sfârșitul anului 2022, se obținuse o reducere a consumului de energie de 16,4 % (comparativ cu 2019);</w:t>
      </w:r>
    </w:p>
    <w:p w:rsidR="00285073" w:rsidRPr="007141C4" w:rsidRDefault="00285073" w:rsidP="00285073">
      <w:pPr>
        <w:pStyle w:val="NormalCenter12a"/>
        <w:widowControl/>
        <w:ind w:left="567" w:hanging="567"/>
      </w:pPr>
      <w:r w:rsidRPr="007141C4">
        <w:t>°</w:t>
      </w:r>
    </w:p>
    <w:p w:rsidR="00285073" w:rsidRPr="007141C4" w:rsidRDefault="00285073" w:rsidP="00285073">
      <w:pPr>
        <w:pStyle w:val="NormalCenter12a"/>
        <w:widowControl/>
        <w:ind w:left="567" w:hanging="567"/>
      </w:pPr>
      <w:r w:rsidRPr="007141C4">
        <w:t>°</w:t>
      </w:r>
      <w:r w:rsidRPr="007141C4">
        <w:tab/>
        <w:t>°</w:t>
      </w:r>
    </w:p>
    <w:p w:rsidR="00E365E1" w:rsidRPr="007141C4" w:rsidRDefault="00285073" w:rsidP="00472167">
      <w:r w:rsidRPr="007141C4">
        <w:t>29.</w:t>
      </w:r>
      <w:r w:rsidRPr="007141C4">
        <w:tab/>
        <w:t xml:space="preserve">face trimitere, pentru alte observații cu caracter orizontal care însoțesc decizia privind descărcarea de gestiune, la rezoluția sa din </w:t>
      </w:r>
      <w:r w:rsidR="006E4499" w:rsidRPr="007141C4">
        <w:t xml:space="preserve">11 </w:t>
      </w:r>
      <w:r w:rsidRPr="007141C4">
        <w:t>aprilie 2024</w:t>
      </w:r>
      <w:r w:rsidRPr="007141C4">
        <w:rPr>
          <w:vertAlign w:val="superscript"/>
        </w:rPr>
        <w:footnoteReference w:id="15"/>
      </w:r>
      <w:r w:rsidRPr="007141C4">
        <w:t xml:space="preserve"> referitoare la performanțele, gestiunea financiară și controlul agențiilor.</w:t>
      </w:r>
    </w:p>
    <w:sectPr w:rsidR="00E365E1" w:rsidRPr="007141C4" w:rsidSect="0047216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6830" w:rsidRPr="00BB459F" w:rsidRDefault="00A96830">
      <w:r w:rsidRPr="00BB459F">
        <w:separator/>
      </w:r>
    </w:p>
  </w:endnote>
  <w:endnote w:type="continuationSeparator" w:id="0">
    <w:p w:rsidR="00A96830" w:rsidRPr="00BB459F" w:rsidRDefault="00A96830">
      <w:r w:rsidRPr="00BB45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5073" w:rsidRPr="00BB459F" w:rsidRDefault="00285073" w:rsidP="00446C12">
    <w:pPr>
      <w:pStyle w:val="EPFooter"/>
    </w:pPr>
    <w:r w:rsidRPr="00BB459F">
      <w:t>PE</w:t>
    </w:r>
    <w:r w:rsidRPr="00BB459F">
      <w:rPr>
        <w:rStyle w:val="HideTWBExt"/>
      </w:rPr>
      <w:t>&lt;</w:t>
    </w:r>
    <w:proofErr w:type="spellStart"/>
    <w:r w:rsidRPr="00BB459F">
      <w:rPr>
        <w:rStyle w:val="HideTWBExt"/>
      </w:rPr>
      <w:t>NoPE</w:t>
    </w:r>
    <w:proofErr w:type="spellEnd"/>
    <w:r w:rsidRPr="00BB459F">
      <w:rPr>
        <w:rStyle w:val="HideTWBExt"/>
      </w:rPr>
      <w:t>&gt;</w:t>
    </w:r>
    <w:r w:rsidRPr="00BB459F">
      <w:t>753.513</w:t>
    </w:r>
    <w:r w:rsidRPr="00BB459F">
      <w:rPr>
        <w:rStyle w:val="HideTWBExt"/>
      </w:rPr>
      <w:t>&lt;/</w:t>
    </w:r>
    <w:proofErr w:type="spellStart"/>
    <w:r w:rsidRPr="00BB459F">
      <w:rPr>
        <w:rStyle w:val="HideTWBExt"/>
      </w:rPr>
      <w:t>NoPE</w:t>
    </w:r>
    <w:proofErr w:type="spellEnd"/>
    <w:r w:rsidRPr="00BB459F">
      <w:rPr>
        <w:rStyle w:val="HideTWBExt"/>
      </w:rPr>
      <w:t>&gt;&lt;Version&gt;</w:t>
    </w:r>
    <w:r w:rsidRPr="00BB459F">
      <w:t>v02-00</w:t>
    </w:r>
    <w:r w:rsidRPr="00BB459F">
      <w:rPr>
        <w:rStyle w:val="HideTWBExt"/>
      </w:rPr>
      <w:t>&lt;/</w:t>
    </w:r>
    <w:proofErr w:type="spellStart"/>
    <w:r w:rsidRPr="00BB459F">
      <w:rPr>
        <w:rStyle w:val="HideTWBExt"/>
      </w:rPr>
      <w:t>Version</w:t>
    </w:r>
    <w:proofErr w:type="spellEnd"/>
    <w:r w:rsidRPr="00BB459F">
      <w:rPr>
        <w:rStyle w:val="HideTWBExt"/>
      </w:rPr>
      <w:t>&gt;</w:t>
    </w:r>
    <w:r w:rsidRPr="00BB459F">
      <w:tab/>
    </w:r>
    <w:r w:rsidRPr="00BB459F">
      <w:fldChar w:fldCharType="begin"/>
    </w:r>
    <w:r w:rsidRPr="00BB459F">
      <w:instrText xml:space="preserve"> PAGE  \* MERGEFORMAT </w:instrText>
    </w:r>
    <w:r w:rsidRPr="00BB459F">
      <w:fldChar w:fldCharType="separate"/>
    </w:r>
    <w:r w:rsidR="00BB459F" w:rsidRPr="00BB459F">
      <w:rPr>
        <w:noProof/>
      </w:rPr>
      <w:t>2</w:t>
    </w:r>
    <w:r w:rsidRPr="00BB459F">
      <w:fldChar w:fldCharType="end"/>
    </w:r>
    <w:r w:rsidRPr="00BB459F">
      <w:t>/</w:t>
    </w:r>
    <w:fldSimple w:instr=" NUMPAGES  \* MERGEFORMAT ">
      <w:r w:rsidR="00BB459F" w:rsidRPr="00BB459F">
        <w:rPr>
          <w:noProof/>
        </w:rPr>
        <w:t>4</w:t>
      </w:r>
    </w:fldSimple>
    <w:r w:rsidRPr="00BB459F">
      <w:tab/>
    </w:r>
    <w:r w:rsidRPr="00BB459F">
      <w:rPr>
        <w:rStyle w:val="HideTWBExt"/>
      </w:rPr>
      <w:t>&lt;PathFdR&gt;</w:t>
    </w:r>
    <w:r w:rsidRPr="00BB459F">
      <w:t>RR\1298889RO.docx</w:t>
    </w:r>
    <w:r w:rsidRPr="00BB459F">
      <w:rPr>
        <w:rStyle w:val="HideTWBExt"/>
      </w:rPr>
      <w:t>&lt;/</w:t>
    </w:r>
    <w:proofErr w:type="spellStart"/>
    <w:r w:rsidRPr="00BB459F">
      <w:rPr>
        <w:rStyle w:val="HideTWBExt"/>
      </w:rPr>
      <w:t>PathFdR</w:t>
    </w:r>
    <w:proofErr w:type="spellEnd"/>
    <w:r w:rsidRPr="00BB459F">
      <w:rPr>
        <w:rStyle w:val="HideTWBExt"/>
      </w:rPr>
      <w:t>&gt;</w:t>
    </w:r>
  </w:p>
  <w:p w:rsidR="00285073" w:rsidRPr="00BB459F" w:rsidRDefault="00285073" w:rsidP="00446C12">
    <w:pPr>
      <w:pStyle w:val="EPFooter2"/>
    </w:pPr>
    <w:r w:rsidRPr="00BB459F">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5073" w:rsidRPr="00BB459F" w:rsidRDefault="00285073" w:rsidP="00446C12">
    <w:pPr>
      <w:pStyle w:val="EPFooter"/>
    </w:pPr>
    <w:r w:rsidRPr="00BB459F">
      <w:rPr>
        <w:rStyle w:val="HideTWBExt"/>
      </w:rPr>
      <w:t>&lt;PathFdR&gt;</w:t>
    </w:r>
    <w:r w:rsidRPr="00BB459F">
      <w:t>RR\1298889RO.docx</w:t>
    </w:r>
    <w:r w:rsidRPr="00BB459F">
      <w:rPr>
        <w:rStyle w:val="HideTWBExt"/>
      </w:rPr>
      <w:t>&lt;/</w:t>
    </w:r>
    <w:proofErr w:type="spellStart"/>
    <w:r w:rsidRPr="00BB459F">
      <w:rPr>
        <w:rStyle w:val="HideTWBExt"/>
      </w:rPr>
      <w:t>PathFdR</w:t>
    </w:r>
    <w:proofErr w:type="spellEnd"/>
    <w:r w:rsidRPr="00BB459F">
      <w:rPr>
        <w:rStyle w:val="HideTWBExt"/>
      </w:rPr>
      <w:t>&gt;</w:t>
    </w:r>
    <w:r w:rsidRPr="00BB459F">
      <w:tab/>
    </w:r>
    <w:r w:rsidRPr="00BB459F">
      <w:tab/>
      <w:t>PE</w:t>
    </w:r>
    <w:r w:rsidRPr="00BB459F">
      <w:rPr>
        <w:rStyle w:val="HideTWBExt"/>
      </w:rPr>
      <w:t>&lt;</w:t>
    </w:r>
    <w:proofErr w:type="spellStart"/>
    <w:r w:rsidRPr="00BB459F">
      <w:rPr>
        <w:rStyle w:val="HideTWBExt"/>
      </w:rPr>
      <w:t>NoPE</w:t>
    </w:r>
    <w:proofErr w:type="spellEnd"/>
    <w:r w:rsidRPr="00BB459F">
      <w:rPr>
        <w:rStyle w:val="HideTWBExt"/>
      </w:rPr>
      <w:t>&gt;</w:t>
    </w:r>
    <w:r w:rsidRPr="00BB459F">
      <w:t>753.513</w:t>
    </w:r>
    <w:r w:rsidRPr="00BB459F">
      <w:rPr>
        <w:rStyle w:val="HideTWBExt"/>
      </w:rPr>
      <w:t>&lt;/</w:t>
    </w:r>
    <w:proofErr w:type="spellStart"/>
    <w:r w:rsidRPr="00BB459F">
      <w:rPr>
        <w:rStyle w:val="HideTWBExt"/>
      </w:rPr>
      <w:t>NoPE</w:t>
    </w:r>
    <w:proofErr w:type="spellEnd"/>
    <w:r w:rsidRPr="00BB459F">
      <w:rPr>
        <w:rStyle w:val="HideTWBExt"/>
      </w:rPr>
      <w:t>&gt;&lt;Version&gt;</w:t>
    </w:r>
    <w:r w:rsidRPr="00BB459F">
      <w:t>v02-00</w:t>
    </w:r>
    <w:r w:rsidRPr="00BB459F">
      <w:rPr>
        <w:rStyle w:val="HideTWBExt"/>
      </w:rPr>
      <w:t>&lt;/</w:t>
    </w:r>
    <w:proofErr w:type="spellStart"/>
    <w:r w:rsidRPr="00BB459F">
      <w:rPr>
        <w:rStyle w:val="HideTWBExt"/>
      </w:rPr>
      <w:t>Version</w:t>
    </w:r>
    <w:proofErr w:type="spellEnd"/>
    <w:r w:rsidRPr="00BB459F">
      <w:rPr>
        <w:rStyle w:val="HideTWBExt"/>
      </w:rPr>
      <w:t>&gt;</w:t>
    </w:r>
  </w:p>
  <w:p w:rsidR="00285073" w:rsidRPr="00BB459F" w:rsidRDefault="00285073" w:rsidP="00446C12">
    <w:pPr>
      <w:pStyle w:val="EPFooter2"/>
    </w:pPr>
    <w:r w:rsidRPr="00BB459F">
      <w:t>RO</w:t>
    </w:r>
    <w:r w:rsidRPr="00BB459F">
      <w:tab/>
    </w:r>
    <w:r w:rsidRPr="00BB459F">
      <w:rPr>
        <w:b w:val="0"/>
        <w:i/>
        <w:color w:val="C0C0C0"/>
        <w:sz w:val="22"/>
      </w:rPr>
      <w:t>Unită în diversitate</w:t>
    </w:r>
    <w:r w:rsidRPr="00BB459F">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459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459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45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6830" w:rsidRPr="00BB459F" w:rsidRDefault="00A96830">
      <w:r w:rsidRPr="00BB459F">
        <w:separator/>
      </w:r>
    </w:p>
  </w:footnote>
  <w:footnote w:type="continuationSeparator" w:id="0">
    <w:p w:rsidR="00A96830" w:rsidRPr="00BB459F" w:rsidRDefault="00A96830">
      <w:r w:rsidRPr="00BB459F">
        <w:continuationSeparator/>
      </w:r>
    </w:p>
  </w:footnote>
  <w:footnote w:id="1">
    <w:p w:rsidR="00285073" w:rsidRPr="007141C4" w:rsidRDefault="00285073" w:rsidP="00BB459F">
      <w:pPr>
        <w:pStyle w:val="FootnoteText"/>
        <w:ind w:left="567" w:hanging="567"/>
        <w:rPr>
          <w:sz w:val="24"/>
          <w:lang w:val="ro-RO"/>
        </w:rPr>
      </w:pPr>
      <w:r w:rsidRPr="007141C4">
        <w:rPr>
          <w:rStyle w:val="FootnoteReference"/>
          <w:sz w:val="24"/>
          <w:lang w:val="ro-RO"/>
        </w:rPr>
        <w:footnoteRef/>
      </w:r>
      <w:r w:rsidR="00BB459F" w:rsidRPr="007141C4">
        <w:rPr>
          <w:sz w:val="24"/>
          <w:lang w:val="ro-RO"/>
        </w:rPr>
        <w:t xml:space="preserve"> </w:t>
      </w:r>
      <w:r w:rsidR="00BB459F" w:rsidRPr="007141C4">
        <w:rPr>
          <w:sz w:val="24"/>
          <w:lang w:val="ro-RO"/>
        </w:rPr>
        <w:tab/>
      </w:r>
      <w:r w:rsidRPr="007141C4">
        <w:rPr>
          <w:sz w:val="24"/>
          <w:lang w:val="ro-RO"/>
        </w:rPr>
        <w:t>JO C, C/2023/594, 27.10.2023.</w:t>
      </w:r>
    </w:p>
  </w:footnote>
  <w:footnote w:id="2">
    <w:p w:rsidR="00285073" w:rsidRPr="007141C4" w:rsidRDefault="00285073" w:rsidP="00BB459F">
      <w:pPr>
        <w:pStyle w:val="FootnoteText"/>
        <w:ind w:left="567" w:hanging="567"/>
        <w:rPr>
          <w:sz w:val="24"/>
          <w:lang w:val="ro-RO"/>
        </w:rPr>
      </w:pPr>
      <w:r w:rsidRPr="007141C4">
        <w:rPr>
          <w:rStyle w:val="FootnoteReference"/>
          <w:sz w:val="24"/>
          <w:lang w:val="ro-RO"/>
        </w:rPr>
        <w:footnoteRef/>
      </w:r>
      <w:r w:rsidR="00BB459F" w:rsidRPr="007141C4">
        <w:rPr>
          <w:sz w:val="24"/>
          <w:lang w:val="ro-RO"/>
        </w:rPr>
        <w:t xml:space="preserve"> </w:t>
      </w:r>
      <w:r w:rsidR="00BB459F" w:rsidRPr="007141C4">
        <w:rPr>
          <w:sz w:val="24"/>
          <w:lang w:val="ro-RO"/>
        </w:rPr>
        <w:tab/>
      </w:r>
      <w:r w:rsidRPr="007141C4">
        <w:rPr>
          <w:sz w:val="24"/>
          <w:lang w:val="ro-RO"/>
        </w:rPr>
        <w:t>JO C, C/2023/112, 12.10.2023.</w:t>
      </w:r>
    </w:p>
  </w:footnote>
  <w:footnote w:id="3">
    <w:p w:rsidR="00285073" w:rsidRPr="007141C4" w:rsidRDefault="00285073" w:rsidP="00BB459F">
      <w:pPr>
        <w:pStyle w:val="FootnoteText"/>
        <w:ind w:left="567" w:hanging="567"/>
        <w:rPr>
          <w:sz w:val="24"/>
          <w:lang w:val="ro-RO"/>
        </w:rPr>
      </w:pPr>
      <w:r w:rsidRPr="007141C4">
        <w:rPr>
          <w:rStyle w:val="FootnoteReference"/>
          <w:sz w:val="24"/>
          <w:lang w:val="ro-RO"/>
        </w:rPr>
        <w:footnoteRef/>
      </w:r>
      <w:r w:rsidR="00BB459F" w:rsidRPr="007141C4">
        <w:rPr>
          <w:sz w:val="24"/>
          <w:lang w:val="ro-RO"/>
        </w:rPr>
        <w:t xml:space="preserve"> </w:t>
      </w:r>
      <w:r w:rsidR="00BB459F" w:rsidRPr="007141C4">
        <w:rPr>
          <w:sz w:val="24"/>
          <w:lang w:val="ro-RO"/>
        </w:rPr>
        <w:tab/>
      </w:r>
      <w:r w:rsidRPr="007141C4">
        <w:rPr>
          <w:sz w:val="24"/>
          <w:lang w:val="ro-RO"/>
        </w:rPr>
        <w:t>JO L 193, 30.7.2018, p. 1.</w:t>
      </w:r>
    </w:p>
  </w:footnote>
  <w:footnote w:id="4">
    <w:p w:rsidR="00285073" w:rsidRPr="007141C4" w:rsidRDefault="00285073" w:rsidP="00BB459F">
      <w:pPr>
        <w:pStyle w:val="FootnoteText"/>
        <w:ind w:left="567" w:hanging="567"/>
        <w:rPr>
          <w:sz w:val="24"/>
          <w:lang w:val="ro-RO"/>
        </w:rPr>
      </w:pPr>
      <w:r w:rsidRPr="007141C4">
        <w:rPr>
          <w:rStyle w:val="FootnoteReference"/>
          <w:sz w:val="24"/>
          <w:lang w:val="ro-RO"/>
        </w:rPr>
        <w:footnoteRef/>
      </w:r>
      <w:r w:rsidR="00BB459F" w:rsidRPr="007141C4">
        <w:rPr>
          <w:sz w:val="24"/>
          <w:lang w:val="ro-RO"/>
        </w:rPr>
        <w:t xml:space="preserve"> </w:t>
      </w:r>
      <w:r w:rsidR="00BB459F" w:rsidRPr="007141C4">
        <w:rPr>
          <w:sz w:val="24"/>
          <w:lang w:val="ro-RO"/>
        </w:rPr>
        <w:tab/>
      </w:r>
      <w:r w:rsidRPr="007141C4">
        <w:rPr>
          <w:sz w:val="24"/>
          <w:lang w:val="ro-RO"/>
        </w:rPr>
        <w:t>JO L 331, 15.12.2010, p. 12.</w:t>
      </w:r>
    </w:p>
  </w:footnote>
  <w:footnote w:id="5">
    <w:p w:rsidR="00285073" w:rsidRPr="007141C4" w:rsidRDefault="00285073" w:rsidP="00BB459F">
      <w:pPr>
        <w:pStyle w:val="FootnoteText"/>
        <w:ind w:left="567" w:hanging="567"/>
        <w:rPr>
          <w:sz w:val="24"/>
          <w:szCs w:val="24"/>
          <w:lang w:val="ro-RO"/>
        </w:rPr>
      </w:pPr>
      <w:r w:rsidRPr="007141C4">
        <w:rPr>
          <w:rStyle w:val="FootnoteReference"/>
          <w:sz w:val="24"/>
          <w:lang w:val="ro-RO"/>
        </w:rPr>
        <w:footnoteRef/>
      </w:r>
      <w:r w:rsidR="00BB459F" w:rsidRPr="007141C4">
        <w:rPr>
          <w:sz w:val="24"/>
          <w:lang w:val="ro-RO"/>
        </w:rPr>
        <w:t xml:space="preserve"> </w:t>
      </w:r>
      <w:r w:rsidR="00BB459F" w:rsidRPr="007141C4">
        <w:rPr>
          <w:sz w:val="24"/>
          <w:lang w:val="ro-RO"/>
        </w:rPr>
        <w:tab/>
      </w:r>
      <w:r w:rsidRPr="007141C4">
        <w:rPr>
          <w:sz w:val="24"/>
          <w:lang w:val="ro-RO"/>
        </w:rPr>
        <w:t>JO L 122, 10.5.2019, p. 1.</w:t>
      </w:r>
    </w:p>
  </w:footnote>
  <w:footnote w:id="6">
    <w:p w:rsidR="00285073" w:rsidRPr="007141C4" w:rsidRDefault="00285073" w:rsidP="00BB459F">
      <w:pPr>
        <w:pStyle w:val="FootnoteText"/>
        <w:ind w:left="567" w:hanging="567"/>
        <w:rPr>
          <w:sz w:val="24"/>
          <w:lang w:val="ro-RO"/>
        </w:rPr>
      </w:pPr>
      <w:r w:rsidRPr="007141C4">
        <w:rPr>
          <w:rStyle w:val="FootnoteReference"/>
          <w:sz w:val="24"/>
          <w:lang w:val="ro-RO"/>
        </w:rPr>
        <w:footnoteRef/>
      </w:r>
      <w:r w:rsidR="00BB459F" w:rsidRPr="007141C4">
        <w:rPr>
          <w:sz w:val="24"/>
          <w:lang w:val="ro-RO"/>
        </w:rPr>
        <w:t xml:space="preserve"> </w:t>
      </w:r>
      <w:r w:rsidR="00BB459F" w:rsidRPr="007141C4">
        <w:rPr>
          <w:sz w:val="24"/>
          <w:lang w:val="ro-RO"/>
        </w:rPr>
        <w:tab/>
      </w:r>
      <w:r w:rsidRPr="007141C4">
        <w:rPr>
          <w:sz w:val="24"/>
          <w:lang w:val="ro-RO"/>
        </w:rPr>
        <w:t>JO C, C/2023/594, 27.10.2023.</w:t>
      </w:r>
    </w:p>
  </w:footnote>
  <w:footnote w:id="7">
    <w:p w:rsidR="00285073" w:rsidRPr="007141C4" w:rsidRDefault="00285073" w:rsidP="00BB459F">
      <w:pPr>
        <w:pStyle w:val="FootnoteText"/>
        <w:ind w:left="567" w:hanging="567"/>
        <w:rPr>
          <w:sz w:val="24"/>
          <w:lang w:val="ro-RO"/>
        </w:rPr>
      </w:pPr>
      <w:r w:rsidRPr="007141C4">
        <w:rPr>
          <w:rStyle w:val="FootnoteReference"/>
          <w:sz w:val="24"/>
          <w:lang w:val="ro-RO"/>
        </w:rPr>
        <w:footnoteRef/>
      </w:r>
      <w:r w:rsidR="00BB459F" w:rsidRPr="007141C4">
        <w:rPr>
          <w:sz w:val="24"/>
          <w:lang w:val="ro-RO"/>
        </w:rPr>
        <w:t xml:space="preserve"> </w:t>
      </w:r>
      <w:r w:rsidR="00BB459F" w:rsidRPr="007141C4">
        <w:rPr>
          <w:sz w:val="24"/>
          <w:lang w:val="ro-RO"/>
        </w:rPr>
        <w:tab/>
      </w:r>
      <w:r w:rsidRPr="007141C4">
        <w:rPr>
          <w:sz w:val="24"/>
          <w:lang w:val="ro-RO"/>
        </w:rPr>
        <w:t>JO C, C/2023/112, 12.10.2023.</w:t>
      </w:r>
    </w:p>
  </w:footnote>
  <w:footnote w:id="8">
    <w:p w:rsidR="00285073" w:rsidRPr="007141C4" w:rsidRDefault="00285073" w:rsidP="00BB459F">
      <w:pPr>
        <w:pStyle w:val="FootnoteText"/>
        <w:ind w:left="567" w:hanging="567"/>
        <w:rPr>
          <w:sz w:val="24"/>
          <w:lang w:val="ro-RO"/>
        </w:rPr>
      </w:pPr>
      <w:r w:rsidRPr="007141C4">
        <w:rPr>
          <w:rStyle w:val="FootnoteReference"/>
          <w:sz w:val="24"/>
          <w:lang w:val="ro-RO"/>
        </w:rPr>
        <w:footnoteRef/>
      </w:r>
      <w:r w:rsidR="00BB459F" w:rsidRPr="007141C4">
        <w:rPr>
          <w:sz w:val="24"/>
          <w:lang w:val="ro-RO"/>
        </w:rPr>
        <w:t xml:space="preserve"> </w:t>
      </w:r>
      <w:r w:rsidR="00BB459F" w:rsidRPr="007141C4">
        <w:rPr>
          <w:sz w:val="24"/>
          <w:lang w:val="ro-RO"/>
        </w:rPr>
        <w:tab/>
      </w:r>
      <w:r w:rsidRPr="007141C4">
        <w:rPr>
          <w:sz w:val="24"/>
          <w:lang w:val="ro-RO"/>
        </w:rPr>
        <w:t>JO L 193, 30.7.2018, p. 1.</w:t>
      </w:r>
    </w:p>
  </w:footnote>
  <w:footnote w:id="9">
    <w:p w:rsidR="00285073" w:rsidRPr="007141C4" w:rsidRDefault="00285073" w:rsidP="00BB459F">
      <w:pPr>
        <w:pStyle w:val="FootnoteText"/>
        <w:ind w:left="567" w:hanging="567"/>
        <w:rPr>
          <w:sz w:val="24"/>
          <w:lang w:val="ro-RO"/>
        </w:rPr>
      </w:pPr>
      <w:r w:rsidRPr="007141C4">
        <w:rPr>
          <w:rStyle w:val="FootnoteReference"/>
          <w:sz w:val="24"/>
          <w:lang w:val="ro-RO"/>
        </w:rPr>
        <w:footnoteRef/>
      </w:r>
      <w:r w:rsidR="00BB459F" w:rsidRPr="007141C4">
        <w:rPr>
          <w:sz w:val="24"/>
          <w:lang w:val="ro-RO"/>
        </w:rPr>
        <w:t xml:space="preserve"> </w:t>
      </w:r>
      <w:r w:rsidR="00BB459F" w:rsidRPr="007141C4">
        <w:rPr>
          <w:sz w:val="24"/>
          <w:lang w:val="ro-RO"/>
        </w:rPr>
        <w:tab/>
      </w:r>
      <w:r w:rsidRPr="007141C4">
        <w:rPr>
          <w:sz w:val="24"/>
          <w:lang w:val="ro-RO"/>
        </w:rPr>
        <w:t>JO L 331, 15.12.2010, p. 12.</w:t>
      </w:r>
    </w:p>
  </w:footnote>
  <w:footnote w:id="10">
    <w:p w:rsidR="00285073" w:rsidRPr="007141C4" w:rsidRDefault="00285073" w:rsidP="00BB459F">
      <w:pPr>
        <w:pStyle w:val="FootnoteText"/>
        <w:ind w:left="567" w:hanging="567"/>
        <w:rPr>
          <w:sz w:val="24"/>
          <w:szCs w:val="24"/>
          <w:lang w:val="ro-RO"/>
        </w:rPr>
      </w:pPr>
      <w:r w:rsidRPr="007141C4">
        <w:rPr>
          <w:rStyle w:val="FootnoteReference"/>
          <w:sz w:val="24"/>
          <w:lang w:val="ro-RO"/>
        </w:rPr>
        <w:footnoteRef/>
      </w:r>
      <w:r w:rsidR="00BB459F" w:rsidRPr="007141C4">
        <w:rPr>
          <w:sz w:val="24"/>
          <w:lang w:val="ro-RO"/>
        </w:rPr>
        <w:t xml:space="preserve"> </w:t>
      </w:r>
      <w:r w:rsidR="00BB459F" w:rsidRPr="007141C4">
        <w:rPr>
          <w:sz w:val="24"/>
          <w:lang w:val="ro-RO"/>
        </w:rPr>
        <w:tab/>
      </w:r>
      <w:r w:rsidRPr="007141C4">
        <w:rPr>
          <w:sz w:val="24"/>
          <w:lang w:val="ro-RO"/>
        </w:rPr>
        <w:t>JO L 122, 10.5.2019, p. 1.</w:t>
      </w:r>
    </w:p>
  </w:footnote>
  <w:footnote w:id="11">
    <w:p w:rsidR="00285073" w:rsidRPr="007141C4" w:rsidRDefault="00285073" w:rsidP="00BB459F">
      <w:pPr>
        <w:pStyle w:val="FootnoteText"/>
        <w:ind w:left="567" w:hanging="567"/>
        <w:rPr>
          <w:sz w:val="24"/>
          <w:lang w:val="ro-RO"/>
        </w:rPr>
      </w:pPr>
      <w:r w:rsidRPr="007141C4">
        <w:rPr>
          <w:rStyle w:val="FootnoteReference"/>
          <w:sz w:val="24"/>
          <w:lang w:val="ro-RO"/>
        </w:rPr>
        <w:footnoteRef/>
      </w:r>
      <w:r w:rsidR="00BB459F" w:rsidRPr="007141C4">
        <w:rPr>
          <w:sz w:val="24"/>
          <w:lang w:val="ro-RO"/>
        </w:rPr>
        <w:t xml:space="preserve"> </w:t>
      </w:r>
      <w:r w:rsidR="00BB459F" w:rsidRPr="007141C4">
        <w:rPr>
          <w:sz w:val="24"/>
          <w:lang w:val="ro-RO"/>
        </w:rPr>
        <w:tab/>
      </w:r>
      <w:r w:rsidRPr="007141C4">
        <w:rPr>
          <w:sz w:val="24"/>
          <w:lang w:val="ro-RO"/>
        </w:rPr>
        <w:t>JO C 73, 28.2.2023, p. 102.</w:t>
      </w:r>
    </w:p>
  </w:footnote>
  <w:footnote w:id="12">
    <w:p w:rsidR="00285073" w:rsidRPr="007141C4" w:rsidRDefault="00285073" w:rsidP="00BB459F">
      <w:pPr>
        <w:pStyle w:val="FootnoteText"/>
        <w:ind w:left="567" w:hanging="567"/>
        <w:rPr>
          <w:sz w:val="24"/>
          <w:lang w:val="ro-RO"/>
        </w:rPr>
      </w:pPr>
      <w:r w:rsidRPr="007141C4">
        <w:rPr>
          <w:rStyle w:val="FootnoteReference"/>
          <w:sz w:val="24"/>
          <w:lang w:val="ro-RO"/>
        </w:rPr>
        <w:footnoteRef/>
      </w:r>
      <w:r w:rsidR="00BB459F" w:rsidRPr="007141C4">
        <w:rPr>
          <w:sz w:val="24"/>
          <w:lang w:val="ro-RO"/>
        </w:rPr>
        <w:t xml:space="preserve"> </w:t>
      </w:r>
      <w:r w:rsidR="00BB459F" w:rsidRPr="007141C4">
        <w:rPr>
          <w:sz w:val="24"/>
          <w:lang w:val="ro-RO"/>
        </w:rPr>
        <w:tab/>
      </w:r>
      <w:r w:rsidRPr="007141C4">
        <w:rPr>
          <w:sz w:val="24"/>
          <w:lang w:val="ro-RO"/>
        </w:rPr>
        <w:t>Regulamentul (UE) 2022/2554 al Parlamentului European și al Consiliului din 14 decembrie 2022 privind reziliența operațională digitală a sectorului financiar și de modificare a Regulamentelor (CE) nr. 1060/2009, (UE) nr. 648/2012, (UE) nr. 600/2014, (UE) nr. 909/2014 și (UE) 2016/1011 (JO L 333, 27.12.2022, p. 1).</w:t>
      </w:r>
    </w:p>
  </w:footnote>
  <w:footnote w:id="13">
    <w:p w:rsidR="00285073" w:rsidRPr="007141C4" w:rsidRDefault="00285073" w:rsidP="00BB459F">
      <w:pPr>
        <w:pStyle w:val="FootnoteText"/>
        <w:ind w:left="567" w:hanging="567"/>
        <w:rPr>
          <w:sz w:val="24"/>
          <w:lang w:val="ro-RO"/>
        </w:rPr>
      </w:pPr>
      <w:r w:rsidRPr="007141C4">
        <w:rPr>
          <w:rStyle w:val="FootnoteReference"/>
          <w:sz w:val="24"/>
          <w:lang w:val="ro-RO"/>
        </w:rPr>
        <w:footnoteRef/>
      </w:r>
      <w:r w:rsidR="00BB459F" w:rsidRPr="007141C4">
        <w:rPr>
          <w:sz w:val="24"/>
          <w:lang w:val="ro-RO"/>
        </w:rPr>
        <w:t xml:space="preserve"> </w:t>
      </w:r>
      <w:r w:rsidR="00BB459F" w:rsidRPr="007141C4">
        <w:rPr>
          <w:sz w:val="24"/>
          <w:lang w:val="ro-RO"/>
        </w:rPr>
        <w:tab/>
      </w:r>
      <w:r w:rsidRPr="007141C4">
        <w:rPr>
          <w:sz w:val="24"/>
          <w:lang w:val="ro-RO"/>
        </w:rPr>
        <w:t>Directiva (UE) 2022/2556 a Parlamentului European și a Consiliului din 14 decembrie 2022 de modificare a Directivelor 2009/65/CE, 2009/138/CE, 2011/61/UE, 2013/36/UE, 2014/59/UE, 2014/65/UE, (UE) 2015/2366 și (UE) 2016/2341 în ceea ce privește reziliența operațională digitală a sectorului financiar (JO L 333, 27.12.2022, p. 153).</w:t>
      </w:r>
    </w:p>
  </w:footnote>
  <w:footnote w:id="14">
    <w:p w:rsidR="00285073" w:rsidRPr="007141C4" w:rsidRDefault="00285073" w:rsidP="00BB459F">
      <w:pPr>
        <w:pStyle w:val="FootnoteText"/>
        <w:ind w:left="567" w:hanging="567"/>
        <w:rPr>
          <w:sz w:val="24"/>
          <w:lang w:val="ro-RO"/>
        </w:rPr>
      </w:pPr>
      <w:r w:rsidRPr="007141C4">
        <w:rPr>
          <w:rStyle w:val="FootnoteReference"/>
          <w:sz w:val="24"/>
          <w:lang w:val="ro-RO"/>
        </w:rPr>
        <w:footnoteRef/>
      </w:r>
      <w:r w:rsidR="00BB459F" w:rsidRPr="007141C4">
        <w:rPr>
          <w:sz w:val="24"/>
          <w:lang w:val="ro-RO"/>
        </w:rPr>
        <w:t xml:space="preserve"> </w:t>
      </w:r>
      <w:r w:rsidR="00BB459F" w:rsidRPr="007141C4">
        <w:rPr>
          <w:sz w:val="24"/>
          <w:lang w:val="ro-RO"/>
        </w:rPr>
        <w:tab/>
      </w:r>
      <w:r w:rsidRPr="007141C4">
        <w:rPr>
          <w:sz w:val="24"/>
          <w:lang w:val="ro-RO"/>
        </w:rPr>
        <w:t xml:space="preserve">Regulamentul (UE) 2023/1114 al Parlamentului European și al Consiliului din 31 mai 2023 privind piețele </w:t>
      </w:r>
      <w:proofErr w:type="spellStart"/>
      <w:r w:rsidRPr="007141C4">
        <w:rPr>
          <w:sz w:val="24"/>
          <w:lang w:val="ro-RO"/>
        </w:rPr>
        <w:t>criptoactivelor</w:t>
      </w:r>
      <w:proofErr w:type="spellEnd"/>
      <w:r w:rsidRPr="007141C4">
        <w:rPr>
          <w:sz w:val="24"/>
          <w:lang w:val="ro-RO"/>
        </w:rPr>
        <w:t xml:space="preserve"> și de modificare a Regulamentelor (UE) nr. </w:t>
      </w:r>
      <w:bookmarkStart w:id="8" w:name="_GoBack"/>
      <w:r w:rsidRPr="007141C4">
        <w:rPr>
          <w:sz w:val="24"/>
          <w:lang w:val="ro-RO"/>
        </w:rPr>
        <w:t>1093</w:t>
      </w:r>
      <w:bookmarkEnd w:id="8"/>
      <w:r w:rsidRPr="007141C4">
        <w:rPr>
          <w:sz w:val="24"/>
          <w:lang w:val="ro-RO"/>
        </w:rPr>
        <w:t>/2010 și (UE) nr. 1095/2010 și a Directivelor 2013/36/UE și (UE) 2019/1937 (JO L 150, 9.6.2023, p. 40).</w:t>
      </w:r>
    </w:p>
  </w:footnote>
  <w:footnote w:id="15">
    <w:p w:rsidR="00285073" w:rsidRPr="00BB459F" w:rsidRDefault="00285073" w:rsidP="00BB459F">
      <w:pPr>
        <w:pStyle w:val="FootnoteText"/>
        <w:ind w:left="567" w:hanging="567"/>
        <w:rPr>
          <w:sz w:val="24"/>
          <w:lang w:val="ro-RO"/>
        </w:rPr>
      </w:pPr>
      <w:r w:rsidRPr="007141C4">
        <w:rPr>
          <w:rStyle w:val="FootnoteReference"/>
          <w:sz w:val="24"/>
          <w:lang w:val="ro-RO"/>
        </w:rPr>
        <w:footnoteRef/>
      </w:r>
      <w:r w:rsidR="00BB459F" w:rsidRPr="007141C4">
        <w:rPr>
          <w:sz w:val="24"/>
          <w:lang w:val="ro-RO"/>
        </w:rPr>
        <w:t xml:space="preserve"> </w:t>
      </w:r>
      <w:r w:rsidR="00BB459F" w:rsidRPr="007141C4">
        <w:rPr>
          <w:sz w:val="24"/>
          <w:lang w:val="ro-RO"/>
        </w:rPr>
        <w:tab/>
      </w:r>
      <w:r w:rsidRPr="007141C4">
        <w:rPr>
          <w:sz w:val="24"/>
          <w:lang w:val="ro-RO"/>
        </w:rPr>
        <w:t>Texte adoptate, P9_TA(2024)</w:t>
      </w:r>
      <w:r w:rsidR="00486F9D" w:rsidRPr="007141C4">
        <w:rPr>
          <w:sz w:val="24"/>
          <w:lang w:val="ro-RO"/>
        </w:rPr>
        <w:t>0280</w:t>
      </w:r>
      <w:r w:rsidRPr="007141C4">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459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459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45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1/2024"/>
    <w:docVar w:name="dvlangue" w:val="RO"/>
    <w:docVar w:name="dvnumam" w:val="0"/>
    <w:docVar w:name="dvpe" w:val="753.513"/>
    <w:docVar w:name="dvrapporteur" w:val="Raportor: "/>
    <w:docVar w:name="dvtitre" w:val="1. Decizia Parlamentului European din 11 aprilie 2024 privind descărcarea de gestiune pentru execuția bugetului Autorității Bancare Europene aferent exercițiului financiar 2022(2023/2146(DEC))"/>
  </w:docVars>
  <w:rsids>
    <w:rsidRoot w:val="00A96830"/>
    <w:rsid w:val="00002272"/>
    <w:rsid w:val="00064002"/>
    <w:rsid w:val="000677B9"/>
    <w:rsid w:val="000831BA"/>
    <w:rsid w:val="000A42CC"/>
    <w:rsid w:val="000E7DD9"/>
    <w:rsid w:val="0010095E"/>
    <w:rsid w:val="00125B37"/>
    <w:rsid w:val="00187494"/>
    <w:rsid w:val="001F32AE"/>
    <w:rsid w:val="002767FF"/>
    <w:rsid w:val="00285073"/>
    <w:rsid w:val="002B18FE"/>
    <w:rsid w:val="002B5493"/>
    <w:rsid w:val="00343214"/>
    <w:rsid w:val="00361C00"/>
    <w:rsid w:val="00395FA1"/>
    <w:rsid w:val="003E15D4"/>
    <w:rsid w:val="00411CCE"/>
    <w:rsid w:val="0041666E"/>
    <w:rsid w:val="00421060"/>
    <w:rsid w:val="00471C19"/>
    <w:rsid w:val="00472167"/>
    <w:rsid w:val="004867E3"/>
    <w:rsid w:val="00486F9D"/>
    <w:rsid w:val="00494A28"/>
    <w:rsid w:val="004C0004"/>
    <w:rsid w:val="004C5D52"/>
    <w:rsid w:val="0050519A"/>
    <w:rsid w:val="005072A1"/>
    <w:rsid w:val="00514517"/>
    <w:rsid w:val="00545827"/>
    <w:rsid w:val="00560270"/>
    <w:rsid w:val="005C2568"/>
    <w:rsid w:val="006037C0"/>
    <w:rsid w:val="006631B6"/>
    <w:rsid w:val="00680577"/>
    <w:rsid w:val="006E4499"/>
    <w:rsid w:val="006F74FA"/>
    <w:rsid w:val="007141C4"/>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1E66"/>
    <w:rsid w:val="00A1687D"/>
    <w:rsid w:val="00A43E52"/>
    <w:rsid w:val="00A4678D"/>
    <w:rsid w:val="00A778C7"/>
    <w:rsid w:val="00A96830"/>
    <w:rsid w:val="00AB441E"/>
    <w:rsid w:val="00AB6293"/>
    <w:rsid w:val="00AE0928"/>
    <w:rsid w:val="00AF3B82"/>
    <w:rsid w:val="00B12E95"/>
    <w:rsid w:val="00B22876"/>
    <w:rsid w:val="00B558F0"/>
    <w:rsid w:val="00BB459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065F83"/>
  <w15:chartTrackingRefBased/>
  <w15:docId w15:val="{A6B9D78F-FB7F-4AC1-8DDA-27BCB0879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8507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85073"/>
    <w:pPr>
      <w:spacing w:before="480" w:after="240"/>
    </w:pPr>
  </w:style>
  <w:style w:type="paragraph" w:customStyle="1" w:styleId="PageHeading">
    <w:name w:val="PageHeading"/>
    <w:basedOn w:val="Normal"/>
    <w:rsid w:val="00285073"/>
    <w:pPr>
      <w:keepNext/>
      <w:spacing w:after="480"/>
      <w:jc w:val="center"/>
    </w:pPr>
    <w:rPr>
      <w:rFonts w:ascii="Arial" w:hAnsi="Arial" w:cs="Arial"/>
      <w:b/>
    </w:rPr>
  </w:style>
  <w:style w:type="paragraph" w:customStyle="1" w:styleId="NormalBold">
    <w:name w:val="NormalBold"/>
    <w:basedOn w:val="Normal"/>
    <w:rsid w:val="00285073"/>
    <w:rPr>
      <w:b/>
    </w:rPr>
  </w:style>
  <w:style w:type="paragraph" w:customStyle="1" w:styleId="NormalHanging12a">
    <w:name w:val="NormalHanging12a"/>
    <w:basedOn w:val="Normal"/>
    <w:link w:val="NormalHanging12aChar"/>
    <w:rsid w:val="00285073"/>
    <w:pPr>
      <w:spacing w:after="240"/>
      <w:ind w:left="567" w:hanging="567"/>
    </w:pPr>
  </w:style>
  <w:style w:type="paragraph" w:customStyle="1" w:styleId="NormalCenter12a">
    <w:name w:val="NormalCenter12a"/>
    <w:basedOn w:val="Normal"/>
    <w:rsid w:val="00285073"/>
    <w:pPr>
      <w:spacing w:after="240"/>
      <w:jc w:val="center"/>
    </w:pPr>
  </w:style>
  <w:style w:type="paragraph" w:styleId="Header">
    <w:name w:val="header"/>
    <w:basedOn w:val="Normal"/>
    <w:link w:val="HeaderChar"/>
    <w:rsid w:val="00285073"/>
    <w:pPr>
      <w:tabs>
        <w:tab w:val="center" w:pos="4513"/>
        <w:tab w:val="right" w:pos="9026"/>
      </w:tabs>
    </w:pPr>
  </w:style>
  <w:style w:type="character" w:customStyle="1" w:styleId="HeaderChar">
    <w:name w:val="Header Char"/>
    <w:basedOn w:val="DefaultParagraphFont"/>
    <w:link w:val="Header"/>
    <w:rsid w:val="00285073"/>
    <w:rPr>
      <w:sz w:val="24"/>
      <w:lang w:val="ro-RO"/>
    </w:rPr>
  </w:style>
  <w:style w:type="paragraph" w:customStyle="1" w:styleId="EPFooter">
    <w:name w:val="EPFooter"/>
    <w:basedOn w:val="Normal"/>
    <w:rsid w:val="00285073"/>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285073"/>
    <w:rPr>
      <w:sz w:val="24"/>
      <w:lang w:val="ro-RO"/>
    </w:rPr>
  </w:style>
  <w:style w:type="paragraph" w:customStyle="1" w:styleId="Normal24a">
    <w:name w:val="Normal24a"/>
    <w:basedOn w:val="Normal"/>
    <w:rsid w:val="00285073"/>
    <w:pPr>
      <w:spacing w:after="480"/>
    </w:pPr>
  </w:style>
  <w:style w:type="paragraph" w:customStyle="1" w:styleId="Normal12a">
    <w:name w:val="Normal12a"/>
    <w:basedOn w:val="Normal"/>
    <w:rsid w:val="00285073"/>
    <w:pPr>
      <w:spacing w:after="240"/>
    </w:pPr>
  </w:style>
  <w:style w:type="paragraph" w:customStyle="1" w:styleId="RollCallVotes">
    <w:name w:val="RollCallVotes"/>
    <w:basedOn w:val="Normal"/>
    <w:rsid w:val="00285073"/>
    <w:pPr>
      <w:spacing w:before="120" w:after="120"/>
      <w:jc w:val="center"/>
    </w:pPr>
    <w:rPr>
      <w:b/>
      <w:bCs/>
      <w:snapToGrid w:val="0"/>
      <w:sz w:val="16"/>
      <w:lang w:eastAsia="en-US"/>
    </w:rPr>
  </w:style>
  <w:style w:type="paragraph" w:customStyle="1" w:styleId="RollCallSymbols14pt">
    <w:name w:val="RollCallSymbols14pt"/>
    <w:basedOn w:val="Normal"/>
    <w:rsid w:val="00285073"/>
    <w:pPr>
      <w:spacing w:before="120" w:after="120"/>
      <w:jc w:val="center"/>
    </w:pPr>
    <w:rPr>
      <w:rFonts w:ascii="Arial" w:hAnsi="Arial"/>
      <w:b/>
      <w:bCs/>
      <w:snapToGrid w:val="0"/>
      <w:sz w:val="28"/>
      <w:lang w:eastAsia="en-US"/>
    </w:rPr>
  </w:style>
  <w:style w:type="paragraph" w:customStyle="1" w:styleId="RollCallTable">
    <w:name w:val="RollCallTable"/>
    <w:basedOn w:val="Normal"/>
    <w:rsid w:val="00285073"/>
    <w:pPr>
      <w:spacing w:before="120" w:after="120"/>
    </w:pPr>
    <w:rPr>
      <w:snapToGrid w:val="0"/>
      <w:sz w:val="16"/>
      <w:lang w:eastAsia="en-US"/>
    </w:rPr>
  </w:style>
  <w:style w:type="paragraph" w:styleId="Footer">
    <w:name w:val="footer"/>
    <w:basedOn w:val="Normal"/>
    <w:link w:val="FooterChar"/>
    <w:rsid w:val="00472167"/>
    <w:pPr>
      <w:tabs>
        <w:tab w:val="center" w:pos="4513"/>
        <w:tab w:val="right" w:pos="9026"/>
      </w:tabs>
    </w:pPr>
  </w:style>
  <w:style w:type="character" w:customStyle="1" w:styleId="FooterChar">
    <w:name w:val="Footer Char"/>
    <w:basedOn w:val="DefaultParagraphFont"/>
    <w:link w:val="Footer"/>
    <w:rsid w:val="00472167"/>
    <w:rPr>
      <w:sz w:val="24"/>
      <w:lang w:val="ro-RO"/>
    </w:rPr>
  </w:style>
  <w:style w:type="paragraph" w:styleId="BalloonText">
    <w:name w:val="Balloon Text"/>
    <w:basedOn w:val="Normal"/>
    <w:link w:val="BalloonTextChar"/>
    <w:rsid w:val="006E4499"/>
    <w:rPr>
      <w:rFonts w:ascii="Segoe UI" w:hAnsi="Segoe UI" w:cs="Segoe UI"/>
      <w:sz w:val="18"/>
      <w:szCs w:val="18"/>
    </w:rPr>
  </w:style>
  <w:style w:type="character" w:customStyle="1" w:styleId="BalloonTextChar">
    <w:name w:val="Balloon Text Char"/>
    <w:basedOn w:val="DefaultParagraphFont"/>
    <w:link w:val="BalloonText"/>
    <w:rsid w:val="006E4499"/>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AF49EE-5E20-46D3-8B83-83C3D3A94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3427</Words>
  <Characters>20946</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2024-05-22T09:41:00Z</dcterms:created>
  <dcterms:modified xsi:type="dcterms:W3CDTF">2024-05-22T09:41:00Z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P9_TA(2024)0262_</vt:lpwstr>
  </property>
  <property fmtid="{D5CDD505-2E9C-101B-9397-08002B2CF9AE}" pid="4" name="&lt;Type&gt;">
    <vt:lpwstr>RR</vt:lpwstr>
  </property>
</Properties>
</file>