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C2775" w:rsidRPr="00E6123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C2775" w:rsidRPr="00E61237" w:rsidRDefault="00E61237">
            <w:pPr>
              <w:pStyle w:val="EPName"/>
            </w:pPr>
            <w:r w:rsidRPr="00E61237">
              <w:t>Európsky parlament</w:t>
            </w:r>
          </w:p>
          <w:p w:rsidR="004C2775" w:rsidRPr="00E61237" w:rsidRDefault="00E6123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123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4C2775" w:rsidRPr="00E61237" w:rsidRDefault="00E61237">
            <w:pPr>
              <w:pStyle w:val="EPLogo"/>
            </w:pPr>
            <w:r w:rsidRPr="00E612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C2775" w:rsidRPr="00E61237" w:rsidRDefault="004C2775">
      <w:pPr>
        <w:pStyle w:val="LineTop"/>
      </w:pPr>
    </w:p>
    <w:p w:rsidR="004C2775" w:rsidRPr="00E61237" w:rsidRDefault="00E61237">
      <w:pPr>
        <w:pStyle w:val="EPBodyTA1"/>
      </w:pPr>
      <w:r w:rsidRPr="00E61237">
        <w:t>PRIJATÉ TEXTY</w:t>
      </w:r>
    </w:p>
    <w:p w:rsidR="004C2775" w:rsidRPr="00E61237" w:rsidRDefault="004C2775">
      <w:pPr>
        <w:pStyle w:val="LineBottom"/>
      </w:pPr>
    </w:p>
    <w:p w:rsidR="004C2775" w:rsidRPr="00E61237" w:rsidRDefault="00E61237">
      <w:pPr>
        <w:pStyle w:val="ATHeading1"/>
      </w:pPr>
      <w:bookmarkStart w:id="0" w:name="TANumber"/>
      <w:r w:rsidRPr="00E61237">
        <w:t>P9_TA(2024)0</w:t>
      </w:r>
      <w:r w:rsidR="00EB1B1F" w:rsidRPr="00E61237">
        <w:t>262</w:t>
      </w:r>
      <w:bookmarkEnd w:id="0"/>
    </w:p>
    <w:p w:rsidR="004C2775" w:rsidRPr="00E61237" w:rsidRDefault="00E61237">
      <w:pPr>
        <w:pStyle w:val="ATHeading2"/>
      </w:pPr>
      <w:bookmarkStart w:id="1" w:name="title"/>
      <w:r w:rsidRPr="00E61237">
        <w:t>Absolutórium za rok 2022: Európsky orgán pre bankovníctvo</w:t>
      </w:r>
      <w:bookmarkEnd w:id="1"/>
    </w:p>
    <w:p w:rsidR="004C2775" w:rsidRPr="00E61237" w:rsidRDefault="00E61237">
      <w:pPr>
        <w:rPr>
          <w:i/>
          <w:vanish/>
        </w:rPr>
      </w:pPr>
      <w:r w:rsidRPr="00E61237">
        <w:rPr>
          <w:i/>
        </w:rPr>
        <w:fldChar w:fldCharType="begin"/>
      </w:r>
      <w:r w:rsidRPr="00E61237">
        <w:rPr>
          <w:i/>
        </w:rPr>
        <w:instrText xml:space="preserve"> TC"(</w:instrText>
      </w:r>
      <w:bookmarkStart w:id="2" w:name="DocNumber"/>
      <w:r w:rsidRPr="00E61237">
        <w:rPr>
          <w:i/>
        </w:rPr>
        <w:instrText>A9-0111/2024</w:instrText>
      </w:r>
      <w:bookmarkEnd w:id="2"/>
      <w:r w:rsidRPr="00E61237">
        <w:rPr>
          <w:i/>
        </w:rPr>
        <w:instrText xml:space="preserve"> - Spravodajca: Petri Sarvamaa)"\l3 \n&gt; \* MERGEFORMAT </w:instrText>
      </w:r>
      <w:r w:rsidRPr="00E61237">
        <w:rPr>
          <w:i/>
        </w:rPr>
        <w:fldChar w:fldCharType="end"/>
      </w:r>
    </w:p>
    <w:p w:rsidR="004C2775" w:rsidRPr="00E61237" w:rsidRDefault="00E61237">
      <w:pPr>
        <w:rPr>
          <w:vanish/>
        </w:rPr>
      </w:pPr>
      <w:bookmarkStart w:id="3" w:name="Commission"/>
      <w:r w:rsidRPr="00E61237">
        <w:rPr>
          <w:vanish/>
        </w:rPr>
        <w:t>Výbor pre kontrolu rozpočtu</w:t>
      </w:r>
      <w:bookmarkEnd w:id="3"/>
    </w:p>
    <w:p w:rsidR="004C2775" w:rsidRPr="00E61237" w:rsidRDefault="00E61237">
      <w:pPr>
        <w:rPr>
          <w:vanish/>
        </w:rPr>
      </w:pPr>
      <w:bookmarkStart w:id="4" w:name="PE"/>
      <w:r w:rsidRPr="00E61237">
        <w:rPr>
          <w:vanish/>
        </w:rPr>
        <w:t>PE753.513</w:t>
      </w:r>
      <w:bookmarkEnd w:id="4"/>
    </w:p>
    <w:p w:rsidR="004C2775" w:rsidRPr="00E61237" w:rsidRDefault="00E61237">
      <w:pPr>
        <w:pStyle w:val="ATHeading3"/>
      </w:pPr>
      <w:bookmarkStart w:id="5" w:name="Sujet"/>
      <w:r w:rsidRPr="00E61237">
        <w:t>1. Rozhodnutie Európskeho parlamentu z 11. apríla 2024 o absolutóriu za plnenie rozpočtu Európskeho orgánu pre bankovníctvo za rozpočtový rok 2022</w:t>
      </w:r>
      <w:bookmarkEnd w:id="5"/>
      <w:r w:rsidRPr="00E61237">
        <w:t xml:space="preserve"> </w:t>
      </w:r>
      <w:bookmarkStart w:id="6" w:name="References"/>
      <w:r w:rsidRPr="00E61237">
        <w:t>(2023/2146(DEC))</w:t>
      </w:r>
      <w:bookmarkEnd w:id="6"/>
    </w:p>
    <w:p w:rsidR="004C2775" w:rsidRPr="00E61237" w:rsidRDefault="00E61237">
      <w:pPr>
        <w:pStyle w:val="EPComma"/>
      </w:pPr>
      <w:bookmarkStart w:id="7" w:name="TextBodyBegin"/>
      <w:bookmarkEnd w:id="7"/>
      <w:r w:rsidRPr="00E61237">
        <w:rPr>
          <w:i/>
          <w:iCs/>
        </w:rPr>
        <w:t>Európsky parlament</w:t>
      </w:r>
      <w:r w:rsidRPr="00E61237">
        <w:t>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konečnú ročnú účtovnú závierku Európskeho orgánu pre bankovníctvo za rozpočtový rok 2022,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výročnú správu Dvora audítorov o agentúrach EÚ za rozpočtový rok 2022 spolu s odpoveďami agentúr</w:t>
      </w:r>
      <w:r w:rsidRPr="00E61237">
        <w:rPr>
          <w:rStyle w:val="FootnoteReference"/>
        </w:rPr>
        <w:footnoteReference w:id="1"/>
      </w:r>
      <w:r w:rsidRPr="00E61237">
        <w:t>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vyhlásenie o vierohodnosti</w:t>
      </w:r>
      <w:r w:rsidRPr="00E61237">
        <w:rPr>
          <w:rStyle w:val="FootnoteReference"/>
        </w:rPr>
        <w:footnoteReference w:id="2"/>
      </w:r>
      <w:r w:rsidRPr="00E61237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odporúčanie Rady z 22. februára 2024 o udelení absolutória orgánu za plnenie rozpočtu za rozpočtový rok 2022 (06180/2024 – C9</w:t>
      </w:r>
      <w:r w:rsidRPr="00E61237">
        <w:noBreakHyphen/>
        <w:t>0084/2024),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článok 319 Zmluvy o fungovaní Európskej únie,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 xml:space="preserve">so zreteľom na nariadenie Európskeho parlamentu a Rady (EÚ, </w:t>
      </w:r>
      <w:proofErr w:type="spellStart"/>
      <w:r w:rsidRPr="00E61237">
        <w:t>Euratom</w:t>
      </w:r>
      <w:proofErr w:type="spellEnd"/>
      <w:r w:rsidRPr="00E61237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E61237">
        <w:t>Euratom</w:t>
      </w:r>
      <w:proofErr w:type="spellEnd"/>
      <w:r w:rsidRPr="00E61237">
        <w:t>) č. 966/2012</w:t>
      </w:r>
      <w:r w:rsidRPr="00E61237">
        <w:rPr>
          <w:rStyle w:val="FootnoteReference"/>
        </w:rPr>
        <w:footnoteReference w:id="3"/>
      </w:r>
      <w:r w:rsidRPr="00E61237">
        <w:t>, a najmä na jeho článok 70,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 xml:space="preserve">so zreteľom na nariadenie Európskeho parlamentu a Rady (EÚ) č. 1093/2010 z 24. novembra 2010, ktorým sa zriaďuje Európsky orgán dohľadu (Európsky orgán pre bankovníctvo) a ktorým sa mení a dopĺňa rozhodnutie č. 716/2009/ES a zrušuje </w:t>
      </w:r>
      <w:r w:rsidRPr="00E61237">
        <w:lastRenderedPageBreak/>
        <w:t>rozhodnutie Komisie 2009/78/ES</w:t>
      </w:r>
      <w:r w:rsidRPr="00E61237">
        <w:rPr>
          <w:rStyle w:val="FootnoteReference"/>
        </w:rPr>
        <w:footnoteReference w:id="4"/>
      </w:r>
      <w:r w:rsidRPr="00E61237">
        <w:t>, a najmä na jeho článok 64,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E61237">
        <w:t>Euratome</w:t>
      </w:r>
      <w:proofErr w:type="spellEnd"/>
      <w:r w:rsidRPr="00E61237">
        <w:t xml:space="preserve"> a uvedené v článku 70 nariadenia Európskeho parlamentu a Rady (EÚ, </w:t>
      </w:r>
      <w:proofErr w:type="spellStart"/>
      <w:r w:rsidRPr="00E61237">
        <w:t>Euratom</w:t>
      </w:r>
      <w:proofErr w:type="spellEnd"/>
      <w:r w:rsidRPr="00E61237">
        <w:t>) 2018/1046</w:t>
      </w:r>
      <w:r w:rsidRPr="00E61237">
        <w:rPr>
          <w:rStyle w:val="FootnoteReference"/>
        </w:rPr>
        <w:footnoteReference w:id="5"/>
      </w:r>
      <w:r w:rsidRPr="00E61237">
        <w:t>, a najmä na jeho článok 105,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článok 100 a prílohu V k rokovaciemu poriadku,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správu Výboru pre kontrolu rozpočtu (A9-0111/2024),</w:t>
      </w:r>
    </w:p>
    <w:p w:rsidR="004C2775" w:rsidRPr="00E61237" w:rsidRDefault="00E61237">
      <w:pPr>
        <w:pStyle w:val="NormalHanging12a"/>
      </w:pPr>
      <w:r w:rsidRPr="00E61237">
        <w:t>1.</w:t>
      </w:r>
      <w:r w:rsidRPr="00E61237">
        <w:tab/>
        <w:t>udeľuje absolutórium výkonnému riaditeľovi Európskeho orgánu pre bankovníctvo za plnenie rozpočtu orgánu za rozpočtový rok 2022;</w:t>
      </w:r>
    </w:p>
    <w:p w:rsidR="004C2775" w:rsidRPr="00E61237" w:rsidRDefault="00E61237">
      <w:pPr>
        <w:pStyle w:val="NormalHanging12a"/>
      </w:pPr>
      <w:r w:rsidRPr="00E61237">
        <w:t>2.</w:t>
      </w:r>
      <w:r w:rsidRPr="00E61237">
        <w:tab/>
        <w:t>uvádza svoje poznámky v priloženom uznesení;</w:t>
      </w:r>
    </w:p>
    <w:p w:rsidR="004C2775" w:rsidRPr="00E61237" w:rsidRDefault="00E61237">
      <w:pPr>
        <w:pStyle w:val="NormalHanging12a"/>
      </w:pPr>
      <w:r w:rsidRPr="00E61237">
        <w:t>3.</w:t>
      </w:r>
      <w:r w:rsidRPr="00E61237">
        <w:tab/>
        <w:t xml:space="preserve">poveruje svoju predsedníčku, aby postúpila toto rozhodnutie a uznesenie, ktoré je jeho neoddeliteľnou súčasťou, výkonnému riaditeľovi Európskeho orgánu </w:t>
      </w:r>
      <w:r w:rsidR="00EB5993">
        <w:t>pre bankovníctvo</w:t>
      </w:r>
      <w:r w:rsidRPr="00E61237">
        <w:t>, Rade, Komisii a Dvoru audítorov a aby zabezpečila ich uverejnenie v </w:t>
      </w:r>
      <w:r w:rsidRPr="00E61237">
        <w:rPr>
          <w:i/>
        </w:rPr>
        <w:t>Úradnom vestníku Európskej únie</w:t>
      </w:r>
      <w:r w:rsidRPr="00E61237">
        <w:t xml:space="preserve"> (v sérii L).</w:t>
      </w:r>
    </w:p>
    <w:p w:rsidR="004C2775" w:rsidRPr="00E61237" w:rsidRDefault="004C2775"/>
    <w:p w:rsidR="004C2775" w:rsidRPr="00E61237" w:rsidRDefault="004C2775">
      <w:pPr>
        <w:widowControl/>
        <w:rPr>
          <w:rFonts w:ascii="Arial" w:hAnsi="Arial" w:cs="Arial"/>
          <w:b/>
        </w:rPr>
        <w:sectPr w:rsidR="004C2775" w:rsidRPr="00E61237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4C2775" w:rsidRPr="00E61237" w:rsidRDefault="00E61237">
      <w:pPr>
        <w:pStyle w:val="NormalBold"/>
      </w:pPr>
      <w:r w:rsidRPr="00E61237">
        <w:lastRenderedPageBreak/>
        <w:t>2. Rozhodnutie Európskeho parlamentu z 11. apríla 2024 o účtovnej závierke Európskeho orgánu pre bankovníctvo za rozpočtový rok 2022 (2023/2146(DEC))</w:t>
      </w:r>
    </w:p>
    <w:p w:rsidR="004C2775" w:rsidRPr="00E61237" w:rsidRDefault="00E61237">
      <w:pPr>
        <w:pStyle w:val="EPComma"/>
      </w:pPr>
      <w:r w:rsidRPr="00E61237">
        <w:rPr>
          <w:i/>
          <w:iCs/>
        </w:rPr>
        <w:t>Európsky parlament</w:t>
      </w:r>
      <w:r w:rsidRPr="00E61237">
        <w:t>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konečnú ročnú účtovnú závierku Európskeho orgánu pre bankovníctvo za rozpočtový rok 2022,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výročnú správu Dvora audítorov o agentúrach EÚ za rozpočtový rok 2022 spolu s odpoveďami agentúr</w:t>
      </w:r>
      <w:r w:rsidRPr="00E61237">
        <w:rPr>
          <w:rStyle w:val="FootnoteReference"/>
        </w:rPr>
        <w:footnoteReference w:id="6"/>
      </w:r>
      <w:r w:rsidRPr="00E61237">
        <w:t>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vyhlásenie o vierohodnosti</w:t>
      </w:r>
      <w:r w:rsidRPr="00E61237">
        <w:rPr>
          <w:rStyle w:val="FootnoteReference"/>
        </w:rPr>
        <w:footnoteReference w:id="7"/>
      </w:r>
      <w:r w:rsidRPr="00E61237">
        <w:t xml:space="preserve"> vedenia účtov a zákonnosti a správnosti príslušných operácií, ktoré poskytol Dvor audítorov za rozpočtový rok 2022 v súlade s článkom 287 Zmluvy o fungovaní Európskej únie,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odporúčanie Rady z 22. februára 2024 o udelení absolutória orgánu za plnenie rozpočtu za rozpočtový rok 2022 (06180/2024 – C9</w:t>
      </w:r>
      <w:r w:rsidRPr="00E61237">
        <w:noBreakHyphen/>
        <w:t>0084/2024),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článok 319 Zmluvy o fungovaní Európskej únie,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 xml:space="preserve">so zreteľom na nariadenie Európskeho parlamentu a Rady (EÚ, </w:t>
      </w:r>
      <w:proofErr w:type="spellStart"/>
      <w:r w:rsidRPr="00E61237">
        <w:t>Euratom</w:t>
      </w:r>
      <w:proofErr w:type="spellEnd"/>
      <w:r w:rsidRPr="00E61237">
        <w:t xml:space="preserve">) 2018/1046 z 18. júla 2018 o rozpočtových pravidlách, ktoré sa vzťahujú na všeobecný rozpočet Únie, o zmene nariadení (EÚ) č. 1296/2013, (EÚ) č. 1301/2013, (EÚ) č. 1303/2013, (EÚ) č. 1304/2013, (EÚ) č. 1309/2013, (EÚ) č. 1316/2013, (EÚ) č. 223/2014, (EÚ) č. 283/2014 a rozhodnutia č. 541/2014/EÚ a o zrušení nariadenia (EÚ, </w:t>
      </w:r>
      <w:proofErr w:type="spellStart"/>
      <w:r w:rsidRPr="00E61237">
        <w:t>Euratom</w:t>
      </w:r>
      <w:proofErr w:type="spellEnd"/>
      <w:r w:rsidRPr="00E61237">
        <w:t>) č. 966/2012</w:t>
      </w:r>
      <w:r w:rsidRPr="00E61237">
        <w:rPr>
          <w:rStyle w:val="FootnoteReference"/>
        </w:rPr>
        <w:footnoteReference w:id="8"/>
      </w:r>
      <w:r w:rsidRPr="00E61237">
        <w:t>, a najmä na jeho článok 70,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nariadenie Európskeho parlamentu a Rady (EÚ) č. 1093/2010 z 24. novembra 2010, ktorým sa zriaďuje Európsky orgán dohľadu (Európsky orgán pre bankovníctvo) a ktorým sa mení a dopĺňa rozhodnutie č. 716/2009/ES a zrušuje rozhodnutie Komisie 2009/78/ES</w:t>
      </w:r>
      <w:r w:rsidRPr="00E61237">
        <w:rPr>
          <w:rStyle w:val="FootnoteReference"/>
        </w:rPr>
        <w:footnoteReference w:id="9"/>
      </w:r>
      <w:r w:rsidRPr="00E61237">
        <w:t>, a najmä na jeho článok 64,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 xml:space="preserve">so zreteľom na delegované nariadenie Komisie (EÚ) 2019/715 z 18. decembra 2018 o rámcovom nariadení o rozpočtových pravidlách pre subjekty zriadené podľa ZFEÚ a Zmluvy o </w:t>
      </w:r>
      <w:proofErr w:type="spellStart"/>
      <w:r w:rsidRPr="00E61237">
        <w:t>Euratome</w:t>
      </w:r>
      <w:proofErr w:type="spellEnd"/>
      <w:r w:rsidRPr="00E61237">
        <w:t xml:space="preserve"> a uvedené v článku 70 nariadenia Európskeho parlamentu a Rady (EÚ, </w:t>
      </w:r>
      <w:proofErr w:type="spellStart"/>
      <w:r w:rsidRPr="00E61237">
        <w:t>Euratom</w:t>
      </w:r>
      <w:proofErr w:type="spellEnd"/>
      <w:r w:rsidRPr="00E61237">
        <w:t>) 2018/1046</w:t>
      </w:r>
      <w:r w:rsidRPr="00E61237">
        <w:rPr>
          <w:rStyle w:val="FootnoteReference"/>
        </w:rPr>
        <w:footnoteReference w:id="10"/>
      </w:r>
      <w:r w:rsidRPr="00E61237">
        <w:t>, a najmä na jeho článok 105,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článok 100 a prílohu V k rokovaciemu poriadku,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správu Výboru pre kontrolu rozpočtu (A9-0111/2024),</w:t>
      </w:r>
    </w:p>
    <w:p w:rsidR="004C2775" w:rsidRPr="00E61237" w:rsidRDefault="00E61237">
      <w:pPr>
        <w:pStyle w:val="NormalHanging12a"/>
      </w:pPr>
      <w:r w:rsidRPr="00E61237">
        <w:t>1.</w:t>
      </w:r>
      <w:r w:rsidRPr="00E61237">
        <w:tab/>
        <w:t>schvaľuje účtovnú závierku Európskeho orgánu pre bankovníctvo za rozpočtový rok 2022;</w:t>
      </w:r>
    </w:p>
    <w:p w:rsidR="004C2775" w:rsidRPr="00E61237" w:rsidRDefault="00E61237">
      <w:pPr>
        <w:pStyle w:val="NormalHanging12a"/>
      </w:pPr>
      <w:r w:rsidRPr="00E61237">
        <w:t>2.</w:t>
      </w:r>
      <w:r w:rsidRPr="00E61237">
        <w:tab/>
        <w:t>poveruje svoju predsedníčku, aby postúpila toto rozhodnutie výkonnému riaditeľovi Európskeho orgánu pr</w:t>
      </w:r>
      <w:r w:rsidR="002E0D05">
        <w:t>e bankovníctvo</w:t>
      </w:r>
      <w:r w:rsidRPr="00E61237">
        <w:t xml:space="preserve">, Rade, Komisii a Dvoru audítorov a aby </w:t>
      </w:r>
      <w:r w:rsidRPr="00E61237">
        <w:lastRenderedPageBreak/>
        <w:t xml:space="preserve">zabezpečila jeho uverejnenie v </w:t>
      </w:r>
      <w:r w:rsidRPr="00E61237">
        <w:rPr>
          <w:i/>
        </w:rPr>
        <w:t>Úradnom vestníku Európskej únie</w:t>
      </w:r>
      <w:r w:rsidRPr="00E61237">
        <w:t xml:space="preserve"> (v sérii L).</w:t>
      </w:r>
    </w:p>
    <w:p w:rsidR="004C2775" w:rsidRPr="00E61237" w:rsidRDefault="004C2775"/>
    <w:p w:rsidR="004C2775" w:rsidRPr="00E61237" w:rsidRDefault="004C2775">
      <w:pPr>
        <w:widowControl/>
        <w:rPr>
          <w:rFonts w:ascii="Arial" w:hAnsi="Arial" w:cs="Arial"/>
          <w:b/>
        </w:rPr>
        <w:sectPr w:rsidR="004C2775" w:rsidRPr="00E61237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4C2775" w:rsidRPr="00E61237" w:rsidRDefault="00E61237">
      <w:pPr>
        <w:pStyle w:val="NormalBold"/>
      </w:pPr>
      <w:r w:rsidRPr="00E61237">
        <w:lastRenderedPageBreak/>
        <w:t>3. Uznesenie Európskeho parlamentu z 11. apríla 2024 s poznámkami, ktoré je neoddeliteľnou súčasťou rozhodnutia o absolutóriu za plnenie rozpočtu Európskeho orgánu pre bankovníctvo za rozpočtový rok 2022 (2023/2146(DEC))</w:t>
      </w:r>
    </w:p>
    <w:p w:rsidR="004C2775" w:rsidRPr="00E61237" w:rsidRDefault="00E61237">
      <w:pPr>
        <w:pStyle w:val="EPComma"/>
      </w:pPr>
      <w:r w:rsidRPr="00E61237">
        <w:rPr>
          <w:i/>
          <w:iCs/>
        </w:rPr>
        <w:t>Európsky parlament</w:t>
      </w:r>
      <w:r w:rsidRPr="00E61237">
        <w:t>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rozhodnutie o absolutóriu za plnenie rozpočtu Európskeho orgánu pre bankovníctvo za rozpočtový rok 2022,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článok 100 a prílohu V</w:t>
      </w:r>
      <w:r w:rsidR="00982FE1">
        <w:t xml:space="preserve"> k </w:t>
      </w:r>
      <w:r w:rsidRPr="00E61237">
        <w:t>rokovacie</w:t>
      </w:r>
      <w:r w:rsidR="00982FE1">
        <w:t>mu</w:t>
      </w:r>
      <w:r w:rsidRPr="00E61237">
        <w:t xml:space="preserve"> poriadku,</w:t>
      </w:r>
    </w:p>
    <w:p w:rsidR="004C2775" w:rsidRPr="00E61237" w:rsidRDefault="00E61237">
      <w:pPr>
        <w:pStyle w:val="NormalHanging12a"/>
      </w:pPr>
      <w:r w:rsidRPr="00E61237">
        <w:t>–</w:t>
      </w:r>
      <w:r w:rsidRPr="00E61237">
        <w:tab/>
        <w:t>so zreteľom na správu Výboru pre kontrolu rozpočtu (A9-0111/2024),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A.</w:t>
      </w:r>
      <w:r w:rsidRPr="00E61237">
        <w:tab/>
        <w:t>keďže podľa výkazu príjmov a výdavkov</w:t>
      </w:r>
      <w:r w:rsidRPr="00E61237">
        <w:rPr>
          <w:rStyle w:val="FootnoteReference"/>
          <w:szCs w:val="24"/>
        </w:rPr>
        <w:footnoteReference w:id="11"/>
      </w:r>
      <w:r w:rsidRPr="00E61237">
        <w:t xml:space="preserve"> konečný rozpočet Európskeho orgánu pre bankovníctvo (ďalej len „orgán“) na rozpočtový rok 2022 predstavoval 50 315 014 EUR; keďže orgán je primárne financovaný z príspevku Únie (18 685 999 EUR) a z príspevkov národných orgánov dohľadu členských štátov a pozorovateľov (31 629 015 EUR);</w:t>
      </w:r>
    </w:p>
    <w:p w:rsidR="004C2775" w:rsidRPr="00E61237" w:rsidRDefault="00E61237">
      <w:pPr>
        <w:widowControl/>
        <w:spacing w:after="240"/>
        <w:ind w:left="567" w:hanging="567"/>
      </w:pPr>
      <w:r w:rsidRPr="00E61237">
        <w:t>B.</w:t>
      </w:r>
      <w:r w:rsidRPr="00E61237">
        <w:tab/>
        <w:t>keďže Dvor audítorov v svojej správe o overení ročnej účtovnej závierky Európskeho orgánu pre bankovníctvo za rozpočtový rok 2022 (ďalej len „správa Dvora audítorov“) uvádza, že získal primeranú istotu o tom, že ročná účtovná závierka orgánu je spoľahlivá a že príslušné operácie sú zákonné a správne;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Rozpočtové a finančné riadenie</w:t>
      </w:r>
    </w:p>
    <w:p w:rsidR="004C2775" w:rsidRPr="00E61237" w:rsidRDefault="00E61237">
      <w:pPr>
        <w:pStyle w:val="NormalHanging12a"/>
        <w:widowControl/>
        <w:rPr>
          <w:szCs w:val="24"/>
        </w:rPr>
      </w:pPr>
      <w:r w:rsidRPr="00E61237">
        <w:t>1.</w:t>
      </w:r>
      <w:r w:rsidRPr="00E61237">
        <w:tab/>
        <w:t>s uspokojením konštatuje, že úsilie o monitorovanie rozpočtu v priebehu rozpočtového roka 2022 prinieslo mieru plnenia viazaných rozpočtových prostriedkov v bežnom roku na úrovni 99,56 %, čo v porovnaní s rokom 2021 predstavuje zvýšenie o 1,05 %; ďalej konštatuje, že miera plnenia platobných rozpočtových prostriedkov v bežnom roku bola 87,00 %, čo v porovnaní s rokom 2021 predstavuje zvýšenie o 3,00 %;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Výkonnosť</w:t>
      </w:r>
    </w:p>
    <w:p w:rsidR="004C2775" w:rsidRPr="00E61237" w:rsidRDefault="00E61237">
      <w:pPr>
        <w:pStyle w:val="NormalHanging12a"/>
        <w:widowControl/>
        <w:rPr>
          <w:szCs w:val="24"/>
        </w:rPr>
      </w:pPr>
      <w:r w:rsidRPr="00E61237">
        <w:t>2.</w:t>
      </w:r>
      <w:r w:rsidRPr="00E61237">
        <w:tab/>
        <w:t xml:space="preserve">víta skutočnosť, že orgán naďalej používa určité opatrenia ako kľúčové ukazovatele výkonnosti na posudzovanie svojich činností a výsledkov pri dosahovaní cieľov svojho pracovného programu; konštatuje, že na rok 2022 orgán vymedzil vo svojom pracovnom programe päť vertikálnych priorít (napr. monitorovanie a aktualizácia </w:t>
      </w:r>
      <w:proofErr w:type="spellStart"/>
      <w:r w:rsidRPr="00E61237">
        <w:t>prudenciálneho</w:t>
      </w:r>
      <w:proofErr w:type="spellEnd"/>
      <w:r w:rsidRPr="00E61237">
        <w:t xml:space="preserve"> rámca pre dohľad a riešenie krízových situácií, revízia a posilnenie rámca pre stresové testovanie v celej EÚ) a dve horizontálne priority (poskytovanie nástrojov na meranie a riadenie environmentálnych a sociálnych rizík a rizík v oblasti správy a riadenia a na monitorovanie a zmierňovanie vplyvu pandémie ochorenia COVID-19); konštatuje, že v roku 2022 orgán vykonal 95 % z približne 250 úloh stanovených v jeho pracovnom programe vrátane 15 % úloh, ktoré sa museli pridať v priebehu roka; ďalej uznáva, že v porovnaní s predchádzajúcim rokom ide o zlepšenie;</w:t>
      </w:r>
    </w:p>
    <w:p w:rsidR="004C2775" w:rsidRPr="00E61237" w:rsidRDefault="00E61237">
      <w:pPr>
        <w:pStyle w:val="NormalHanging12a"/>
        <w:widowControl/>
        <w:rPr>
          <w:szCs w:val="24"/>
        </w:rPr>
      </w:pPr>
      <w:r w:rsidRPr="00E61237">
        <w:t>3.</w:t>
      </w:r>
      <w:r w:rsidRPr="00E61237">
        <w:tab/>
        <w:t xml:space="preserve">je si vedomý toho, že neodôvodnená útočná vojna Ruska proti Ukrajine viedla orgán k tomu, aby zvážil výzvy a neistoty vyplývajúce z tohto konfliktu v oblastiach, ktoré patria do jeho pôsobnosti, a zodpovedajúcim spôsobom ich riešil; víta, že v dôsledku </w:t>
      </w:r>
      <w:r w:rsidRPr="00E61237">
        <w:lastRenderedPageBreak/>
        <w:t xml:space="preserve">toho orgán kládol veľký dôraz na posudzovanie rizík pre banky a finančný sektor a prijal opatrenia na monitorovanie tohto sektora; ďalej konštatuje, že orgán sa okrem toho zameral na úsilie </w:t>
      </w:r>
      <w:proofErr w:type="spellStart"/>
      <w:r w:rsidRPr="00E61237">
        <w:t>prispievajúce</w:t>
      </w:r>
      <w:proofErr w:type="spellEnd"/>
      <w:r w:rsidRPr="00E61237">
        <w:t xml:space="preserve"> k uplatňovaniu a presadzovaniu uložených sankcií a na bezprostredne relevantnejšiu úroveň pre ľudí zasiahnutých týmto konfliktom, a víta úsilie orgánu v podobe usmernenia na uľahčenie prístupu k finančnému systému;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4.</w:t>
      </w:r>
      <w:r w:rsidRPr="00E61237">
        <w:tab/>
        <w:t>konštatuje, že niektoré dôležité faktory činnosti orgánu v roku 2022 prispievali k formovaniu legislatívnych postupov, ktoré viedli k prijatiu nariadenia (EÚ) 2022/2554</w:t>
      </w:r>
      <w:r w:rsidRPr="00E61237">
        <w:rPr>
          <w:rStyle w:val="FootnoteReference"/>
          <w:szCs w:val="24"/>
        </w:rPr>
        <w:footnoteReference w:id="12"/>
      </w:r>
      <w:r w:rsidRPr="00E61237">
        <w:t xml:space="preserve"> a smernice (EÚ) 2022/2556</w:t>
      </w:r>
      <w:r w:rsidRPr="00E61237">
        <w:rPr>
          <w:rStyle w:val="FootnoteReference"/>
          <w:szCs w:val="24"/>
        </w:rPr>
        <w:footnoteReference w:id="13"/>
      </w:r>
      <w:r w:rsidRPr="00E61237">
        <w:t xml:space="preserve"> (nariadenie a smernica o digitálnej prevádzkovej odolnosti) a nariadenia (EÚ) 2023/1114</w:t>
      </w:r>
      <w:r w:rsidRPr="00E61237">
        <w:rPr>
          <w:rStyle w:val="FootnoteReference"/>
          <w:szCs w:val="24"/>
        </w:rPr>
        <w:footnoteReference w:id="14"/>
      </w:r>
      <w:r w:rsidRPr="00E61237">
        <w:t xml:space="preserve"> (nariadenie o trhoch s </w:t>
      </w:r>
      <w:proofErr w:type="spellStart"/>
      <w:r w:rsidRPr="00E61237">
        <w:t>kryptoaktívami</w:t>
      </w:r>
      <w:proofErr w:type="spellEnd"/>
      <w:r w:rsidRPr="00E61237">
        <w:t xml:space="preserve">) prostredníctvom reakcie na rôzne výzvy na poskytnutie poradenstva v oblasti digitálnych financií a na súvisiace otázky; konštatuje, že ďalším ťažiskovým bodom bolo zabrániť využívaniu finančného systému na účely prania špinavých peňazí a financovania terorizmu; ďalej konštatuje, že v popredí činnosti orgánu zostalo vypracovanie príslušného environmentálneho, sociálneho a správneho rámca (ESG) pre banky a monitorovanie vplyvu pandémie ochorenia COVID-19 na ich súvahy; berie na vedomie, že orgán tiež aktualizoval svoj pracovný plán týkajúci sa partnerského preskúmania na roky 2022 – 2023, a to v súlade s nariadením </w:t>
      </w:r>
      <w:r w:rsidR="003759CC">
        <w:t xml:space="preserve">(EÚ) </w:t>
      </w:r>
      <w:bookmarkStart w:id="8" w:name="_GoBack"/>
      <w:bookmarkEnd w:id="8"/>
      <w:r w:rsidRPr="00E61237">
        <w:t>č. 1093/2010;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Efektívnosť a zisky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5.</w:t>
      </w:r>
      <w:r w:rsidRPr="00E61237">
        <w:tab/>
        <w:t xml:space="preserve">víta, že v oblasti obstarávania orgán uplatňuje prístup, v rámci ktorého vyzýva iné agentúry, aby sa zúčastnili na jeho postupoch obstarávania, a to v prípade, keď je pravdepodobné, že o to budú mať záujem; konštatuje, že v roku 2022 bol orgán vedúcou agentúrou v jednom </w:t>
      </w:r>
      <w:proofErr w:type="spellStart"/>
      <w:r w:rsidRPr="00E61237">
        <w:t>medziinštitucionálnom</w:t>
      </w:r>
      <w:proofErr w:type="spellEnd"/>
      <w:r w:rsidRPr="00E61237">
        <w:t xml:space="preserve"> postupe obstarávania, na ktorom sa zúčastnili Európsky orgán pre cenné papiere a trhy (ESMA) a Európsky orgán pre poisťovníctvo a dôchodkové poistenie zamestnancov (EIOPA); ďalej konštatuje, že orgán sa tiež zúčastnil na mnohých </w:t>
      </w:r>
      <w:proofErr w:type="spellStart"/>
      <w:r w:rsidRPr="00E61237">
        <w:t>medziinštitucionálnych</w:t>
      </w:r>
      <w:proofErr w:type="spellEnd"/>
      <w:r w:rsidRPr="00E61237">
        <w:t xml:space="preserve"> postupoch vedených inými inštitúciami, orgánmi, úradmi a agentúrami, najmä tými, ktoré riadi Komisia; konštatuje, že v roku 2022 bolo 77 % z 96 platných rámcových zmlúv orgánu obstaraných inými inštitúciami, orgánmi, úradmi a agentúrami;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6.</w:t>
      </w:r>
      <w:r w:rsidRPr="00E61237">
        <w:tab/>
        <w:t>konštatuje, že spoločný výbor európskych orgánov dohľadu, ktorý združuje orgán, EIOPA, ESMA, Komisiu a Európsky výbor pre systémové riziká, predstavuje kľúčové fórum pre diskusiu o spoločných regulačných otázkach a schvaľovanie spoločných iniciatív; pripomína, že spoločné iniciatívy spájajú rôzne perspektívy, znižujú duplicitu úsilia, zlepšujú vzdelávanie a posilňujú vzťahy medzi účastníkmi;</w:t>
      </w:r>
    </w:p>
    <w:p w:rsidR="004C2775" w:rsidRPr="00E61237" w:rsidRDefault="00E61237">
      <w:pPr>
        <w:widowControl/>
        <w:spacing w:after="240"/>
        <w:ind w:left="567" w:hanging="567"/>
        <w:rPr>
          <w:bCs/>
          <w:szCs w:val="24"/>
        </w:rPr>
      </w:pPr>
      <w:r w:rsidRPr="00E61237">
        <w:t>7.</w:t>
      </w:r>
      <w:r w:rsidRPr="00E61237">
        <w:tab/>
        <w:t xml:space="preserve">víta, že orgán sa zapája do rozsiahlych iniciatív v oblasti spolupráce a spoločného využívania zdrojov s rôznymi agentúrami, ako sú napríklad spoločné účtovné služby s </w:t>
      </w:r>
      <w:r w:rsidRPr="00E61237">
        <w:lastRenderedPageBreak/>
        <w:t>orgánom ESMA, spoločný bezpečnostný úradník s orgánom EIOPA, spoločné IT projekty, investície do kariérneho rozvoja a poskytovanie skúseností s cieľom pomôcť iným agentúram pri získavaní certifikácie EMAS; ďalej zdôrazňuje horizontálne prínosy spolupráce a prispôsobovania najlepších postupov;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8.</w:t>
      </w:r>
      <w:r w:rsidRPr="00E61237">
        <w:tab/>
        <w:t>oceňuje, že orgán prijal rôzne iniciatívy, ako je optimalizácia procesov, riadenie zdrojov, digitalizácia, posilnenie spolupráce a podpora kultúry neustáleho zlepšovania; konštatuje, že medzi kľúčové stratégie patrí automatizácia procesov (bezpapierové finančné transakcie, hromadné platobné zaťaženie, nástroje pre pracovné postupy), optimalizácia zdrojov, rozhodovanie založené na údajoch, integrácia technológií (</w:t>
      </w:r>
      <w:proofErr w:type="spellStart"/>
      <w:r w:rsidRPr="00E61237">
        <w:t>cloudové</w:t>
      </w:r>
      <w:proofErr w:type="spellEnd"/>
      <w:r w:rsidRPr="00E61237">
        <w:t xml:space="preserve"> služby, digitalizácia ľudských zdrojov), spolupráca prostredníctvom prierezovo fungujúcich tímov a riadenie projektov;</w:t>
      </w:r>
    </w:p>
    <w:p w:rsidR="004C2775" w:rsidRPr="00E61237" w:rsidRDefault="00E61237">
      <w:pPr>
        <w:pStyle w:val="NormalHanging12a"/>
      </w:pPr>
      <w:r w:rsidRPr="00E61237">
        <w:t>9.</w:t>
      </w:r>
      <w:r w:rsidRPr="00E61237">
        <w:tab/>
        <w:t>zdôrazňuje, že orgán je aktívnym členom siete agentúr EÚ a neustále sa rozvíjajú synergie s ostatnými európskymi orgánmi dohľadu, ako je spoločné využívanie rezervných zoznamov zamestnancov medzi orgánom, ESMA a EIOPA;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Personálna politika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10.</w:t>
      </w:r>
      <w:r w:rsidRPr="00E61237">
        <w:tab/>
        <w:t>konštatuje, že k 31. decembru 2022 bol plán pracovných miest naplnený na 98,14 %, pričom zo 162 dočasných zamestnancov schválených v rámci rozpočtu Únie bolo vymenovaných 159 (rovnaký počet schválených miest ako v roku 2021); konštatuje, že okrem toho v roku 2022 orgán zamestnával 44 zmluvných zamestnancov (z 50 schválených miest) a 13 vyslaných národných expertov (z 19 schválených miest) plus šesť vyslaných národných expertov bez nákladov;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11.</w:t>
      </w:r>
      <w:r w:rsidRPr="00E61237">
        <w:tab/>
        <w:t>konštatuje, že celková miera fluktuácie v roku 2022 bola 11,5 % (v porovnaní s 12 % v roku 2021); konštatuje, že celková miera fluktuácie zahŕňa ukončenie zmlúv vyslaných národných expertov, ktorých zmluvy sú vo svojej podstate kratšie, zatiaľ čo miera fluktuácie v prípade štatutárnych zamestnancov (dočasní zamestnanci a zmluvní zamestnanci) bola 9 % (v prípade zmluvných zamestnancov je o trochu vyššia než v prípade dočasných zamestnancov); zdôrazňuje, že od roku 2020 začal orgán obohacovať svoj prístup k riadeniu talentov o ďalšie opatrenia na posilnenie postavenia zamestnancov a podporu dlhodobého zapojenia (silná hodnotová ponuka zamestnancov, prispôsobené programy kariérneho rozvoja, ako je mentorstvo, iniciatívy v oblasti pracovného a súkromného života, ako je sociálny klub atď.);</w:t>
      </w:r>
    </w:p>
    <w:p w:rsidR="004C2775" w:rsidRPr="00E61237" w:rsidRDefault="00E61237">
      <w:pPr>
        <w:pStyle w:val="NormalHanging12a"/>
        <w:widowControl/>
        <w:rPr>
          <w:szCs w:val="24"/>
        </w:rPr>
      </w:pPr>
      <w:r w:rsidRPr="00E61237">
        <w:t>12.</w:t>
      </w:r>
      <w:r w:rsidRPr="00E61237">
        <w:tab/>
        <w:t>berie na vedomie rozdelenie žien a mužov v rámci vrcholového a stredného manažmentu orgánu, kde 16 z 29 zamestnancov vyššieho a stredného manažmentu (55 %) sú muži, a v rámci celkového počtu zamestnancov orgánu, kde 114 z 222 zamestnancov (51 %) sú muži; podporuje to, že orgán prijal chartu siete agentúr EUAN o rozmanitosti a inklúzii; konštatuje, že orgán je členom siete medzinárodných organizácií „</w:t>
      </w:r>
      <w:proofErr w:type="spellStart"/>
      <w:r w:rsidRPr="00E61237">
        <w:t>Choose</w:t>
      </w:r>
      <w:proofErr w:type="spellEnd"/>
      <w:r w:rsidRPr="00E61237">
        <w:t xml:space="preserve"> </w:t>
      </w:r>
      <w:proofErr w:type="spellStart"/>
      <w:r w:rsidRPr="00E61237">
        <w:t>Paris</w:t>
      </w:r>
      <w:proofErr w:type="spellEnd"/>
      <w:r w:rsidRPr="00E61237">
        <w:t xml:space="preserve"> </w:t>
      </w:r>
      <w:proofErr w:type="spellStart"/>
      <w:r w:rsidRPr="00E61237">
        <w:t>Region</w:t>
      </w:r>
      <w:proofErr w:type="spellEnd"/>
      <w:r w:rsidRPr="00E61237">
        <w:t xml:space="preserve">“, ktoré podporujú rozmanité, </w:t>
      </w:r>
      <w:proofErr w:type="spellStart"/>
      <w:r w:rsidRPr="00E61237">
        <w:t>inkluzívne</w:t>
      </w:r>
      <w:proofErr w:type="spellEnd"/>
      <w:r w:rsidRPr="00E61237">
        <w:t xml:space="preserve"> a spravodlivé pracovisko a poskytujú osobám so zdravotným postihnutím v rámci náborového procesu osobitné úpravy;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13.</w:t>
      </w:r>
      <w:r w:rsidRPr="00E61237">
        <w:tab/>
        <w:t xml:space="preserve">je informovaný o tom, že v roku 2022 sa začal prieskum zapojenia zamestnancov, na ktorý odpovedalo 71 % zamestnancov; konštatuje, že celkové priaznivé skóre, ktoré predstavuje zapojenie zamestnancov, bolo 65 % a je o 1 % vyššie ako v predchádzajúcom prieskume v roku 2019 (napriek náročnému obdobiu pandémie </w:t>
      </w:r>
      <w:r w:rsidRPr="00E61237">
        <w:lastRenderedPageBreak/>
        <w:t xml:space="preserve">ochorenia COVID-19), ako aj v porovnaní s referenčnou </w:t>
      </w:r>
      <w:proofErr w:type="spellStart"/>
      <w:r w:rsidRPr="00E61237">
        <w:t>medziagentúrnou</w:t>
      </w:r>
      <w:proofErr w:type="spellEnd"/>
      <w:r w:rsidRPr="00E61237">
        <w:t xml:space="preserve"> hodnotou v EÚ;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Prevencia, riešenie konfliktov záujmov a transparentnosť</w:t>
      </w:r>
    </w:p>
    <w:p w:rsidR="004C2775" w:rsidRPr="00E61237" w:rsidRDefault="00E61237">
      <w:pPr>
        <w:widowControl/>
        <w:spacing w:after="240"/>
        <w:ind w:left="567" w:hanging="567"/>
      </w:pPr>
      <w:r w:rsidRPr="00E61237">
        <w:t>14.</w:t>
      </w:r>
      <w:r w:rsidRPr="00E61237">
        <w:tab/>
        <w:t>víta, že orgán v roku 2022 zefektívnil proces týkajúci sa etických otázok, najmä zavedením elektronického systému pracovných postupov vrátane dôkladnejšieho a efektívnejšieho posudzovania oznámení týkajúcich sa potenciálnych konfliktov záujmov odchádzajúcich zamestnancov a oznámení o činnostiach po skončení zamestnania;</w:t>
      </w:r>
    </w:p>
    <w:p w:rsidR="004C2775" w:rsidRPr="00E61237" w:rsidRDefault="00E61237">
      <w:pPr>
        <w:pStyle w:val="NormalHanging12a"/>
      </w:pPr>
      <w:r w:rsidRPr="00E61237">
        <w:t>15.</w:t>
      </w:r>
      <w:r w:rsidRPr="00E61237">
        <w:tab/>
        <w:t>zdôrazňuje, že usmernenia o oznamovaní protispoločenskej činnosti, ktoré zahŕňajú protikorupčné usmernenia, boli začlenené do učebných materiálov programov odbornej prípravy orgánu zameraných na etiku a integritu;</w:t>
      </w:r>
    </w:p>
    <w:p w:rsidR="004C2775" w:rsidRPr="00E61237" w:rsidRDefault="00E61237">
      <w:pPr>
        <w:pStyle w:val="NormalHanging12a"/>
      </w:pPr>
      <w:r w:rsidRPr="00E61237">
        <w:t>16.</w:t>
      </w:r>
      <w:r w:rsidRPr="00E61237">
        <w:tab/>
        <w:t>vyjadruje uznanie za to, že v roku 2022 rada orgánov dohľadu prijala zmenu svojho rokovacieho poriadku, ako aj rokovacieho poriadku správnej rady a mandátov stálych výborov pre riešenie krízových situácií a pre boj proti praniu špinavých peňazí a financovaniu terorizmu, na základe ktorej sa členom, ktorí nahlásili konflikt záujmov, zakazuje účasť na hlasovaní a samotnej diskusii, a to bez výnimiek.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17.</w:t>
      </w:r>
      <w:r w:rsidRPr="00E61237">
        <w:tab/>
        <w:t>konštatuje, že po ukončení vyšetrovania úradu OLAF, ktoré nenaznačilo nezrovnalosti, pokiaľ ide o dodržiavania príslušného právneho rámca dostal orgán odporúčanie prijať administratívne opatrenia, najmä v oblasti pracovných zmlúv vrcholového manažmentu; konštatuje, že vyšetrovanie odhalilo nedostatok zmluvných ustanovení týkajúcich sa postavenia mimo aktívnu službu alebo obdobia, počas ktorého sa osoba musí vyhýbať akýmkoľvek konfliktom záujmov; zdôrazňuje, že orgán v reakcii na to vo februári 2022 zaviedol nový článok do zmlúv pre riaditeľov, poradcov a vyššie pozície; konštatuje, že v dôsledku obmedzení právneho rámca služobného poriadku orgán informoval úrad OLAF, že nemôže ukladať zamestnancom požiadavky mimo tohto rámca, ako je poskytnutie náhrady v prípade, že bývalému zamestnancovi je zamedzené vykonávať pracovnú činnosť alebo pri tom čelí podstatným podmienkam;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18.</w:t>
      </w:r>
      <w:r w:rsidRPr="00E61237">
        <w:tab/>
        <w:t>víta, že orgán zverejňuje všetky stretnutia zamestnancov s externými zainteresovanými stranami zo súkromného sektora a pre predsedu to v zmysle článku 49a nariadenia (EÚ) č. 1093/2010 robí do dvoch týždňov od príslušného stretnutia, čo sa rovnakým spôsobom uplatňuje aj na výkonného riaditeľa, hoci v článku 52a daného nariadenia sa vyžaduje, aby sa stretnutia výkonného riaditeľa zverejňovali, ale nešpecifikuje sa v ňom, v akej lehote po ich konaní sa tak má urobiť; konštatuje, že v prípade stretnutí ostatných zamestnancov so zainteresovanými stranami zo súkromného sektora sa ich zverejňovanie uskutočňuje štvrťročne;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19.</w:t>
      </w:r>
      <w:r w:rsidRPr="00E61237">
        <w:tab/>
        <w:t>upozorňuje na uzavretie jedného prípadu oznámenia protispoločenskej činnosti v roku 2022; konštatuje, že prijaté opatrenia zahŕňali kontaktovanie príslušného vnútroštátneho orgánu s cieľom porozumieť obvineniam a opatreniam, ktoré sa prijímajú na vnútroštátnej úrovni, čo viedlo k uzavretiu prípadu bez toho, aby orgán musel prijať akékoľvek opatrenia;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20.</w:t>
      </w:r>
      <w:r w:rsidRPr="00E61237">
        <w:tab/>
        <w:t xml:space="preserve">pripomína, že životopisy členov riadiacich orgánov a náhradníkov, vedúcich pracovníkov a riaditeľov sa uverejňujú na webovom sídle orgánu; konštatuje, že životopisy obsahujú informácie o ich odbornej praxi a vzdelaní; ďalej konštatuje, že </w:t>
      </w:r>
      <w:r w:rsidRPr="00E61237">
        <w:lastRenderedPageBreak/>
        <w:t>pokiaľ ide o odborníkov, orgán uverejňuje životopisy Skupiny zainteresovaných strán v bankovníctve;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Obstarávanie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21.</w:t>
      </w:r>
      <w:r w:rsidRPr="00E61237">
        <w:tab/>
        <w:t>konštatuje, že podľa Dvora audítorov sa orgán snažil obstarať služby v dvoch verejných súťažiach, z ktorých jedna sa týkala prieskumu trhu s finančnými službami a druhá konzultácie o ochrane údajov; konštatuje, že v jednej verejnej súťaži sa prekrývali kritériá na vyhodnotenie ponúk a podmienky účasti; poukazuje na to, že takéto prekrývanie je v rozpore s článkom 167 nariadenia o rozpočtových pravidlách, v ktorom sa stanovuje, že podmienky účasti musia byť úplne oddelené od kritérií na vyhodnotenie ponúk; konštatuje, že podmienky účasti sa používajú na hodnotenie spôsobilosti uchádzačov a kritériá na vyhodnotenie ponúk na hodnotenie ceny a kvality ponúk; s poľutovaním konštatuje, že orgán v oboch prípadoch nadhodnotil maximálnu hodnotu zákaziek, pretože prieskum trhových cien, ktorý vykonal pred začatím verejnej súťaže, mal nedostatky;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22.</w:t>
      </w:r>
      <w:r w:rsidRPr="00E61237">
        <w:tab/>
        <w:t>konštatuje, že podľa Dvora audítorov sa nedostatky v oblasti obstarávania, ktoré sa týkali dvoch samostatných rokovacích konaní a ktoré boli oznámené v roku 2021, napravili, keďže orgán v súčasnosti používa vzory Komisie, čím zosúladil svoje postupy s pripomienkou Dvora audítorov;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23.</w:t>
      </w:r>
      <w:r w:rsidRPr="00E61237">
        <w:tab/>
        <w:t>zdôrazňuje, že od rozpočtového roka 2020 Dvor audítorov každý rok predkladá nové pripomienky týkajúce sa obstarávania v prípade štyroch agentúr a orgán je jednou z nich; pripomína, že cieľom pravidiel verejného obstarávania je umožniť obstarávateľským subjektom získať tovar a služby, ktoré potrebujú, za najlepšiu cenu a zároveň zabezpečiť spravodlivú hospodársku súťaž medzi uchádzačmi a súlad so zásadami transparentnosti, proporcionality, rovnakého zaobchádzania a nediskriminácie; vyzýva orgán, aby zabezpečil úplný súlad s platnými pravidlami verejného obstarávania, aby sa dosiahol najlepší možný pomer medzi kvalitou a cenou;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Vnútorná kontrola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24.</w:t>
      </w:r>
      <w:r w:rsidRPr="00E61237">
        <w:tab/>
        <w:t>pripomína, že orgán začal v roku 2021 pracovať s partnerom špecializujúcim sa na oblasť riadenia rizík s cieľom zlepšiť zlučiteľnosť súčasného programu riadenia rizík orgánu s rámcom COSO pre riadenie podnikových rizík (ERM) a táto spolupráca pokračovala aj v roku 2022; konštatuje, že s cieľom ďalej posilniť vnútorné kontroly orgán plánuje integrovať svoj program riadenia rizík do rámca COSO ERM, zintenzívniť činnosti súvisiace s etikou a v roku 2023 poskytovať prispôsobenú odbornú prípravu v oblasti vnútornej kontroly na zachovanie a zvýšenie účinnosti celkového systému vnútorných kontrol;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25.</w:t>
      </w:r>
      <w:r w:rsidRPr="00E61237">
        <w:tab/>
        <w:t>poznamenáva, že podľa Dvora audítorov sa nedostatky, ktoré boli oznámené v roku 2021 v oblasti vnútornej kontroly a týkali sa postupov prijímania zamestnancov, napravili po tom, ako orgán zodpovedajúcim spôsobom upravil svoje postupy;</w:t>
      </w:r>
    </w:p>
    <w:p w:rsidR="004C2775" w:rsidRPr="00E61237" w:rsidRDefault="00E61237">
      <w:pPr>
        <w:widowControl/>
        <w:spacing w:after="240"/>
        <w:ind w:left="567" w:hanging="567"/>
        <w:rPr>
          <w:b/>
          <w:i/>
          <w:szCs w:val="24"/>
        </w:rPr>
      </w:pPr>
      <w:r w:rsidRPr="00E61237">
        <w:rPr>
          <w:b/>
          <w:i/>
        </w:rPr>
        <w:t>Ďalšie pripomienky</w:t>
      </w:r>
    </w:p>
    <w:p w:rsidR="004C2775" w:rsidRPr="00E61237" w:rsidRDefault="00E61237">
      <w:pPr>
        <w:widowControl/>
        <w:spacing w:after="240"/>
        <w:ind w:left="567" w:hanging="567"/>
        <w:rPr>
          <w:szCs w:val="24"/>
        </w:rPr>
      </w:pPr>
      <w:r w:rsidRPr="00E61237">
        <w:t>26.</w:t>
      </w:r>
      <w:r w:rsidRPr="00E61237">
        <w:tab/>
        <w:t xml:space="preserve">víta, že orgán v roku 2022 naďalej propagoval svoju prácu a výsledky prostredníctvom rôznych komunikačných kanálov, ako je jeho webové sídlo, rozhovory v tlači a platformy sociálnych médií; konštatuje, že orgán taktiež zvýšil počet vizualizácií </w:t>
      </w:r>
      <w:r w:rsidRPr="00E61237">
        <w:lastRenderedPageBreak/>
        <w:t>dynamických údajov na účely komplexnejšej a prijateľnejšej prezentácie veľkého množstva údajov a uverejnil 149 tlačových správ a správ, propagoval svoju prácu v tlači a médiách, uskutočnil 74 rozhovorov a brífingov s tlačou a odpovedal e-mailom na 706 otázok;</w:t>
      </w:r>
    </w:p>
    <w:p w:rsidR="004C2775" w:rsidRPr="00E61237" w:rsidRDefault="00E61237">
      <w:pPr>
        <w:pStyle w:val="NormalHanging12a"/>
        <w:widowControl/>
      </w:pPr>
      <w:r w:rsidRPr="00E61237">
        <w:t>27.</w:t>
      </w:r>
      <w:r w:rsidRPr="00E61237">
        <w:tab/>
        <w:t>víta, že v roku 2022 bol orgánu udelený certifikát schémy pre environmentálne manažérstvo a audit (EMAS) a že úspešne dosiahol svoje environmentálne ciele na rok 2022 v oblasti cestovania, energií, odpadu, obstarávania a hlavnej činnosti;</w:t>
      </w:r>
      <w:r w:rsidRPr="00E61237">
        <w:rPr>
          <w:color w:val="374151"/>
        </w:rPr>
        <w:t xml:space="preserve"> zdôrazňuje, že k jeho</w:t>
      </w:r>
      <w:r w:rsidRPr="00E61237">
        <w:t xml:space="preserve"> úspechom patrí minimálne 50 % zníženie činností súvisiacich s cestovaním, 10 % zníženie spotreby energie v budovách, záväzok recyklovať aspoň 70 % odpadu a zohľadnenie vplyvu na životné prostredie vo všetkých zmluvách orgánu v rámci obstarávania;</w:t>
      </w:r>
    </w:p>
    <w:p w:rsidR="004C2775" w:rsidRPr="00E61237" w:rsidRDefault="00E61237">
      <w:pPr>
        <w:pStyle w:val="NormalHanging12a"/>
        <w:widowControl/>
      </w:pPr>
      <w:r w:rsidRPr="00E61237">
        <w:t>28.</w:t>
      </w:r>
      <w:r w:rsidRPr="00E61237">
        <w:tab/>
        <w:t>oceňuje, že orgán sa zaviazal znížiť spotrebu energie v roku 2022 o 10 % (v porovnaní s rokom 2019); pripomína, že na dosiahnutie tohto cieľa orgán zaviedol napríklad tieto opatrenia: zmenu vykurovacích plánov a zníženie teploty nastavených hodnôt v termostatoch, úplný prechod dodávok energie na obnoviteľné zdroje energie, každodenné monitorovanie meračov s cieľom vyhodnotiť výsledky prijatých opatrení a informačná kampaň pre zamestnancov o úsporách energie; konštatuje, že do konca roku 2022 sa (v porovnaní s rokom 2019) podarilo znížiť spotrebu energie o 16,4 %.</w:t>
      </w:r>
    </w:p>
    <w:p w:rsidR="004C2775" w:rsidRPr="00E61237" w:rsidRDefault="00E61237">
      <w:pPr>
        <w:pStyle w:val="NormalCenter12a"/>
        <w:widowControl/>
        <w:ind w:left="567" w:hanging="567"/>
      </w:pPr>
      <w:r w:rsidRPr="00E61237">
        <w:t>°</w:t>
      </w:r>
    </w:p>
    <w:p w:rsidR="004C2775" w:rsidRPr="00E61237" w:rsidRDefault="00E61237">
      <w:pPr>
        <w:pStyle w:val="NormalCenter12a"/>
        <w:widowControl/>
        <w:ind w:left="567" w:hanging="567"/>
      </w:pPr>
      <w:r w:rsidRPr="00E61237">
        <w:t>°</w:t>
      </w:r>
      <w:r w:rsidRPr="00E61237">
        <w:tab/>
        <w:t>°</w:t>
      </w:r>
    </w:p>
    <w:p w:rsidR="004C2775" w:rsidRPr="00E61237" w:rsidRDefault="00E61237">
      <w:pPr>
        <w:pStyle w:val="NormalHanging12a"/>
      </w:pPr>
      <w:r w:rsidRPr="00E61237">
        <w:t>29.</w:t>
      </w:r>
      <w:r w:rsidRPr="00E61237">
        <w:tab/>
        <w:t>pokiaľ ide o ďalšie poznámky horizontálnej povahy, ktoré sú súčasťou rozhodnutia o absolutóriu, odvoláva sa na svoje uznesenie z 11. apríla 2024</w:t>
      </w:r>
      <w:r w:rsidRPr="00E61237">
        <w:rPr>
          <w:vertAlign w:val="superscript"/>
        </w:rPr>
        <w:footnoteReference w:id="15"/>
      </w:r>
      <w:r w:rsidRPr="00E61237">
        <w:t xml:space="preserve"> o výkonnosti, finančnom riadení a kontrole agentúr.</w:t>
      </w:r>
    </w:p>
    <w:p w:rsidR="004C2775" w:rsidRPr="00E61237" w:rsidRDefault="004C2775"/>
    <w:p w:rsidR="004C2775" w:rsidRPr="00E61237" w:rsidRDefault="004C2775">
      <w:bookmarkStart w:id="9" w:name="TextBodyEnd"/>
      <w:bookmarkEnd w:id="9"/>
    </w:p>
    <w:sectPr w:rsidR="004C2775" w:rsidRPr="00E6123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775" w:rsidRDefault="00E61237">
      <w:r>
        <w:separator/>
      </w:r>
    </w:p>
  </w:endnote>
  <w:endnote w:type="continuationSeparator" w:id="0">
    <w:p w:rsidR="004C2775" w:rsidRDefault="00E61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E61237">
    <w:pPr>
      <w:pStyle w:val="EPFooter"/>
    </w:pPr>
    <w:r>
      <w:t>PE</w:t>
    </w:r>
    <w:r>
      <w:rPr>
        <w:rStyle w:val="HideTWBExt"/>
      </w:rPr>
      <w:t>&lt;NoPE&gt;</w:t>
    </w:r>
    <w:r>
      <w:t>753.513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3759CC">
      <w:fldChar w:fldCharType="begin"/>
    </w:r>
    <w:r w:rsidR="003759CC">
      <w:instrText xml:space="preserve"> NUMPAGES  \* MERGEFORMAT </w:instrText>
    </w:r>
    <w:r w:rsidR="003759CC">
      <w:fldChar w:fldCharType="separate"/>
    </w:r>
    <w:r>
      <w:rPr>
        <w:noProof/>
      </w:rPr>
      <w:t>4</w:t>
    </w:r>
    <w:r w:rsidR="003759CC">
      <w:rPr>
        <w:noProof/>
      </w:rPr>
      <w:fldChar w:fldCharType="end"/>
    </w:r>
    <w:r>
      <w:tab/>
    </w:r>
    <w:r>
      <w:rPr>
        <w:rStyle w:val="HideTWBExt"/>
      </w:rPr>
      <w:t>&lt;PathFdR&gt;</w:t>
    </w:r>
    <w:r>
      <w:t>RR\1298889SK.docx</w:t>
    </w:r>
    <w:r>
      <w:rPr>
        <w:rStyle w:val="HideTWBExt"/>
      </w:rPr>
      <w:t>&lt;/PathFdR&gt;</w:t>
    </w:r>
  </w:p>
  <w:p w:rsidR="004C2775" w:rsidRDefault="00E61237">
    <w:pPr>
      <w:pStyle w:val="EPFooter2"/>
    </w:pPr>
    <w:r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E61237">
    <w:pPr>
      <w:pStyle w:val="EPFooter"/>
    </w:pPr>
    <w:r>
      <w:rPr>
        <w:rStyle w:val="HideTWBExt"/>
      </w:rPr>
      <w:t>&lt;PathFdR&gt;</w:t>
    </w:r>
    <w:r>
      <w:t>RR\1298889SK.docx</w:t>
    </w:r>
    <w:r>
      <w:rPr>
        <w:rStyle w:val="HideTWBExt"/>
      </w:rPr>
      <w:t>&lt;/PathFdR&gt;</w:t>
    </w:r>
    <w:r>
      <w:tab/>
    </w:r>
    <w:r>
      <w:tab/>
      <w:t>PE</w:t>
    </w:r>
    <w:r>
      <w:rPr>
        <w:rStyle w:val="HideTWBExt"/>
      </w:rPr>
      <w:t>&lt;NoPE&gt;</w:t>
    </w:r>
    <w:r>
      <w:t>753.513</w:t>
    </w:r>
    <w:r>
      <w:rPr>
        <w:rStyle w:val="HideTWBExt"/>
      </w:rPr>
      <w:t>&lt;/NoPE&gt;&lt;Version&gt;</w:t>
    </w:r>
    <w:r>
      <w:t>v02-00</w:t>
    </w:r>
    <w:r>
      <w:rPr>
        <w:rStyle w:val="HideTWBExt"/>
      </w:rPr>
      <w:t>&lt;/Version&gt;</w:t>
    </w:r>
  </w:p>
  <w:p w:rsidR="004C2775" w:rsidRDefault="00E61237">
    <w:pPr>
      <w:pStyle w:val="EPFooter2"/>
    </w:pPr>
    <w:r>
      <w:t>SK</w:t>
    </w:r>
    <w:r>
      <w:tab/>
    </w:r>
    <w:r>
      <w:rPr>
        <w:b w:val="0"/>
        <w:i/>
        <w:color w:val="C0C0C0"/>
        <w:sz w:val="22"/>
      </w:rPr>
      <w:t>Zjednotení v rozmanitosti</w:t>
    </w:r>
    <w:r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4C2775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4C277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4C27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775" w:rsidRDefault="00E61237">
      <w:r>
        <w:separator/>
      </w:r>
    </w:p>
  </w:footnote>
  <w:footnote w:type="continuationSeparator" w:id="0">
    <w:p w:rsidR="004C2775" w:rsidRDefault="00E61237">
      <w:r>
        <w:continuationSeparator/>
      </w:r>
    </w:p>
  </w:footnote>
  <w:footnote w:id="1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2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3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4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331, 15.12.2010, s. 12.</w:t>
      </w:r>
    </w:p>
  </w:footnote>
  <w:footnote w:id="5">
    <w:p w:rsidR="004C2775" w:rsidRDefault="00E61237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6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C/2023/594, 27.10.2023.</w:t>
      </w:r>
    </w:p>
  </w:footnote>
  <w:footnote w:id="7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C, C/2023/112, 12.10.2023.</w:t>
      </w:r>
    </w:p>
  </w:footnote>
  <w:footnote w:id="8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193, 30.7.2018, s. 1.</w:t>
      </w:r>
    </w:p>
  </w:footnote>
  <w:footnote w:id="9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L 331, 15.12.2010, s. 12.</w:t>
      </w:r>
    </w:p>
  </w:footnote>
  <w:footnote w:id="10">
    <w:p w:rsidR="004C2775" w:rsidRDefault="00E61237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122, 10.5.2019, s. 1.</w:t>
      </w:r>
    </w:p>
  </w:footnote>
  <w:footnote w:id="11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 C 73, 28.2.2023, s. 102.</w:t>
      </w:r>
    </w:p>
  </w:footnote>
  <w:footnote w:id="12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 2022/2554 zo 14. decembra 2022 o digitálnej prevádzkovej odolnosti finančného sektora a o zmene nariadení (ES) č. 1060/2009, (EÚ) č. 648/2012, (EÚ) č. 600/2014, (EÚ) č. 909/2014 a (EÚ) 2016/1011 (Ú. v. EÚ L 333, 27.12.2022, s. 1).</w:t>
      </w:r>
    </w:p>
  </w:footnote>
  <w:footnote w:id="13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 Rady (EÚ) 2022/2556 zo 14. decembra 2022, ktorou sa menia smernice 2009/65/ES, 2009/138/ES, 2011/61/EÚ, 2013/36/EÚ, 2014/59/EÚ, 2014/65/EÚ, (EÚ) 2015/2366 a (EÚ) 2016/2341, pokiaľ ide o digitálnu prevádzkovú odolnosť finančného sektora (Ú. v. EÚ L 333, 27.12.2022, s. 153).</w:t>
      </w:r>
    </w:p>
  </w:footnote>
  <w:footnote w:id="14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Nariadenie Európskeho parlamentu a Rady (EÚ) 2023/1114 z 31. mája 2023 o trhoch s </w:t>
      </w:r>
      <w:proofErr w:type="spellStart"/>
      <w:r>
        <w:rPr>
          <w:sz w:val="24"/>
          <w:lang w:val="sk-SK"/>
        </w:rPr>
        <w:t>kryptoaktívami</w:t>
      </w:r>
      <w:proofErr w:type="spellEnd"/>
      <w:r>
        <w:rPr>
          <w:sz w:val="24"/>
          <w:lang w:val="sk-SK"/>
        </w:rPr>
        <w:t xml:space="preserve"> a o zmene nariadení (EÚ) č. 1093/2010 a (EÚ) č. 1095/2010 a smerníc 2013/36/EÚ a (EÚ) 2019/1937 (Ú. v. EÚ L 150, 9.6.2023, s. 40).</w:t>
      </w:r>
    </w:p>
  </w:footnote>
  <w:footnote w:id="15">
    <w:p w:rsidR="004C2775" w:rsidRDefault="00E61237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</w:t>
      </w:r>
      <w:r w:rsidR="00EB1B1F">
        <w:rPr>
          <w:sz w:val="24"/>
          <w:lang w:val="sk-SK"/>
        </w:rPr>
        <w:t>280</w:t>
      </w:r>
      <w:r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4C277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4C277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775" w:rsidRDefault="004C27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1/2024"/>
    <w:docVar w:name="dvlangue" w:val="SK"/>
    <w:docVar w:name="dvnumam" w:val="0"/>
    <w:docVar w:name="dvpe" w:val="753.513"/>
    <w:docVar w:name="dvrapporteur" w:val="Spravodajca: "/>
    <w:docVar w:name="dvtitre" w:val="1. Rozhodnutie Európskeho parlamentu z 11. apríla 2024 o absolutóriu za plnenie rozpočtu Európskeho orgánu pre bankovníctvo za rozpočtový rok 2022(2023/2146(DEC))"/>
  </w:docVars>
  <w:rsids>
    <w:rsidRoot w:val="004C2775"/>
    <w:rsid w:val="002E0D05"/>
    <w:rsid w:val="003759CC"/>
    <w:rsid w:val="004C2775"/>
    <w:rsid w:val="008D5068"/>
    <w:rsid w:val="00982FE1"/>
    <w:rsid w:val="00E61237"/>
    <w:rsid w:val="00EB1B1F"/>
    <w:rsid w:val="00EB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4DA47"/>
  <w15:chartTrackingRefBased/>
  <w15:docId w15:val="{F1B98A69-FF01-4E08-8F49-0A8CFBA0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0660D-B7F7-4353-B179-B4967198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3070</Words>
  <Characters>18471</Characters>
  <Application>Microsoft Office Word</Application>
  <DocSecurity>0</DocSecurity>
  <Lines>153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2024-05-15T11:58:00Z</dcterms:created>
  <dcterms:modified xsi:type="dcterms:W3CDTF">2024-05-15T11:58:00Z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P9_TA(2024)0262_</vt:lpwstr>
  </property>
  <property fmtid="{D5CDD505-2E9C-101B-9397-08002B2CF9AE}" pid="4" name="&lt;Type&gt;">
    <vt:lpwstr>RR</vt:lpwstr>
  </property>
</Properties>
</file>