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60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F60B0" w:rsidRDefault="00824BD2" w:rsidP="0010095E">
            <w:pPr>
              <w:pStyle w:val="EPName"/>
            </w:pPr>
            <w:r w:rsidRPr="004F60B0">
              <w:t>Evropský parlament</w:t>
            </w:r>
          </w:p>
          <w:p w:rsidR="00751A4A" w:rsidRPr="004F60B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60B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F60B0" w:rsidRDefault="00187494" w:rsidP="0010095E">
            <w:pPr>
              <w:pStyle w:val="EPLogo"/>
            </w:pPr>
            <w:r w:rsidRPr="004F60B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F60B0" w:rsidRDefault="00D058B8" w:rsidP="004C5D52">
      <w:pPr>
        <w:pStyle w:val="LineTop"/>
      </w:pPr>
    </w:p>
    <w:p w:rsidR="00680577" w:rsidRPr="004F60B0" w:rsidRDefault="00824BD2" w:rsidP="00680577">
      <w:pPr>
        <w:pStyle w:val="EPBodyTA1"/>
      </w:pPr>
      <w:r w:rsidRPr="004F60B0">
        <w:t>PŘIJATÉ TEXTY</w:t>
      </w:r>
    </w:p>
    <w:p w:rsidR="00D058B8" w:rsidRPr="004F60B0" w:rsidRDefault="00D058B8" w:rsidP="00D058B8">
      <w:pPr>
        <w:pStyle w:val="LineBottom"/>
      </w:pPr>
    </w:p>
    <w:p w:rsidR="00824BD2" w:rsidRPr="004F60B0" w:rsidRDefault="00824BD2" w:rsidP="00824BD2">
      <w:pPr>
        <w:pStyle w:val="ATHeading1"/>
      </w:pPr>
      <w:bookmarkStart w:id="0" w:name="TANumber"/>
      <w:r w:rsidRPr="004F60B0">
        <w:t>P9_TA(2024)0</w:t>
      </w:r>
      <w:bookmarkEnd w:id="0"/>
      <w:r w:rsidR="009525C2">
        <w:t>263</w:t>
      </w:r>
    </w:p>
    <w:p w:rsidR="00824BD2" w:rsidRPr="004F60B0" w:rsidRDefault="00824BD2" w:rsidP="00824BD2">
      <w:pPr>
        <w:pStyle w:val="ATHeading2"/>
      </w:pPr>
      <w:bookmarkStart w:id="1" w:name="title"/>
      <w:r w:rsidRPr="004F60B0">
        <w:t>Udělení absolutoria za rok 2022: Evropský orgán pro pojišťovnictví a zaměstnanecké penzijní pojištění</w:t>
      </w:r>
      <w:bookmarkEnd w:id="1"/>
    </w:p>
    <w:p w:rsidR="00824BD2" w:rsidRPr="004F60B0" w:rsidRDefault="00824BD2" w:rsidP="00824BD2">
      <w:pPr>
        <w:rPr>
          <w:i/>
          <w:vanish/>
        </w:rPr>
      </w:pPr>
      <w:r w:rsidRPr="004F60B0">
        <w:rPr>
          <w:i/>
        </w:rPr>
        <w:fldChar w:fldCharType="begin"/>
      </w:r>
      <w:r w:rsidRPr="004F60B0">
        <w:rPr>
          <w:i/>
        </w:rPr>
        <w:instrText xml:space="preserve"> TC"(</w:instrText>
      </w:r>
      <w:bookmarkStart w:id="2" w:name="DocNumber"/>
      <w:r w:rsidRPr="004F60B0">
        <w:rPr>
          <w:i/>
        </w:rPr>
        <w:instrText>A9-0097/2024</w:instrText>
      </w:r>
      <w:bookmarkEnd w:id="2"/>
      <w:r w:rsidRPr="004F60B0">
        <w:rPr>
          <w:i/>
        </w:rPr>
        <w:instrText xml:space="preserve"> - Zpravodaj: </w:instrText>
      </w:r>
      <w:proofErr w:type="spellStart"/>
      <w:r w:rsidRPr="004F60B0">
        <w:rPr>
          <w:i/>
        </w:rPr>
        <w:instrText>Petri</w:instrText>
      </w:r>
      <w:proofErr w:type="spellEnd"/>
      <w:r w:rsidRPr="004F60B0">
        <w:rPr>
          <w:i/>
        </w:rPr>
        <w:instrText xml:space="preserve"> </w:instrText>
      </w:r>
      <w:proofErr w:type="spellStart"/>
      <w:r w:rsidRPr="004F60B0">
        <w:rPr>
          <w:i/>
        </w:rPr>
        <w:instrText>Sarvamaa</w:instrText>
      </w:r>
      <w:proofErr w:type="spellEnd"/>
      <w:r w:rsidRPr="004F60B0">
        <w:rPr>
          <w:i/>
        </w:rPr>
        <w:instrText xml:space="preserve">)"\l3 \n&gt; \* MERGEFORMAT </w:instrText>
      </w:r>
      <w:r w:rsidRPr="004F60B0">
        <w:rPr>
          <w:i/>
        </w:rPr>
        <w:fldChar w:fldCharType="end"/>
      </w:r>
    </w:p>
    <w:p w:rsidR="00824BD2" w:rsidRPr="004F60B0" w:rsidRDefault="00824BD2" w:rsidP="00824BD2">
      <w:pPr>
        <w:rPr>
          <w:vanish/>
        </w:rPr>
      </w:pPr>
      <w:bookmarkStart w:id="3" w:name="Commission"/>
      <w:r w:rsidRPr="004F60B0">
        <w:rPr>
          <w:vanish/>
        </w:rPr>
        <w:t>Výbor pro rozpočtovou kontrolu</w:t>
      </w:r>
      <w:bookmarkEnd w:id="3"/>
    </w:p>
    <w:p w:rsidR="00824BD2" w:rsidRPr="004F60B0" w:rsidRDefault="00824BD2" w:rsidP="00824BD2">
      <w:pPr>
        <w:rPr>
          <w:vanish/>
        </w:rPr>
      </w:pPr>
      <w:bookmarkStart w:id="4" w:name="PE"/>
      <w:r w:rsidRPr="004F60B0">
        <w:rPr>
          <w:vanish/>
        </w:rPr>
        <w:t>PE753.521</w:t>
      </w:r>
      <w:bookmarkEnd w:id="4"/>
    </w:p>
    <w:p w:rsidR="00824BD2" w:rsidRPr="004F60B0" w:rsidRDefault="00824BD2" w:rsidP="00824BD2">
      <w:pPr>
        <w:pStyle w:val="ATHeading3"/>
      </w:pPr>
      <w:bookmarkStart w:id="5" w:name="Sujet"/>
      <w:r w:rsidRPr="004F60B0">
        <w:t xml:space="preserve">1. Rozhodnutí </w:t>
      </w:r>
      <w:r w:rsidR="000A6220">
        <w:t>Evropského parlamentu ze dne 11. dubna</w:t>
      </w:r>
      <w:r w:rsidRPr="004F60B0">
        <w:t xml:space="preserve"> 2024 o udělení absolutoria za plnění rozpočtu Evropského orgánu pro pojišťovnictví a zaměstnanecké penzijní pojištění na rozpočtový rok 2022</w:t>
      </w:r>
      <w:bookmarkEnd w:id="5"/>
      <w:r w:rsidRPr="004F60B0">
        <w:t xml:space="preserve"> </w:t>
      </w:r>
      <w:bookmarkStart w:id="6" w:name="References"/>
      <w:r w:rsidRPr="004F60B0">
        <w:t>(2023/2153(DEC))</w:t>
      </w:r>
      <w:bookmarkEnd w:id="6"/>
    </w:p>
    <w:p w:rsidR="008768EB" w:rsidRPr="004F60B0" w:rsidRDefault="008768EB" w:rsidP="008768EB">
      <w:pPr>
        <w:pStyle w:val="EPComma"/>
      </w:pPr>
      <w:bookmarkStart w:id="7" w:name="TextBodyBegin"/>
      <w:bookmarkEnd w:id="7"/>
      <w:r w:rsidRPr="004F60B0">
        <w:rPr>
          <w:i/>
        </w:rPr>
        <w:t>Evropský parlament</w:t>
      </w:r>
      <w:r w:rsidRPr="004F60B0">
        <w:t>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konečnou roční účetní závěrku Evropského orgánu pro pojišťovnictví a zaměstnanecké penzijní pojištění za rozpočtový rok 2022,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výroční zprávu Účetního dvora o agenturách EU za rozpočtový rok 2022 spolu s odpověďmi agentur</w:t>
      </w:r>
      <w:r w:rsidRPr="004F60B0">
        <w:rPr>
          <w:rStyle w:val="FootnoteReference"/>
        </w:rPr>
        <w:footnoteReference w:id="1"/>
      </w:r>
      <w:r w:rsidRPr="004F60B0">
        <w:t>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prohlášení o věrohodnosti</w:t>
      </w:r>
      <w:r w:rsidRPr="004F60B0">
        <w:rPr>
          <w:rStyle w:val="FootnoteReference"/>
        </w:rPr>
        <w:footnoteReference w:id="2"/>
      </w:r>
      <w:r w:rsidRPr="004F60B0">
        <w:t xml:space="preserve"> účetnictví a o legalitě a správnosti uskutečněných operací, které předložil Účetní dvůr za rozpočtový rok 2022 podle článku 287 Smlouvy o fungování Evropské unie,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doporučení Rady ze dne 22. února 2024 o udělení absolutoria orgánu za plnění rozpoč</w:t>
      </w:r>
      <w:r w:rsidR="004E58D2">
        <w:t>tu na rozpočtový rok 2022 (06180/2024 – C9</w:t>
      </w:r>
      <w:r w:rsidR="004E58D2">
        <w:noBreakHyphen/>
        <w:t>0091</w:t>
      </w:r>
      <w:r w:rsidRPr="004F60B0">
        <w:t>/2024),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článek 319 Smlouvy o fungování Evropské unie,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0A6220">
        <w:t>/2014 a rozhodnutí č. 541/2014/</w:t>
      </w:r>
      <w:r w:rsidRPr="004F60B0">
        <w:t>EU a zrušuje nařízení (EU, Euratom) č. 966/2012</w:t>
      </w:r>
      <w:r w:rsidRPr="004F60B0">
        <w:rPr>
          <w:rStyle w:val="FootnoteReference"/>
        </w:rPr>
        <w:footnoteReference w:id="3"/>
      </w:r>
      <w:r w:rsidRPr="004F60B0">
        <w:t>, a zejména článek 70 tohoto nařízení,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 xml:space="preserve">s ohledem na nařízení Evropského parlamentu a Rady (EU) č. 1094/2010 ze dne 24. listopadu 2010 o zřízení Evropského orgánu dohledu (Evropského orgánu pro </w:t>
      </w:r>
      <w:r w:rsidRPr="004F60B0">
        <w:lastRenderedPageBreak/>
        <w:t>pojišťovnictví a zaměstnanecké penzijní pojištění), o změně rozhodnutí č. 716/2009/ES a o zrušení rozhodnutí Komise 2009/79/ES</w:t>
      </w:r>
      <w:r w:rsidRPr="004F60B0">
        <w:rPr>
          <w:rStyle w:val="FootnoteReference"/>
        </w:rPr>
        <w:footnoteReference w:id="4"/>
      </w:r>
      <w:r w:rsidRPr="004F60B0">
        <w:t>, a zejména na článek 64 tohoto nařízení,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 xml:space="preserve">s ohledem na nařízení Komise v přenesené pravomoci (EU) 2019/715 ze dne 18. prosince 2018 o rámcovém finančním nařízení pro subjekty zřízené podle </w:t>
      </w:r>
      <w:r w:rsidR="00B22DDC" w:rsidRPr="00B22DDC">
        <w:t>Smlouvy o fungování Evropské unie</w:t>
      </w:r>
      <w:r w:rsidRPr="004F60B0">
        <w:t xml:space="preserve"> a Smlouvy o Euratomu a uvedené v článku 70 nařízení Evropského parlamentu a Rady (EU, Euratom) 2018/1046</w:t>
      </w:r>
      <w:r w:rsidRPr="004F60B0">
        <w:rPr>
          <w:rStyle w:val="FootnoteReference"/>
        </w:rPr>
        <w:footnoteReference w:id="5"/>
      </w:r>
      <w:r w:rsidRPr="004F60B0">
        <w:t>, a zejména na článek 105 tohoto nařízení,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článek 100 a přílohu V jednacího řádu,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zprávu Výboru pro rozpočtovou kontrolu (A9</w:t>
      </w:r>
      <w:r w:rsidRPr="004F60B0">
        <w:noBreakHyphen/>
        <w:t>0097/2024),</w:t>
      </w:r>
    </w:p>
    <w:p w:rsidR="008768EB" w:rsidRPr="004F60B0" w:rsidRDefault="008768EB" w:rsidP="008768EB">
      <w:pPr>
        <w:pStyle w:val="NormalHanging12a"/>
      </w:pPr>
      <w:r w:rsidRPr="004F60B0">
        <w:t>1.</w:t>
      </w:r>
      <w:r w:rsidRPr="004F60B0">
        <w:tab/>
        <w:t>uděluje absolutorium výkonnému řediteli Evropského orgánu pro pojišťovnictví a zaměstnanecké penzijní pojištění za plnění rozpočtu orgánu na rozpočtový rok 2022;</w:t>
      </w:r>
    </w:p>
    <w:p w:rsidR="008768EB" w:rsidRPr="004F60B0" w:rsidRDefault="008768EB" w:rsidP="008768EB">
      <w:pPr>
        <w:pStyle w:val="NormalHanging12a"/>
      </w:pPr>
      <w:r w:rsidRPr="004F60B0">
        <w:t>2.</w:t>
      </w:r>
      <w:r w:rsidRPr="004F60B0">
        <w:tab/>
        <w:t>předkládá své připomínky v dále uvedeném usnesení;</w:t>
      </w:r>
    </w:p>
    <w:p w:rsidR="008768EB" w:rsidRPr="004F60B0" w:rsidRDefault="008768EB" w:rsidP="008768EB">
      <w:pPr>
        <w:pStyle w:val="NormalHanging12a"/>
      </w:pPr>
      <w:r w:rsidRPr="004F60B0">
        <w:t>3.</w:t>
      </w:r>
      <w:r w:rsidRPr="004F60B0">
        <w:tab/>
        <w:t xml:space="preserve">pověřuje svou předsedkyni, aby předala toto rozhodnutí a usnesení, které je jeho nedílnou součástí, výkonnému řediteli Evropského orgánu pro pojišťovnictví a zaměstnanecké penzijní pojištění, Radě, Komisi a Účetnímu dvoru a aby zajistila jejich zveřejnění v </w:t>
      </w:r>
      <w:r w:rsidRPr="004F60B0">
        <w:rPr>
          <w:i/>
        </w:rPr>
        <w:t>Úředním věstníku Evropské unie</w:t>
      </w:r>
      <w:r w:rsidRPr="004F60B0">
        <w:t xml:space="preserve"> (řada L).</w:t>
      </w:r>
    </w:p>
    <w:p w:rsidR="008768EB" w:rsidRPr="004F60B0" w:rsidRDefault="008768EB" w:rsidP="008768EB"/>
    <w:p w:rsidR="008768EB" w:rsidRPr="004F60B0" w:rsidRDefault="008768EB" w:rsidP="008768EB">
      <w:pPr>
        <w:widowControl/>
        <w:rPr>
          <w:rFonts w:ascii="Arial" w:hAnsi="Arial" w:cs="Arial"/>
          <w:b/>
        </w:rPr>
        <w:sectPr w:rsidR="008768EB" w:rsidRPr="004F60B0" w:rsidSect="004F60B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8768EB" w:rsidRPr="000A6220" w:rsidRDefault="008768EB" w:rsidP="000A6220">
      <w:pPr>
        <w:pStyle w:val="PageHeading"/>
        <w:jc w:val="left"/>
        <w:rPr>
          <w:rFonts w:ascii="Times New Roman" w:hAnsi="Times New Roman" w:cs="Times New Roman"/>
        </w:rPr>
      </w:pPr>
      <w:bookmarkStart w:id="8" w:name="_Toc146789945"/>
      <w:bookmarkStart w:id="9" w:name="_Toc161849269"/>
      <w:r w:rsidRPr="000A6220">
        <w:rPr>
          <w:rFonts w:ascii="Times New Roman" w:hAnsi="Times New Roman" w:cs="Times New Roman"/>
        </w:rPr>
        <w:lastRenderedPageBreak/>
        <w:t xml:space="preserve">2. </w:t>
      </w:r>
      <w:r w:rsidR="000A6220">
        <w:rPr>
          <w:rFonts w:ascii="Times New Roman" w:hAnsi="Times New Roman" w:cs="Times New Roman"/>
        </w:rPr>
        <w:t>Rozhodnutí E</w:t>
      </w:r>
      <w:r w:rsidR="000A6220" w:rsidRPr="000A6220">
        <w:rPr>
          <w:rFonts w:ascii="Times New Roman" w:hAnsi="Times New Roman" w:cs="Times New Roman"/>
        </w:rPr>
        <w:t>vropského parlamentu</w:t>
      </w:r>
      <w:bookmarkEnd w:id="8"/>
      <w:bookmarkEnd w:id="9"/>
      <w:r w:rsidR="000A6220" w:rsidRPr="000A6220">
        <w:rPr>
          <w:rFonts w:ascii="Times New Roman" w:hAnsi="Times New Roman" w:cs="Times New Roman"/>
        </w:rPr>
        <w:t xml:space="preserve"> ze dne 11. dubna 2024 </w:t>
      </w:r>
      <w:r w:rsidRPr="000A6220">
        <w:rPr>
          <w:rFonts w:ascii="Times New Roman" w:hAnsi="Times New Roman" w:cs="Times New Roman"/>
        </w:rPr>
        <w:t>o uzavření účtů Evropského orgánu pro pojišťovnictví a zaměstnanecké penzijní pojištění na rozpočtový rok 2022</w:t>
      </w:r>
      <w:r w:rsidR="000A6220" w:rsidRPr="000A6220">
        <w:rPr>
          <w:rFonts w:ascii="Times New Roman" w:hAnsi="Times New Roman" w:cs="Times New Roman"/>
        </w:rPr>
        <w:t xml:space="preserve"> </w:t>
      </w:r>
      <w:r w:rsidRPr="000A6220">
        <w:rPr>
          <w:rFonts w:ascii="Times New Roman" w:hAnsi="Times New Roman" w:cs="Times New Roman"/>
        </w:rPr>
        <w:t>(2023/2153(DEC))</w:t>
      </w:r>
    </w:p>
    <w:p w:rsidR="008768EB" w:rsidRPr="004F60B0" w:rsidRDefault="008768EB" w:rsidP="008768EB">
      <w:pPr>
        <w:pStyle w:val="EPComma"/>
      </w:pPr>
      <w:r w:rsidRPr="004F60B0">
        <w:rPr>
          <w:i/>
        </w:rPr>
        <w:t>Evropský parlament</w:t>
      </w:r>
      <w:r w:rsidRPr="004F60B0">
        <w:t>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konečnou roční účetní závěrku Evropského orgánu pro pojišťovnictví a zaměstnanecké penzijní pojištění za rozpočtový rok 2022,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výroční zprávu Účetního dvora o agenturách EU za rozpočtový rok 2022 spolu s odpověďmi agentur</w:t>
      </w:r>
      <w:r w:rsidRPr="004F60B0">
        <w:rPr>
          <w:rStyle w:val="FootnoteReference"/>
        </w:rPr>
        <w:footnoteReference w:id="6"/>
      </w:r>
      <w:r w:rsidRPr="004F60B0">
        <w:t>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prohlášení o věrohodnosti</w:t>
      </w:r>
      <w:r w:rsidRPr="004F60B0">
        <w:rPr>
          <w:rStyle w:val="FootnoteReference"/>
        </w:rPr>
        <w:footnoteReference w:id="7"/>
      </w:r>
      <w:r w:rsidRPr="004F60B0">
        <w:t xml:space="preserve"> účetnictví a o legalitě a správnosti uskutečněných operací, které předložil Účetní dvůr za rozpočtový rok 2022 podle článku 287 Smlouvy o fungování Evropské unie,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 xml:space="preserve">s ohledem na doporučení Rady ze dne 22. února 2024 o udělení absolutoria orgánu za plnění rozpočtu na rozpočtový rok </w:t>
      </w:r>
      <w:r w:rsidR="004E58D2">
        <w:t>2022 (06180/2024 – C9</w:t>
      </w:r>
      <w:r w:rsidR="004E58D2">
        <w:noBreakHyphen/>
        <w:t>0091</w:t>
      </w:r>
      <w:r w:rsidRPr="004F60B0">
        <w:t>/2024),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článek 319 Smlouvy o fungování Evropské unie,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0A6220">
        <w:t>/2014 a rozhodnutí č. 541/2014/</w:t>
      </w:r>
      <w:r w:rsidRPr="004F60B0">
        <w:t>EU a zrušuje nařízení (EU, Euratom) č. 966/2012</w:t>
      </w:r>
      <w:r w:rsidRPr="004F60B0">
        <w:rPr>
          <w:rStyle w:val="FootnoteReference"/>
        </w:rPr>
        <w:footnoteReference w:id="8"/>
      </w:r>
      <w:r w:rsidRPr="004F60B0">
        <w:t>, a zejména článek 70 tohoto nařízení,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nařízení Evropského parlamentu a Rady (EU) č. 1094/2010 ze dne 24. listopadu 2010 o zřízení Evropského orgánu dohledu (Evropského orgánu pro pojišťovnictví a zaměstnanecké penzijní pojištění), o změně rozhodnutí č. 716/2009/ES a o zrušení rozhodnutí Komise 2009/79/ES</w:t>
      </w:r>
      <w:r w:rsidRPr="004F60B0">
        <w:rPr>
          <w:rStyle w:val="FootnoteReference"/>
        </w:rPr>
        <w:footnoteReference w:id="9"/>
      </w:r>
      <w:r w:rsidRPr="004F60B0">
        <w:t>, a zejména na článek 64 tohoto nařízení,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 xml:space="preserve">s ohledem na nařízení Komise v přenesené pravomoci (EU) 2019/715 ze dne 18. prosince 2018 o rámcovém finančním nařízení pro subjekty zřízené podle </w:t>
      </w:r>
      <w:r w:rsidR="00B22DDC" w:rsidRPr="00B22DDC">
        <w:t>Smlouvy o fungování Evropské unie</w:t>
      </w:r>
      <w:r w:rsidRPr="004F60B0">
        <w:t xml:space="preserve"> a Smlouvy o Euratomu a uvedené v článku 70 nařízení Evropského parlamentu a Rady (EU, Euratom) 2018/1046</w:t>
      </w:r>
      <w:r w:rsidRPr="004F60B0">
        <w:rPr>
          <w:rStyle w:val="FootnoteReference"/>
        </w:rPr>
        <w:footnoteReference w:id="10"/>
      </w:r>
      <w:r w:rsidRPr="004F60B0">
        <w:t>, a zejména na článek 105 tohoto nařízení,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článek 100 a přílohu V jednacího řádu,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zprávu Výboru pro rozpočtovou kontrolu (A9</w:t>
      </w:r>
      <w:r w:rsidRPr="004F60B0">
        <w:noBreakHyphen/>
        <w:t>0097/2024),</w:t>
      </w:r>
    </w:p>
    <w:p w:rsidR="008768EB" w:rsidRPr="004F60B0" w:rsidRDefault="008768EB" w:rsidP="008768EB">
      <w:pPr>
        <w:pStyle w:val="NormalHanging12a"/>
      </w:pPr>
      <w:r w:rsidRPr="004F60B0">
        <w:t>1.</w:t>
      </w:r>
      <w:r w:rsidRPr="004F60B0">
        <w:tab/>
        <w:t>schvaluje uzavření účtů Evropského orgánu pro pojišťovnictví a zaměstnanecké penzijní pojištění na rozpočtový rok 2022;</w:t>
      </w:r>
    </w:p>
    <w:p w:rsidR="008768EB" w:rsidRPr="004F60B0" w:rsidRDefault="008768EB" w:rsidP="008768EB">
      <w:pPr>
        <w:pStyle w:val="NormalHanging12a"/>
      </w:pPr>
      <w:r w:rsidRPr="004F60B0">
        <w:t>2.</w:t>
      </w:r>
      <w:r w:rsidRPr="004F60B0">
        <w:tab/>
        <w:t xml:space="preserve">pověřuje svou předsedkyni, aby předala toto rozhodnutí výkonnému řediteli Evropského orgánu pro pojišťovnictví a zaměstnanecké penzijní pojištění, Radě, Komisi a Účetnímu dvoru a aby zajistila jeho zveřejnění v </w:t>
      </w:r>
      <w:r w:rsidRPr="004F60B0">
        <w:rPr>
          <w:i/>
        </w:rPr>
        <w:t>Úředním věstníku Evropské unie</w:t>
      </w:r>
      <w:r w:rsidRPr="004F60B0">
        <w:t xml:space="preserve"> (řada L).</w:t>
      </w:r>
    </w:p>
    <w:p w:rsidR="008768EB" w:rsidRPr="004F60B0" w:rsidRDefault="008768EB" w:rsidP="008768EB"/>
    <w:p w:rsidR="008768EB" w:rsidRPr="004F60B0" w:rsidRDefault="008768EB" w:rsidP="008768EB">
      <w:pPr>
        <w:widowControl/>
        <w:rPr>
          <w:rFonts w:ascii="Arial" w:hAnsi="Arial" w:cs="Arial"/>
          <w:b/>
        </w:rPr>
        <w:sectPr w:rsidR="008768EB" w:rsidRPr="004F60B0" w:rsidSect="004F60B0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8768EB" w:rsidRPr="000A6220" w:rsidRDefault="008768EB" w:rsidP="000A6220">
      <w:pPr>
        <w:pStyle w:val="PageHeading"/>
        <w:jc w:val="left"/>
        <w:rPr>
          <w:rFonts w:ascii="Times New Roman" w:hAnsi="Times New Roman" w:cs="Times New Roman"/>
        </w:rPr>
      </w:pPr>
      <w:bookmarkStart w:id="10" w:name="_Toc146789946"/>
      <w:bookmarkStart w:id="11" w:name="_Toc161849270"/>
      <w:r w:rsidRPr="000A6220">
        <w:rPr>
          <w:rFonts w:ascii="Times New Roman" w:hAnsi="Times New Roman" w:cs="Times New Roman"/>
        </w:rPr>
        <w:t xml:space="preserve">3. </w:t>
      </w:r>
      <w:r w:rsidR="000A6220">
        <w:rPr>
          <w:rFonts w:ascii="Times New Roman" w:hAnsi="Times New Roman" w:cs="Times New Roman"/>
        </w:rPr>
        <w:t>Usnesení E</w:t>
      </w:r>
      <w:r w:rsidR="000A6220" w:rsidRPr="000A6220">
        <w:rPr>
          <w:rFonts w:ascii="Times New Roman" w:hAnsi="Times New Roman" w:cs="Times New Roman"/>
        </w:rPr>
        <w:t>vropského parlamentu</w:t>
      </w:r>
      <w:bookmarkEnd w:id="10"/>
      <w:bookmarkEnd w:id="11"/>
      <w:r w:rsidR="000A6220" w:rsidRPr="000A6220">
        <w:rPr>
          <w:rFonts w:ascii="Times New Roman" w:hAnsi="Times New Roman" w:cs="Times New Roman"/>
        </w:rPr>
        <w:t xml:space="preserve"> ze dne 11. dubna 2024 obsahující</w:t>
      </w:r>
      <w:r w:rsidRPr="000A6220">
        <w:rPr>
          <w:rFonts w:ascii="Times New Roman" w:hAnsi="Times New Roman" w:cs="Times New Roman"/>
        </w:rPr>
        <w:t xml:space="preserve"> připomínky, které jsou nedílnou součástí rozhodnutí o udělení absolutoria za plnění rozpočtu Evropského orgánu pro pojišťovnictví a zaměstnanecké penzijní pojištění na rozpočtový rok 2022</w:t>
      </w:r>
      <w:r w:rsidR="000A6220" w:rsidRPr="000A6220">
        <w:rPr>
          <w:rFonts w:ascii="Times New Roman" w:hAnsi="Times New Roman" w:cs="Times New Roman"/>
        </w:rPr>
        <w:t xml:space="preserve"> </w:t>
      </w:r>
      <w:r w:rsidRPr="000A6220">
        <w:rPr>
          <w:rFonts w:ascii="Times New Roman" w:hAnsi="Times New Roman" w:cs="Times New Roman"/>
        </w:rPr>
        <w:t>(2023/2153(DEC))</w:t>
      </w:r>
    </w:p>
    <w:p w:rsidR="008768EB" w:rsidRPr="004F60B0" w:rsidRDefault="008768EB" w:rsidP="008768EB">
      <w:pPr>
        <w:pStyle w:val="EPComma"/>
      </w:pPr>
      <w:r w:rsidRPr="004F60B0">
        <w:rPr>
          <w:i/>
        </w:rPr>
        <w:t>Evropský parlament</w:t>
      </w:r>
      <w:r w:rsidRPr="004F60B0">
        <w:t>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své rozhodnutí o udělení absolutoria za plnění rozpočtu Evropského orgánu pro pojišťovnictví a zaměstnanecké penzijní pojištění na rozpočtový rok 2022,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článek 100 a přílohu V jednacího řádu,</w:t>
      </w:r>
    </w:p>
    <w:p w:rsidR="008768EB" w:rsidRPr="004F60B0" w:rsidRDefault="008768EB" w:rsidP="008768EB">
      <w:pPr>
        <w:pStyle w:val="NormalHanging12a"/>
      </w:pPr>
      <w:r w:rsidRPr="004F60B0">
        <w:t>–</w:t>
      </w:r>
      <w:r w:rsidRPr="004F60B0">
        <w:tab/>
        <w:t>s ohledem na zprávu Výboru pro rozpočtovou kontrolu (A9</w:t>
      </w:r>
      <w:r w:rsidRPr="004F60B0">
        <w:noBreakHyphen/>
        <w:t>0097/2024),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A.</w:t>
      </w:r>
      <w:r w:rsidRPr="004F60B0">
        <w:tab/>
        <w:t>vzhledem k tomu, že podle výkazu příjmů a výdajů</w:t>
      </w:r>
      <w:r w:rsidRPr="004F60B0">
        <w:rPr>
          <w:rStyle w:val="FootnoteReference"/>
          <w:szCs w:val="24"/>
        </w:rPr>
        <w:footnoteReference w:id="11"/>
      </w:r>
      <w:r w:rsidRPr="004F60B0">
        <w:t>, který předložil Evropský orgán pro pojišťovnictví a zaměstnanecké penzijní pojištění (dále jen „orgán“), činil jeho konečný rozpočet na rozpočtový rok 2022 celkem 34 571 120 EUR, což ve srovnání s rokem 2021 představuje nárůst o 5,27 %; vzhledem k tomu, že je tento orgán financován z příspěvku Unie (12 932 000 EUR, což představuje 37,40 %) a z příspěvků vnitrostátních orgánů dohledu členských států (21 076 120 EUR, což představuje 60,96 %);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B.</w:t>
      </w:r>
      <w:r w:rsidRPr="004F60B0">
        <w:tab/>
        <w:t>vzhledem k tomu, že Účetní dvůr ve své zprávě o roční účetní závěrce Evropského orgánu pro pojišťovnictví a zaměstnanecké penzijní pojištění za rozpočtový rok 2022 (dále jen „zpráva Účetního dvora“) uvádí, že získal přiměřenou jistotu, že účetní závěrka orgánu je spolehlivá a uskutečněné operace jsou legální a správné;</w:t>
      </w:r>
    </w:p>
    <w:p w:rsidR="008768EB" w:rsidRPr="004F60B0" w:rsidRDefault="008768EB" w:rsidP="008768EB">
      <w:pPr>
        <w:widowControl/>
        <w:spacing w:after="240"/>
        <w:ind w:left="567" w:hanging="567"/>
        <w:rPr>
          <w:b/>
          <w:i/>
          <w:szCs w:val="24"/>
        </w:rPr>
      </w:pPr>
      <w:r w:rsidRPr="004F60B0">
        <w:rPr>
          <w:b/>
          <w:i/>
        </w:rPr>
        <w:t>Rozpočtové a finanční řízení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1.</w:t>
      </w:r>
      <w:r w:rsidRPr="004F60B0">
        <w:tab/>
        <w:t>s uspokojením konstatuje, že díky monitorování rozpočtu během rozpočtového roku 2022 dosáhla míra plnění rozpočtu 99,46 %, což představuje snížení o 0,52 % oproti roku 2021; konstatuje však, že míra čerpání prostředků na platby dosáhla 92,07 %, což ve srovnání s rokem 2021 představuje pokles o 12,95 %;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rPr>
          <w:b/>
          <w:i/>
        </w:rPr>
        <w:t>Výkonnost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2.</w:t>
      </w:r>
      <w:r w:rsidRPr="004F60B0">
        <w:tab/>
        <w:t>konstatuje, že orgán používá určitá opatření, jako např. klíčové ukazatele výkonnosti, k posuzování přidané hodnoty svých činností a dalších opatření ke zlepšování rozpočtového řízení; konstatuje, že v roce 2022 orgán stanovil 17 strategických cílů pro výkonnost v sedmi hlavních oblastech své činnosti; s uspokojením konstatuje, že 15 těchto cílů orgán dosáhl nebo překročil, zatímco další dva cíle kvůli jejich závislosti na legislativních harmonogramech aktu o digitální provozní odolnosti (DORA) a v důsledku technologických změn vyhodnotil jako nepoužitelný;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3.</w:t>
      </w:r>
      <w:r w:rsidRPr="004F60B0">
        <w:tab/>
        <w:t>konstatuje, že orgán podle svého plánu dodal či poskytl 342 produktů a služeb představujících 91 % celkového plánu, přičemž dalších 20 produktů a služeb mělo menší zpoždění a 13 produktů a služeb nebylo provedeno, často vlivem závislosti na lhůtách legislativních rozhodnutí (např. přezkumu směrnice Solventnost II) nebo na technologickém vývoji na trhu a vlivem konkurenčních priorit; oceňuje orgán za zvýšení počtu jeho řečnických příspěvků ze 167 v roce 2021 na 214 v roce 2022;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4.</w:t>
      </w:r>
      <w:r w:rsidRPr="004F60B0">
        <w:tab/>
        <w:t>s uznáním poukazuje na četné úspěchy, kterých orgán dosáhl v roce 2022 při plnění svých cílů v oblasti sbližování dohledu, ochrany spotřebitele a finanční stability; konstatuje zejména, že orgán provedl svůj první zátěžový test IZPP v oblasti klimatu, aby získal přehled o dopadech environmentálních rizik na evropské zaměstnanecké penzijní odvětví, předložil Komisi prováděcí technické normy, jež stanoví požadavky na podávání zpráv a zveřejňování informací v rámci směrnice Solventnost II, uveřejnil řadu článků, zpráv a pokynů týkajících se zohledňování rizik udržitelnosti v rámci řízení rizik pojistitelů, zajistitelů a zaměstnaneckých penzijních fondů a poskytl Evropskému parlamentu a Radě vstupní a technické poradenství v průběhu legislativního procesu, pokud jde o akt o umělé inteligenci a akt o digitální provozní odolnosti (DORA); oceňuje orgán za jeho různé iniciativy a činnosti v oblasti digitální transformace, jimiž podporuje plnění cílů strategie Unie v oblasti digitálních financí, mimo jiné tím, že se společně s několika zúčastněnými stranami, jako je Evropský univerzitní institut, podílí na zřízení „Akademie EU pro digitální finance v oblasti dohledu“;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5.</w:t>
      </w:r>
      <w:r w:rsidRPr="004F60B0">
        <w:tab/>
        <w:t>konstatuje, že orgán poprvé využil řadu pravomocí a nástrojů, které mu svěřuje nařízení o orgánu EIOPA; v této souvislosti konstatuje, že orgán v roce 2022 vydal doporučení pro Národní banku Slovenska vycházející z jeho závěrů, že porušení kapitálových požadavků (ze strany jedné slovenské pojišťovny) nebylo z hlediska dohledu náležitě vyřešeno; se znepokojením bere rovněž na vědomí zjištění orgánu, že Národní banka Slovenska porušuje právo Unie, na základě čehož vydala Komise formální stanovisko, v němž požaduje, aby tato banka přijala opatření nezbytná k dosažení souladu s právem Unie, a bylo rovněž zahájeno šetření na základě článku 22 nařízení o orgánu EIOPA; vyzývá orgán k tomu, aby orgán příslušný k udělení absolutoria pravidelně informoval o návazných opatřeních a výsledcích uvedeného šetření;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6.</w:t>
      </w:r>
      <w:r w:rsidRPr="004F60B0">
        <w:tab/>
        <w:t>konstatuje, že orgán přispěl k zajištění finanční stability a ochraně spotřebitelů tím, že důkladně monitoroval trhy a posoudil dopady v nové situaci, která nastala v důsledku nevyprovokované a nezákonné invaze Ruska na Ukrajinu a postupného zpřísňování měnové politiky v reakci na rekordní míru inflace v celé Evropě; vítá včasné zveřejnění prohlášení orgánu dohledu o inflaci v roce 2022 zaměřeného na to, jak inflace ovlivňuje technické rezervy, investice a kapitálové požadavky na solventnost;</w:t>
      </w:r>
    </w:p>
    <w:p w:rsidR="008768EB" w:rsidRPr="004F60B0" w:rsidRDefault="008768EB" w:rsidP="008768EB">
      <w:pPr>
        <w:pStyle w:val="NormalHanging12a"/>
      </w:pPr>
      <w:r w:rsidRPr="004F60B0">
        <w:t>7.</w:t>
      </w:r>
      <w:r w:rsidRPr="004F60B0">
        <w:tab/>
        <w:t>konstatuje, že orgán v září 2022 stanovil svou strategii na období 2023–2026, ve které určil strategické priority, včetně posílení odolnosti a udržitelnosti pojišťovnictví a důchodového sektoru a zajištění silné a konzistentní ochrany zájmů spotřebitelů v celé Unii;</w:t>
      </w:r>
    </w:p>
    <w:p w:rsidR="008768EB" w:rsidRPr="004F60B0" w:rsidRDefault="008768EB" w:rsidP="008768EB">
      <w:pPr>
        <w:widowControl/>
        <w:spacing w:after="240"/>
        <w:ind w:left="567" w:hanging="567"/>
        <w:rPr>
          <w:b/>
          <w:i/>
          <w:szCs w:val="24"/>
        </w:rPr>
      </w:pPr>
      <w:r w:rsidRPr="004F60B0">
        <w:rPr>
          <w:b/>
          <w:i/>
        </w:rPr>
        <w:t>Efektivita a zisky</w:t>
      </w:r>
    </w:p>
    <w:p w:rsidR="008768EB" w:rsidRPr="004F60B0" w:rsidRDefault="008768EB" w:rsidP="008768EB">
      <w:pPr>
        <w:widowControl/>
        <w:spacing w:after="240"/>
        <w:ind w:left="567" w:hanging="567"/>
        <w:rPr>
          <w:rFonts w:cstheme="minorHAnsi"/>
        </w:rPr>
      </w:pPr>
      <w:r w:rsidRPr="004F60B0">
        <w:t>8.</w:t>
      </w:r>
      <w:r w:rsidRPr="004F60B0">
        <w:tab/>
        <w:t xml:space="preserve">bere na vědomí, že evropské orgány dohledu (ESA) se vzájemně koordinují, sdílejí a podporují v mnoha oblastech, a to jak v hlavních oblastech jejich činnosti, tak v oblastech podpory; vítá skutečnost, že evropské orgány dohledu spojily své síly na strategických iniciativách, jako je vývoj softwarových aplikací, síťová infrastruktura a poradenství v oblasti IT, například využíváním služeb stejných dodavatelů; v této souvislosti bere na vědomí strategii orgánu v oblasti </w:t>
      </w:r>
      <w:proofErr w:type="spellStart"/>
      <w:r w:rsidRPr="004F60B0">
        <w:t>cloud</w:t>
      </w:r>
      <w:proofErr w:type="spellEnd"/>
      <w:r w:rsidRPr="004F60B0">
        <w:t xml:space="preserve"> </w:t>
      </w:r>
      <w:proofErr w:type="spellStart"/>
      <w:r w:rsidRPr="004F60B0">
        <w:t>computingu</w:t>
      </w:r>
      <w:proofErr w:type="spellEnd"/>
      <w:r w:rsidRPr="004F60B0">
        <w:t xml:space="preserve">, která byla schválená v roce 2022 a kterou orgán vypracoval společně s dalšími dvěma evropskými orgány dohledu a dalšími orgány Unie, jakož i s příslušnými vnitrostátními orgány, a jejímž cílem je poskytovat </w:t>
      </w:r>
      <w:proofErr w:type="spellStart"/>
      <w:r w:rsidRPr="004F60B0">
        <w:t>autonomnější</w:t>
      </w:r>
      <w:proofErr w:type="spellEnd"/>
      <w:r w:rsidRPr="004F60B0">
        <w:t>, automatizovanější a samoobslužné produkty, které budou sloužit odborníkům orgánu a příslušným vnitrostátním orgánům;</w:t>
      </w:r>
    </w:p>
    <w:p w:rsidR="008768EB" w:rsidRPr="004F60B0" w:rsidRDefault="008768EB" w:rsidP="008768EB">
      <w:pPr>
        <w:widowControl/>
        <w:spacing w:after="240"/>
        <w:ind w:left="567" w:hanging="567"/>
        <w:rPr>
          <w:rFonts w:cstheme="minorHAnsi"/>
        </w:rPr>
      </w:pPr>
      <w:r w:rsidRPr="004F60B0">
        <w:t>9.</w:t>
      </w:r>
      <w:r w:rsidRPr="004F60B0">
        <w:tab/>
        <w:t>oceňuje orgán za jeho investice do projektů v oblasti digitální transformace a vyčlenění pracovníků na tyto projekty s cílem dosáhnout vyšší efektivity automatizací a zefektivněním interních procesů a zkrácením doby uvádění produktů na trh a zlepšením spolupráce v rámci jednotlivých funkcí a mezi nimi navzájem; vítá v této souvislosti projekty, které orgán realizoval v roce 2022 a které se zaměřují na zlepšení schopností analýzy údajů ve snaze docílit transformace orgánu na plně digitální organizaci založenou na datech;</w:t>
      </w:r>
    </w:p>
    <w:p w:rsidR="008768EB" w:rsidRPr="004F60B0" w:rsidRDefault="008768EB" w:rsidP="008768EB">
      <w:pPr>
        <w:pStyle w:val="NormalHanging12a"/>
      </w:pPr>
      <w:r w:rsidRPr="004F60B0">
        <w:t>10.</w:t>
      </w:r>
      <w:r w:rsidRPr="004F60B0">
        <w:tab/>
        <w:t>konstatuje, že pokud jde o každodenní pracovní činnosti, orgán zavedl řadu opatření ke zvýšení nákladové efektivnosti, jako jsou hybridní práce, sdílení kancelářských prostor a rovněž moderní videokonference, což vedlo ke snížení počtu služebních cest; konstatuje, že za účelem zachování institucionálních znalostí, odborných zkušeností a efektivity při plnění klíčových úkolů orgán dále posílil svůj integrovaný systém řízení talentů, který umožňuje strategicky sladěné procesy v oblasti lidských zdrojů, lepší získávání kandidátů a účinnější učení a rozvoj; vyzývá orgán, aby orgánu příslušnému k udělení absolutoria poskytl údaje a čísla týkající se dopadu tohoto systému;</w:t>
      </w:r>
    </w:p>
    <w:p w:rsidR="008768EB" w:rsidRPr="004F60B0" w:rsidRDefault="008768EB" w:rsidP="008768EB">
      <w:pPr>
        <w:widowControl/>
        <w:spacing w:after="240"/>
        <w:ind w:left="567" w:hanging="567"/>
        <w:rPr>
          <w:rFonts w:cstheme="minorHAnsi"/>
          <w:iCs/>
        </w:rPr>
      </w:pPr>
      <w:r w:rsidRPr="004F60B0">
        <w:t>11.</w:t>
      </w:r>
      <w:r w:rsidRPr="004F60B0">
        <w:tab/>
        <w:t>na základě zprávy Účetního dvora konstatuje, že orgán patří mezi agentury, které mají korporátní plán na zlepšení energetické účinnosti a klimatické neutrality svých činností a že v rámci svých výročních zpráv o činnosti vydává environmentální prohlášení (např. o uhlíkové stopě); oceňuje rovněž, že orgán získal v roce 2022 certifikaci EMAS (systém environmentálního řízení a auditu), aby v roce 2023 mohl získat formální akreditaci EMAS;</w:t>
      </w:r>
    </w:p>
    <w:p w:rsidR="008768EB" w:rsidRPr="004F60B0" w:rsidRDefault="008768EB" w:rsidP="008768EB">
      <w:pPr>
        <w:widowControl/>
        <w:spacing w:after="240"/>
        <w:ind w:left="567" w:hanging="567"/>
        <w:rPr>
          <w:b/>
          <w:i/>
          <w:szCs w:val="24"/>
        </w:rPr>
      </w:pPr>
      <w:r w:rsidRPr="004F60B0">
        <w:rPr>
          <w:b/>
          <w:i/>
        </w:rPr>
        <w:t>Personální politika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12.</w:t>
      </w:r>
      <w:r w:rsidRPr="004F60B0">
        <w:tab/>
        <w:t>konstatuje, že ke dni 31. prosince 2022 bylo dokončeno 99 % plánu pracovních míst, tedy stejně jako v roce 2021, přičemž ze 138 dočasných zaměstnanců povolených v rámci rozpočtu Unie jich bylo jmenováno 137; dále konstatuje, že orgánem bylo v roce 2022 zaměstnáno 36 smluvních zaměstnanců a 24 vyslaných národních odborníků;</w:t>
      </w:r>
    </w:p>
    <w:p w:rsidR="008768EB" w:rsidRPr="004F60B0" w:rsidRDefault="008768EB" w:rsidP="008768EB">
      <w:pPr>
        <w:pStyle w:val="NormalHanging12a"/>
      </w:pPr>
      <w:r w:rsidRPr="004F60B0">
        <w:t>13.</w:t>
      </w:r>
      <w:r w:rsidRPr="004F60B0">
        <w:tab/>
        <w:t>bere na vědomí poměr v zastoupení žen a mužů, který orgán vykázal za rok 2022: 15 mužů (65,20 %) a 8 žen (34,80 %) na středních a vyšších vedoucích pozicích a ve správní radě a 104 mužů (53,60 %) a 90 žen (46,40 %) v rámci celkového počtu jeho zaměstnanců; připomíná, že je důležité zajistit vyvážené zastoupení žen a mužů, a vyzývá orgán, aby tento aspekt zohlednil s ohledem na budoucí přijímání zaměstnanců a jmenování v rámci svého vrcholného a středního vedení;</w:t>
      </w:r>
    </w:p>
    <w:p w:rsidR="008768EB" w:rsidRPr="004F60B0" w:rsidRDefault="008768EB" w:rsidP="008768EB">
      <w:pPr>
        <w:pStyle w:val="NormalHanging12a"/>
      </w:pPr>
      <w:r w:rsidRPr="004F60B0">
        <w:t>14.</w:t>
      </w:r>
      <w:r w:rsidRPr="004F60B0">
        <w:tab/>
        <w:t xml:space="preserve">vítá skutečnost, že orgán v roce 2022 pokračoval v provádění strategie pro rozmanitost a začleňování (přijaté v roce 2021) a svého podrobného akčního plánu v souladu s přijatou chartou sítě agentur EU o rozmanitosti prostřednictvím iniciativ, které se týkají průřezových opatření, jako je mimo jiné spolupráce s jinými institucemi, přilákání a výběr rozmanitější pracovní síly, předcházení diskriminaci, obtěžování, vědomé a nevědomé předpojatosti a monitorování údajů týkajících se rozmanitosti a začleňování; konstatuje, že v roce 2022 byl hlášen jeden případ údajného obtěžování, který byl nicméně uzavřen bez dalších opatření, neboť na základě předběžného posouzení nebyly nalezeny žádné důkazy prima </w:t>
      </w:r>
      <w:proofErr w:type="spellStart"/>
      <w:r w:rsidRPr="004F60B0">
        <w:t>faciae</w:t>
      </w:r>
      <w:proofErr w:type="spellEnd"/>
      <w:r w:rsidRPr="004F60B0">
        <w:t>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15.</w:t>
      </w:r>
      <w:r w:rsidRPr="004F60B0">
        <w:tab/>
        <w:t>vítá skutečnost, že orgán věnuje pozornost podpoře a vytváření rozmanitého a inkluzivního pracovního prostředí, které zohledňuje rovněž potřeby osob se zdravotním postižením; v této souvislosti konstatuje, že v roce 2022 byli jmenováni interní koordinátor a ambasador orgánu pro otázky zdravotního postižení s cílem dále posílit tuto konkrétní oblast a zaměřit na ni pozornost, byl proveden zvláštní průzkum mezi zaměstnanci a vedením a byla přijata opatření ke zvýšení informovanosti;</w:t>
      </w:r>
    </w:p>
    <w:p w:rsidR="008768EB" w:rsidRPr="004F60B0" w:rsidRDefault="008768EB" w:rsidP="008768EB">
      <w:pPr>
        <w:pStyle w:val="NormalHanging12a"/>
      </w:pPr>
      <w:r w:rsidRPr="004F60B0">
        <w:t>16.</w:t>
      </w:r>
      <w:r w:rsidRPr="004F60B0">
        <w:tab/>
        <w:t xml:space="preserve">s uspokojením konstatuje, že orgán je i nadále pevně odhodlán zlepšovat dobré životní podmínky zaměstnanců a rovnováhu mezi pracovním a soukromým životem a pozitivní výsledky této snahy se již projevily v zapojení a spokojenosti zaměstnanců; konstatuje, že mezi klíčové oblasti zájmu patřily flexibilní pracovní podmínky, práce z domova, celoživotní poradenství a profesní rozvoj, </w:t>
      </w:r>
      <w:proofErr w:type="spellStart"/>
      <w:r w:rsidRPr="004F60B0">
        <w:t>wellness</w:t>
      </w:r>
      <w:proofErr w:type="spellEnd"/>
      <w:r w:rsidRPr="004F60B0">
        <w:t xml:space="preserve"> programy a podpůrné řízení;</w:t>
      </w:r>
    </w:p>
    <w:p w:rsidR="008768EB" w:rsidRPr="004F60B0" w:rsidRDefault="008768EB" w:rsidP="008768EB">
      <w:pPr>
        <w:widowControl/>
        <w:spacing w:after="240"/>
        <w:ind w:left="567" w:hanging="567"/>
        <w:rPr>
          <w:b/>
          <w:i/>
          <w:szCs w:val="24"/>
        </w:rPr>
      </w:pPr>
      <w:r w:rsidRPr="004F60B0">
        <w:rPr>
          <w:b/>
          <w:i/>
        </w:rPr>
        <w:t>Veřejné zakázky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17.</w:t>
      </w:r>
      <w:r w:rsidRPr="004F60B0">
        <w:tab/>
        <w:t>na základě zprávy Účetního dvora bere na vědomí připomínku, že orgán provedl platby v celkové výši 25 607 EUR po uplynutí smlouvy o poskytování mobilních telekomunikačních služeb orgánu po dobu čtyř let (2017–2021); bere na vědomí závěr Účetního dvora, že tyto platby byly neoprávněné; bere na vědomí rovněž připomínku Účetního dvora, že dodatek k této smlouvě, která byla podepsána v dubnu 2022, byl proveden v rozporu s bodem 1.1 přílohy I finančního nařízení;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18.</w:t>
      </w:r>
      <w:r w:rsidRPr="004F60B0">
        <w:tab/>
        <w:t>na základě výroční zprávy Účetního dvora o agenturách Unie za rok 2021 upozorňuje rovněž na připomínku týkající se částky 288 125 EUR, kterou orgán neoprávněně zaplatil v rámci smlouvy o pronájmu prostor; v této souvislosti na základě zprávy orgánu o opatřeních přijatých v návaznosti na doporučení orgánu příslušného k udělení absolutoria (udělení absolutoria za rok 2021) bere na vědomí postoj orgánu, že nedodržení smluvních závazků by mělo pro orgán negativní právní a reputační důsledky; na základě zprávy Účetního dvora konstatuje, že tato připomínka zůstala nevyřešena; vyzývá orgán, aby v rámci zadávacího řízení na novou nájemní smlouvu učinil všechny nezbytné kroky, které zabrání jakémukoli rozporu mezi povinnostmi uloženými smlouvou o pronájmu a příslušnými ustanoveními finančního nařízení;</w:t>
      </w:r>
    </w:p>
    <w:p w:rsidR="008768EB" w:rsidRPr="004F60B0" w:rsidRDefault="008768EB" w:rsidP="008768EB">
      <w:pPr>
        <w:widowControl/>
        <w:spacing w:after="240"/>
        <w:rPr>
          <w:szCs w:val="24"/>
        </w:rPr>
      </w:pPr>
      <w:r w:rsidRPr="004F60B0">
        <w:rPr>
          <w:b/>
          <w:i/>
        </w:rPr>
        <w:t>Prevence a řešení střetů zájmů a transparentnost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19.</w:t>
      </w:r>
      <w:r w:rsidRPr="004F60B0">
        <w:tab/>
        <w:t>vítá skutečnost, že v souladu s požadavky právních předpisů vztahujících se na orgán jsou na jeho internetových stránkách zveřejněny životopisy členů dozorčí rady a správní rady orgánu, stručný životopis předsedy a výkonného ředitele orgánu a stručný životopis vedoucích oddělení orgánu; konstatuje, že jednotlivá prohlášení o zájmech a prohlášení o záměru všech členů správní rady i všech členů dozorčí rady a vrcholného vedení orgánu jsou veřejně dostupná; vítá rovněž, že orgán na svých internetových stránkách zveřejňuje informace o jednáních zaměstnanců s lobbisty;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20.</w:t>
      </w:r>
      <w:r w:rsidRPr="004F60B0">
        <w:tab/>
        <w:t>vítá skutečnost, že orgán v roce 2022 zpřísnil svá etická pravidla pro zaměstnance i pro pracovníky, kteří nemají status zaměstnance, a zohlednil připomínky Účetního dvora, které jsou uvedeny ve zprávě Účetního dvora o roční účetní závěrce orgánu za rok 2021, a že usiloval o zachování nestranného, objektivního a nezávislého rozhodování a o rychlé zjištění a řešení veškerých možných střetů zájmů; v této souvislosti bere na vědomí revizi jednacího řádu orgánu, přijetí politiky nezávislosti a rozhodovacích procesů, která má zabránit střetu zájmů u pracovníků, kteří nemají status zaměstnance, schválení revize rozhodnutí o hodnocení předsedy a výkonného ředitele a přijetí revize etických pravidel orgánu pro zaměstnance;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21.</w:t>
      </w:r>
      <w:r w:rsidRPr="004F60B0">
        <w:tab/>
        <w:t xml:space="preserve">pokud jde o </w:t>
      </w:r>
      <w:proofErr w:type="spellStart"/>
      <w:r w:rsidRPr="004F60B0">
        <w:t>whistleblowing</w:t>
      </w:r>
      <w:proofErr w:type="spellEnd"/>
      <w:r w:rsidRPr="004F60B0">
        <w:t>, konstatuje, že v roce 2022 vyjádřil jeden zaměstnanec obavy ohledně možného případu nesrovnalostí a že orgán tyto obavy vyřešil v souladu s platnými pravidly; v této souvislosti konstatuje, že úřad o tom neprodleně informoval Evropský úřad pro boj proti podvodům (OLAF) a že OLAF případ posoudil a zamítl z důvodu, že neexistuje dostatečné podezření k zahájení vyšetřování;</w:t>
      </w:r>
    </w:p>
    <w:p w:rsidR="008768EB" w:rsidRPr="004F60B0" w:rsidRDefault="008768EB" w:rsidP="008768EB">
      <w:pPr>
        <w:spacing w:after="240"/>
        <w:ind w:left="567" w:hanging="567"/>
        <w:rPr>
          <w:sz w:val="22"/>
        </w:rPr>
      </w:pPr>
      <w:r w:rsidRPr="004F60B0">
        <w:t>22.</w:t>
      </w:r>
      <w:r w:rsidRPr="004F60B0">
        <w:tab/>
        <w:t>vítá skutečnost, že v červenci 2022 provedla dozorčí rada revizi svého jednacího řádu, v níž provedla připomínku Účetního dvora týkající se přítomnosti členů dozorčí rady, kteří jsou ve střetu zájmů, během diskusí a hlasování; dále konstatuje, že správní rada orgánu v prosinci 2022 schválila revidované rozhodnutí o hodnocení předsedy a výkonného ředitele v souladu s připomínkami Účetního dvora;</w:t>
      </w:r>
    </w:p>
    <w:p w:rsidR="008768EB" w:rsidRPr="004F60B0" w:rsidRDefault="008768EB" w:rsidP="008768EB">
      <w:pPr>
        <w:widowControl/>
        <w:spacing w:after="240"/>
        <w:ind w:left="567" w:hanging="567"/>
        <w:rPr>
          <w:b/>
          <w:i/>
          <w:szCs w:val="24"/>
        </w:rPr>
      </w:pPr>
      <w:r w:rsidRPr="004F60B0">
        <w:rPr>
          <w:b/>
          <w:i/>
        </w:rPr>
        <w:t>Vnitřní kontrola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23.</w:t>
      </w:r>
      <w:r w:rsidRPr="004F60B0">
        <w:tab/>
        <w:t>konstatuje, že v roce 2022 provedl orgán roční posouzení svého rámce pro vnitřní kontrolu a dospěl k závěru, že všechny složky a zásady jsou uplatňovány a fungují tak, jak bylo zamýšleno, kromě jednoho mírného nedostatku, který byl zjištěn a který si vyžádá určitá zlepšení;</w:t>
      </w:r>
    </w:p>
    <w:p w:rsidR="008768EB" w:rsidRPr="004F60B0" w:rsidRDefault="008768EB" w:rsidP="008768EB">
      <w:pPr>
        <w:widowControl/>
        <w:spacing w:after="240"/>
        <w:ind w:left="567" w:hanging="567"/>
        <w:rPr>
          <w:szCs w:val="24"/>
        </w:rPr>
      </w:pPr>
      <w:r w:rsidRPr="004F60B0">
        <w:t>24.</w:t>
      </w:r>
      <w:r w:rsidRPr="004F60B0">
        <w:tab/>
        <w:t>konstatuje, že v roce 2022 vydal Útvar interního auditu zprávu nazvanou „Intervenční opatření agentury EIOPA“, která se týkala auditu provedeného v roce 2021 a zaměřeného na vnitrostátní příslušné orgány a účastníky trhu v odvětví pojišťovnictví a zaměstnaneckého penzijního pojištění v Unii; dále konstatuje, že výbor orgánu pro kontrolu kvality vydal zprávu o přezkumu nazvanou „Ponaučení ze spolupráce a vzájemné součinnosti mezi orgánem EIOPA a příslušnými vnitrostátními orgány během pandemie onemocnění COVID-19“; vyzývá orgán, aby orgánu příslušnému k udělení absolutoria průběžně podával informace o provádění doporučení vydaná Útvarem interního auditu a výborem pro kontrolu kvality;</w:t>
      </w:r>
    </w:p>
    <w:p w:rsidR="008768EB" w:rsidRPr="004F60B0" w:rsidRDefault="008768EB" w:rsidP="008768EB">
      <w:pPr>
        <w:widowControl/>
        <w:spacing w:after="240"/>
        <w:ind w:left="567" w:hanging="567"/>
      </w:pPr>
      <w:r w:rsidRPr="004F60B0">
        <w:t>25.</w:t>
      </w:r>
      <w:r w:rsidRPr="004F60B0">
        <w:tab/>
        <w:t>s uspokojením konstatuje, že v roce 2022 orgán stanovil, monitoroval a přijal opatření ke zmírnění dopadů rizik spojených s tím, že nemá dostatečnou kapacitu k výkonu nových pravomocí a úkolů při současném plnění stávajících závazků, jakož i s nedostatkem kvalifikovaných pracovníků s požadovanými kompetencemi, který je důsledkem problémů souvisejících s atraktivitou a náborem zaměstnanců, a s hrozbami kybernetické bezpečnosti a kontinuitou činností;</w:t>
      </w:r>
    </w:p>
    <w:p w:rsidR="008768EB" w:rsidRPr="004F60B0" w:rsidRDefault="008768EB" w:rsidP="008768EB">
      <w:pPr>
        <w:widowControl/>
        <w:spacing w:after="240"/>
        <w:ind w:left="567" w:hanging="567"/>
      </w:pPr>
      <w:r w:rsidRPr="004F60B0">
        <w:t>26.</w:t>
      </w:r>
      <w:r w:rsidRPr="004F60B0">
        <w:tab/>
        <w:t>konstatuje, že orgán se v roce 2022 i nadále zabýval dosud nevyřešenými doporučeními, která byla vydána na základě auditu „Nástroje dohledu v oblasti ochrany spotřebitele“ (2019–2020); konstatuje rovněž, že výsledkem tohoto auditu byla čtyři doporučení, která byla vyřešena tak, že dvě doporučení Útvar interního auditu v listopadu 2021 oficiálně uzavřel a zbývající dvě doporučení byla oficiálně uzavřena v červnu 2022;</w:t>
      </w:r>
    </w:p>
    <w:p w:rsidR="008768EB" w:rsidRPr="004F60B0" w:rsidRDefault="008768EB" w:rsidP="008768EB">
      <w:pPr>
        <w:widowControl/>
        <w:spacing w:after="240"/>
        <w:ind w:left="567" w:hanging="567"/>
        <w:rPr>
          <w:b/>
          <w:i/>
          <w:szCs w:val="24"/>
        </w:rPr>
      </w:pPr>
      <w:r w:rsidRPr="004F60B0">
        <w:rPr>
          <w:b/>
          <w:i/>
        </w:rPr>
        <w:t>Další připomínky</w:t>
      </w:r>
    </w:p>
    <w:p w:rsidR="008768EB" w:rsidRPr="004F60B0" w:rsidRDefault="008768EB" w:rsidP="008768EB">
      <w:pPr>
        <w:spacing w:after="240"/>
        <w:ind w:left="567" w:hanging="567"/>
        <w:rPr>
          <w:szCs w:val="24"/>
        </w:rPr>
      </w:pPr>
      <w:r w:rsidRPr="004F60B0">
        <w:t>27.</w:t>
      </w:r>
      <w:r w:rsidRPr="004F60B0">
        <w:tab/>
        <w:t xml:space="preserve">konstatuje, že v roce 2022 vydal orgán společně s ostatními evropskými orgány dohledu varování spotřebitelům v souvislosti s vysoce rizikovými a spekulativními činnostmi spojenými s mnoha </w:t>
      </w:r>
      <w:proofErr w:type="spellStart"/>
      <w:r w:rsidRPr="004F60B0">
        <w:t>kryptoaktivy</w:t>
      </w:r>
      <w:proofErr w:type="spellEnd"/>
      <w:r w:rsidRPr="004F60B0">
        <w:t>;</w:t>
      </w:r>
    </w:p>
    <w:p w:rsidR="008768EB" w:rsidRPr="004F60B0" w:rsidRDefault="008768EB" w:rsidP="008768EB">
      <w:pPr>
        <w:spacing w:after="240"/>
        <w:ind w:left="567" w:hanging="567"/>
        <w:rPr>
          <w:szCs w:val="24"/>
        </w:rPr>
      </w:pPr>
      <w:r w:rsidRPr="004F60B0">
        <w:t>28.</w:t>
      </w:r>
      <w:r w:rsidRPr="004F60B0">
        <w:tab/>
        <w:t>na základě odpovědí orgánu příslušného k udělení absolutoria bere na vědomí, že orgán v současné době využívá nástroje Komise pro elektronické zadávání zakázek (elektronické zadávací řízení, elektronické podávání nabídek, elektronická fakturace) a že mezitím byl zaveden nástroj pro řízení veřejných zakázek (od července 2023); vítá skutečnost, že nabídková řízení orgánu EIOPA obsahují pokud možno požadavky na ekologická kritéria pro zadávání veřejných zakázek a že uchazeči orgánu EIOPA musí mimo jiné podepsat čestné prohlášení o dodržování environmentálních a sociálních závazků;</w:t>
      </w:r>
    </w:p>
    <w:p w:rsidR="008768EB" w:rsidRPr="004F60B0" w:rsidRDefault="008768EB" w:rsidP="008768EB">
      <w:pPr>
        <w:spacing w:after="240"/>
        <w:ind w:left="567" w:hanging="567"/>
        <w:rPr>
          <w:szCs w:val="24"/>
        </w:rPr>
      </w:pPr>
      <w:r w:rsidRPr="004F60B0">
        <w:t>29.</w:t>
      </w:r>
      <w:r w:rsidRPr="004F60B0">
        <w:tab/>
        <w:t>konstatuje, že v roce 2022 orgán zveřejnil výsledky své práce ve formě zpráv na svých internetových stránkách a na sociálních médiích, přičemž většinu zpráv doprovázela tisková zpráva; oceňuje, že v některých případech jsou zprávy rovněž doprovozeny shrnutím, krátkými klipy ze sociálních sítí nebo krátkými rozhovory, které vysvětlují obsah zpráv jednodušším způsobem;</w:t>
      </w:r>
    </w:p>
    <w:p w:rsidR="008768EB" w:rsidRPr="004F60B0" w:rsidRDefault="008768EB" w:rsidP="008768EB">
      <w:pPr>
        <w:pStyle w:val="NormalCenter12a"/>
      </w:pPr>
      <w:r w:rsidRPr="004F60B0">
        <w:t>°</w:t>
      </w:r>
    </w:p>
    <w:p w:rsidR="008768EB" w:rsidRPr="004F60B0" w:rsidRDefault="008768EB" w:rsidP="008768EB">
      <w:pPr>
        <w:pStyle w:val="NormalCenter12a"/>
      </w:pPr>
      <w:r w:rsidRPr="004F60B0">
        <w:t>°</w:t>
      </w:r>
      <w:r w:rsidRPr="004F60B0">
        <w:tab/>
        <w:t>°</w:t>
      </w:r>
    </w:p>
    <w:p w:rsidR="008768EB" w:rsidRPr="004F60B0" w:rsidRDefault="008768EB" w:rsidP="008768EB">
      <w:pPr>
        <w:pStyle w:val="NormalHanging12a"/>
      </w:pPr>
      <w:r w:rsidRPr="004F60B0">
        <w:t>30.</w:t>
      </w:r>
      <w:r w:rsidRPr="004F60B0">
        <w:tab/>
        <w:t>pokud jde o další připomínky, které jsou připojeny k rozhodnutí o udělení absolutoria a jsou horizontální povahy, odk</w:t>
      </w:r>
      <w:r w:rsidR="000A6220">
        <w:t>azuje na své usnesení ze dne 11.</w:t>
      </w:r>
      <w:r w:rsidRPr="004F60B0">
        <w:t xml:space="preserve"> dubna 2024</w:t>
      </w:r>
      <w:r w:rsidRPr="004F60B0">
        <w:rPr>
          <w:rStyle w:val="FootnoteReference"/>
        </w:rPr>
        <w:footnoteReference w:id="12"/>
      </w:r>
      <w:r w:rsidRPr="004F60B0">
        <w:t xml:space="preserve"> o výkonnosti, finančním řízení a kontrole agentur.</w:t>
      </w:r>
    </w:p>
    <w:p w:rsidR="008768EB" w:rsidRPr="004F60B0" w:rsidRDefault="008768EB" w:rsidP="008768EB"/>
    <w:p w:rsidR="008768EB" w:rsidRPr="004F60B0" w:rsidRDefault="008768EB" w:rsidP="008768EB">
      <w:bookmarkStart w:id="12" w:name="_GoBack"/>
      <w:bookmarkEnd w:id="12"/>
    </w:p>
    <w:sectPr w:rsidR="008768EB" w:rsidRPr="004F60B0" w:rsidSect="004F60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BD2" w:rsidRPr="004F60B0" w:rsidRDefault="00824BD2">
      <w:r w:rsidRPr="004F60B0">
        <w:separator/>
      </w:r>
    </w:p>
  </w:endnote>
  <w:endnote w:type="continuationSeparator" w:id="0">
    <w:p w:rsidR="00824BD2" w:rsidRPr="004F60B0" w:rsidRDefault="00824BD2">
      <w:r w:rsidRPr="004F60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8EB" w:rsidRPr="004F60B0" w:rsidRDefault="008768EB" w:rsidP="00C04730">
    <w:pPr>
      <w:pStyle w:val="EPFooter"/>
    </w:pPr>
    <w:r w:rsidRPr="004F60B0">
      <w:t>PE</w:t>
    </w:r>
    <w:r w:rsidRPr="004F60B0">
      <w:rPr>
        <w:rStyle w:val="HideTWBExt"/>
      </w:rPr>
      <w:t>&lt;</w:t>
    </w:r>
    <w:proofErr w:type="spellStart"/>
    <w:r w:rsidRPr="004F60B0">
      <w:rPr>
        <w:rStyle w:val="HideTWBExt"/>
      </w:rPr>
      <w:t>NoPE</w:t>
    </w:r>
    <w:proofErr w:type="spellEnd"/>
    <w:r w:rsidRPr="004F60B0">
      <w:rPr>
        <w:rStyle w:val="HideTWBExt"/>
      </w:rPr>
      <w:t>&gt;</w:t>
    </w:r>
    <w:r w:rsidRPr="004F60B0">
      <w:t>753.521</w:t>
    </w:r>
    <w:r w:rsidRPr="004F60B0">
      <w:rPr>
        <w:rStyle w:val="HideTWBExt"/>
      </w:rPr>
      <w:t>&lt;/</w:t>
    </w:r>
    <w:proofErr w:type="spellStart"/>
    <w:r w:rsidRPr="004F60B0">
      <w:rPr>
        <w:rStyle w:val="HideTWBExt"/>
      </w:rPr>
      <w:t>NoPE</w:t>
    </w:r>
    <w:proofErr w:type="spellEnd"/>
    <w:r w:rsidRPr="004F60B0">
      <w:rPr>
        <w:rStyle w:val="HideTWBExt"/>
      </w:rPr>
      <w:t>&gt;&lt;Version&gt;</w:t>
    </w:r>
    <w:r w:rsidRPr="004F60B0">
      <w:t>v02-00</w:t>
    </w:r>
    <w:r w:rsidRPr="004F60B0">
      <w:rPr>
        <w:rStyle w:val="HideTWBExt"/>
      </w:rPr>
      <w:t>&lt;/</w:t>
    </w:r>
    <w:proofErr w:type="spellStart"/>
    <w:r w:rsidRPr="004F60B0">
      <w:rPr>
        <w:rStyle w:val="HideTWBExt"/>
      </w:rPr>
      <w:t>Version</w:t>
    </w:r>
    <w:proofErr w:type="spellEnd"/>
    <w:r w:rsidRPr="004F60B0">
      <w:rPr>
        <w:rStyle w:val="HideTWBExt"/>
      </w:rPr>
      <w:t>&gt;</w:t>
    </w:r>
    <w:r w:rsidRPr="004F60B0">
      <w:tab/>
    </w:r>
    <w:r w:rsidRPr="004F60B0">
      <w:fldChar w:fldCharType="begin"/>
    </w:r>
    <w:r w:rsidRPr="004F60B0">
      <w:instrText xml:space="preserve"> PAGE  \* MERGEFORMAT </w:instrText>
    </w:r>
    <w:r w:rsidRPr="004F60B0">
      <w:fldChar w:fldCharType="separate"/>
    </w:r>
    <w:r w:rsidRPr="004F60B0">
      <w:rPr>
        <w:noProof/>
      </w:rPr>
      <w:t>4</w:t>
    </w:r>
    <w:r w:rsidRPr="004F60B0">
      <w:fldChar w:fldCharType="end"/>
    </w:r>
    <w:r w:rsidRPr="004F60B0">
      <w:t>/</w:t>
    </w:r>
    <w:fldSimple w:instr=" NUMPAGES  \* MERGEFORMAT ">
      <w:r w:rsidRPr="004F60B0">
        <w:rPr>
          <w:noProof/>
        </w:rPr>
        <w:t>4</w:t>
      </w:r>
    </w:fldSimple>
    <w:r w:rsidRPr="004F60B0">
      <w:tab/>
    </w:r>
    <w:r w:rsidRPr="004F60B0">
      <w:rPr>
        <w:rStyle w:val="HideTWBExt"/>
      </w:rPr>
      <w:t>&lt;PathFdR&gt;</w:t>
    </w:r>
    <w:r w:rsidRPr="004F60B0">
      <w:t>RR\1298747CS.docx</w:t>
    </w:r>
    <w:r w:rsidRPr="004F60B0">
      <w:rPr>
        <w:rStyle w:val="HideTWBExt"/>
      </w:rPr>
      <w:t>&lt;/</w:t>
    </w:r>
    <w:proofErr w:type="spellStart"/>
    <w:r w:rsidRPr="004F60B0">
      <w:rPr>
        <w:rStyle w:val="HideTWBExt"/>
      </w:rPr>
      <w:t>PathFdR</w:t>
    </w:r>
    <w:proofErr w:type="spellEnd"/>
    <w:r w:rsidRPr="004F60B0">
      <w:rPr>
        <w:rStyle w:val="HideTWBExt"/>
      </w:rPr>
      <w:t>&gt;</w:t>
    </w:r>
  </w:p>
  <w:p w:rsidR="008768EB" w:rsidRPr="004F60B0" w:rsidRDefault="008768EB" w:rsidP="00C04730">
    <w:pPr>
      <w:pStyle w:val="EPFooter2"/>
    </w:pPr>
    <w:r w:rsidRPr="004F60B0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8EB" w:rsidRPr="004F60B0" w:rsidRDefault="008768EB" w:rsidP="00C04730">
    <w:pPr>
      <w:pStyle w:val="EPFooter"/>
    </w:pPr>
    <w:r w:rsidRPr="004F60B0">
      <w:rPr>
        <w:rStyle w:val="HideTWBExt"/>
      </w:rPr>
      <w:t>&lt;PathFdR&gt;</w:t>
    </w:r>
    <w:r w:rsidRPr="004F60B0">
      <w:t>RR\1298747CS.docx</w:t>
    </w:r>
    <w:r w:rsidRPr="004F60B0">
      <w:rPr>
        <w:rStyle w:val="HideTWBExt"/>
      </w:rPr>
      <w:t>&lt;/</w:t>
    </w:r>
    <w:proofErr w:type="spellStart"/>
    <w:r w:rsidRPr="004F60B0">
      <w:rPr>
        <w:rStyle w:val="HideTWBExt"/>
      </w:rPr>
      <w:t>PathFdR</w:t>
    </w:r>
    <w:proofErr w:type="spellEnd"/>
    <w:r w:rsidRPr="004F60B0">
      <w:rPr>
        <w:rStyle w:val="HideTWBExt"/>
      </w:rPr>
      <w:t>&gt;</w:t>
    </w:r>
    <w:r w:rsidRPr="004F60B0">
      <w:tab/>
    </w:r>
    <w:r w:rsidRPr="004F60B0">
      <w:tab/>
      <w:t>PE</w:t>
    </w:r>
    <w:r w:rsidRPr="004F60B0">
      <w:rPr>
        <w:rStyle w:val="HideTWBExt"/>
      </w:rPr>
      <w:t>&lt;</w:t>
    </w:r>
    <w:proofErr w:type="spellStart"/>
    <w:r w:rsidRPr="004F60B0">
      <w:rPr>
        <w:rStyle w:val="HideTWBExt"/>
      </w:rPr>
      <w:t>NoPE</w:t>
    </w:r>
    <w:proofErr w:type="spellEnd"/>
    <w:r w:rsidRPr="004F60B0">
      <w:rPr>
        <w:rStyle w:val="HideTWBExt"/>
      </w:rPr>
      <w:t>&gt;</w:t>
    </w:r>
    <w:r w:rsidRPr="004F60B0">
      <w:t>753.521</w:t>
    </w:r>
    <w:r w:rsidRPr="004F60B0">
      <w:rPr>
        <w:rStyle w:val="HideTWBExt"/>
      </w:rPr>
      <w:t>&lt;/</w:t>
    </w:r>
    <w:proofErr w:type="spellStart"/>
    <w:r w:rsidRPr="004F60B0">
      <w:rPr>
        <w:rStyle w:val="HideTWBExt"/>
      </w:rPr>
      <w:t>NoPE</w:t>
    </w:r>
    <w:proofErr w:type="spellEnd"/>
    <w:r w:rsidRPr="004F60B0">
      <w:rPr>
        <w:rStyle w:val="HideTWBExt"/>
      </w:rPr>
      <w:t>&gt;&lt;Version&gt;</w:t>
    </w:r>
    <w:r w:rsidRPr="004F60B0">
      <w:t>v02-00</w:t>
    </w:r>
    <w:r w:rsidRPr="004F60B0">
      <w:rPr>
        <w:rStyle w:val="HideTWBExt"/>
      </w:rPr>
      <w:t>&lt;/</w:t>
    </w:r>
    <w:proofErr w:type="spellStart"/>
    <w:r w:rsidRPr="004F60B0">
      <w:rPr>
        <w:rStyle w:val="HideTWBExt"/>
      </w:rPr>
      <w:t>Version</w:t>
    </w:r>
    <w:proofErr w:type="spellEnd"/>
    <w:r w:rsidRPr="004F60B0">
      <w:rPr>
        <w:rStyle w:val="HideTWBExt"/>
      </w:rPr>
      <w:t>&gt;</w:t>
    </w:r>
  </w:p>
  <w:p w:rsidR="008768EB" w:rsidRPr="004F60B0" w:rsidRDefault="008768EB" w:rsidP="00C04730">
    <w:pPr>
      <w:pStyle w:val="EPFooter2"/>
    </w:pPr>
    <w:r w:rsidRPr="004F60B0">
      <w:t>CS</w:t>
    </w:r>
    <w:r w:rsidRPr="004F60B0">
      <w:tab/>
    </w:r>
    <w:r w:rsidRPr="004F60B0">
      <w:rPr>
        <w:b w:val="0"/>
        <w:i/>
        <w:color w:val="C0C0C0"/>
        <w:sz w:val="22"/>
      </w:rPr>
      <w:t>Jednotná v rozmanitosti</w:t>
    </w:r>
    <w:r w:rsidRPr="004F60B0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0B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0B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0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BD2" w:rsidRPr="004F60B0" w:rsidRDefault="00824BD2">
      <w:r w:rsidRPr="004F60B0">
        <w:separator/>
      </w:r>
    </w:p>
  </w:footnote>
  <w:footnote w:type="continuationSeparator" w:id="0">
    <w:p w:rsidR="00824BD2" w:rsidRPr="004F60B0" w:rsidRDefault="00824BD2">
      <w:r w:rsidRPr="004F60B0">
        <w:continuationSeparator/>
      </w:r>
    </w:p>
  </w:footnote>
  <w:footnote w:id="1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C, C/2023/594, </w:t>
      </w:r>
      <w:proofErr w:type="gramStart"/>
      <w:r w:rsidRPr="004F60B0">
        <w:rPr>
          <w:sz w:val="24"/>
          <w:lang w:val="cs-CZ"/>
        </w:rPr>
        <w:t>27.10.2023</w:t>
      </w:r>
      <w:proofErr w:type="gramEnd"/>
      <w:r w:rsidRPr="004F60B0">
        <w:rPr>
          <w:sz w:val="24"/>
          <w:lang w:val="cs-CZ"/>
        </w:rPr>
        <w:t>.</w:t>
      </w:r>
    </w:p>
  </w:footnote>
  <w:footnote w:id="2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C, C/2023/112, </w:t>
      </w:r>
      <w:proofErr w:type="gramStart"/>
      <w:r w:rsidRPr="004F60B0">
        <w:rPr>
          <w:sz w:val="24"/>
          <w:lang w:val="cs-CZ"/>
        </w:rPr>
        <w:t>12.10.2023</w:t>
      </w:r>
      <w:proofErr w:type="gramEnd"/>
      <w:r w:rsidRPr="004F60B0">
        <w:rPr>
          <w:sz w:val="24"/>
          <w:lang w:val="cs-CZ"/>
        </w:rPr>
        <w:t>.</w:t>
      </w:r>
    </w:p>
  </w:footnote>
  <w:footnote w:id="3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 L 193, </w:t>
      </w:r>
      <w:proofErr w:type="gramStart"/>
      <w:r w:rsidRPr="004F60B0">
        <w:rPr>
          <w:sz w:val="24"/>
          <w:lang w:val="cs-CZ"/>
        </w:rPr>
        <w:t>30.7.2018</w:t>
      </w:r>
      <w:proofErr w:type="gramEnd"/>
      <w:r w:rsidRPr="004F60B0">
        <w:rPr>
          <w:sz w:val="24"/>
          <w:lang w:val="cs-CZ"/>
        </w:rPr>
        <w:t>, s. 1.</w:t>
      </w:r>
    </w:p>
  </w:footnote>
  <w:footnote w:id="4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L 331, </w:t>
      </w:r>
      <w:proofErr w:type="gramStart"/>
      <w:r w:rsidRPr="004F60B0">
        <w:rPr>
          <w:sz w:val="24"/>
          <w:lang w:val="cs-CZ"/>
        </w:rPr>
        <w:t>15.12.2010</w:t>
      </w:r>
      <w:proofErr w:type="gramEnd"/>
      <w:r w:rsidRPr="004F60B0">
        <w:rPr>
          <w:sz w:val="24"/>
          <w:lang w:val="cs-CZ"/>
        </w:rPr>
        <w:t>, s. 48.</w:t>
      </w:r>
    </w:p>
  </w:footnote>
  <w:footnote w:id="5">
    <w:p w:rsidR="008768EB" w:rsidRPr="004F60B0" w:rsidRDefault="008768EB" w:rsidP="004F60B0">
      <w:pPr>
        <w:pStyle w:val="FootnoteText"/>
        <w:ind w:left="567" w:hanging="567"/>
        <w:rPr>
          <w:sz w:val="24"/>
          <w:szCs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L 122, </w:t>
      </w:r>
      <w:proofErr w:type="gramStart"/>
      <w:r w:rsidRPr="004F60B0">
        <w:rPr>
          <w:sz w:val="24"/>
          <w:lang w:val="cs-CZ"/>
        </w:rPr>
        <w:t>10.5.2019</w:t>
      </w:r>
      <w:proofErr w:type="gramEnd"/>
      <w:r w:rsidRPr="004F60B0">
        <w:rPr>
          <w:sz w:val="24"/>
          <w:lang w:val="cs-CZ"/>
        </w:rPr>
        <w:t>, s. 1.</w:t>
      </w:r>
    </w:p>
  </w:footnote>
  <w:footnote w:id="6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C, C/2023/594, </w:t>
      </w:r>
      <w:proofErr w:type="gramStart"/>
      <w:r w:rsidRPr="004F60B0">
        <w:rPr>
          <w:sz w:val="24"/>
          <w:lang w:val="cs-CZ"/>
        </w:rPr>
        <w:t>27.10.2023</w:t>
      </w:r>
      <w:proofErr w:type="gramEnd"/>
      <w:r w:rsidRPr="004F60B0">
        <w:rPr>
          <w:sz w:val="24"/>
          <w:lang w:val="cs-CZ"/>
        </w:rPr>
        <w:t>.</w:t>
      </w:r>
    </w:p>
  </w:footnote>
  <w:footnote w:id="7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C, C/2023/112, </w:t>
      </w:r>
      <w:proofErr w:type="gramStart"/>
      <w:r w:rsidRPr="004F60B0">
        <w:rPr>
          <w:sz w:val="24"/>
          <w:lang w:val="cs-CZ"/>
        </w:rPr>
        <w:t>12.10.2023</w:t>
      </w:r>
      <w:proofErr w:type="gramEnd"/>
      <w:r w:rsidRPr="004F60B0">
        <w:rPr>
          <w:sz w:val="24"/>
          <w:lang w:val="cs-CZ"/>
        </w:rPr>
        <w:t>.</w:t>
      </w:r>
    </w:p>
  </w:footnote>
  <w:footnote w:id="8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 L 193, </w:t>
      </w:r>
      <w:proofErr w:type="gramStart"/>
      <w:r w:rsidRPr="004F60B0">
        <w:rPr>
          <w:sz w:val="24"/>
          <w:lang w:val="cs-CZ"/>
        </w:rPr>
        <w:t>30.7.2018</w:t>
      </w:r>
      <w:proofErr w:type="gramEnd"/>
      <w:r w:rsidRPr="004F60B0">
        <w:rPr>
          <w:sz w:val="24"/>
          <w:lang w:val="cs-CZ"/>
        </w:rPr>
        <w:t>, s. 1.</w:t>
      </w:r>
    </w:p>
  </w:footnote>
  <w:footnote w:id="9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L 331, </w:t>
      </w:r>
      <w:proofErr w:type="gramStart"/>
      <w:r w:rsidRPr="004F60B0">
        <w:rPr>
          <w:sz w:val="24"/>
          <w:lang w:val="cs-CZ"/>
        </w:rPr>
        <w:t>15.12.2010</w:t>
      </w:r>
      <w:proofErr w:type="gramEnd"/>
      <w:r w:rsidRPr="004F60B0">
        <w:rPr>
          <w:sz w:val="24"/>
          <w:lang w:val="cs-CZ"/>
        </w:rPr>
        <w:t>, s. 48.</w:t>
      </w:r>
    </w:p>
  </w:footnote>
  <w:footnote w:id="10">
    <w:p w:rsidR="008768EB" w:rsidRPr="004F60B0" w:rsidRDefault="008768EB" w:rsidP="004F60B0">
      <w:pPr>
        <w:pStyle w:val="FootnoteText"/>
        <w:ind w:left="567" w:hanging="567"/>
        <w:rPr>
          <w:sz w:val="24"/>
          <w:szCs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L 122, </w:t>
      </w:r>
      <w:proofErr w:type="gramStart"/>
      <w:r w:rsidRPr="004F60B0">
        <w:rPr>
          <w:sz w:val="24"/>
          <w:lang w:val="cs-CZ"/>
        </w:rPr>
        <w:t>10.5.2019</w:t>
      </w:r>
      <w:proofErr w:type="gramEnd"/>
      <w:r w:rsidRPr="004F60B0">
        <w:rPr>
          <w:sz w:val="24"/>
          <w:lang w:val="cs-CZ"/>
        </w:rPr>
        <w:t>, s. 1.</w:t>
      </w:r>
    </w:p>
  </w:footnote>
  <w:footnote w:id="11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proofErr w:type="spellStart"/>
      <w:r w:rsidRPr="004F60B0">
        <w:rPr>
          <w:sz w:val="24"/>
          <w:lang w:val="cs-CZ"/>
        </w:rPr>
        <w:t>Úř</w:t>
      </w:r>
      <w:proofErr w:type="spellEnd"/>
      <w:r w:rsidRPr="004F60B0">
        <w:rPr>
          <w:sz w:val="24"/>
          <w:lang w:val="cs-CZ"/>
        </w:rPr>
        <w:t xml:space="preserve">. </w:t>
      </w:r>
      <w:proofErr w:type="spellStart"/>
      <w:proofErr w:type="gramStart"/>
      <w:r w:rsidRPr="004F60B0">
        <w:rPr>
          <w:sz w:val="24"/>
          <w:lang w:val="cs-CZ"/>
        </w:rPr>
        <w:t>věst</w:t>
      </w:r>
      <w:proofErr w:type="spellEnd"/>
      <w:proofErr w:type="gramEnd"/>
      <w:r w:rsidRPr="004F60B0">
        <w:rPr>
          <w:sz w:val="24"/>
          <w:lang w:val="cs-CZ"/>
        </w:rPr>
        <w:t xml:space="preserve">. C 38, </w:t>
      </w:r>
      <w:proofErr w:type="gramStart"/>
      <w:r w:rsidRPr="004F60B0">
        <w:rPr>
          <w:sz w:val="24"/>
          <w:lang w:val="cs-CZ"/>
        </w:rPr>
        <w:t>31.1.2023</w:t>
      </w:r>
      <w:proofErr w:type="gramEnd"/>
      <w:r w:rsidRPr="004F60B0">
        <w:rPr>
          <w:sz w:val="24"/>
          <w:lang w:val="cs-CZ"/>
        </w:rPr>
        <w:t>, s. 78.</w:t>
      </w:r>
    </w:p>
  </w:footnote>
  <w:footnote w:id="12">
    <w:p w:rsidR="008768EB" w:rsidRPr="004F60B0" w:rsidRDefault="008768EB" w:rsidP="004F60B0">
      <w:pPr>
        <w:pStyle w:val="FootnoteText"/>
        <w:ind w:left="567" w:hanging="567"/>
        <w:rPr>
          <w:sz w:val="24"/>
          <w:lang w:val="cs-CZ"/>
        </w:rPr>
      </w:pPr>
      <w:r w:rsidRPr="004F60B0">
        <w:rPr>
          <w:rStyle w:val="FootnoteReference"/>
          <w:sz w:val="24"/>
          <w:lang w:val="cs-CZ"/>
        </w:rPr>
        <w:footnoteRef/>
      </w:r>
      <w:r w:rsidR="004F60B0" w:rsidRPr="004F60B0">
        <w:rPr>
          <w:sz w:val="24"/>
          <w:lang w:val="cs-CZ"/>
        </w:rPr>
        <w:t xml:space="preserve"> </w:t>
      </w:r>
      <w:r w:rsidR="004F60B0" w:rsidRPr="004F60B0">
        <w:rPr>
          <w:sz w:val="24"/>
          <w:lang w:val="cs-CZ"/>
        </w:rPr>
        <w:tab/>
      </w:r>
      <w:r w:rsidR="005B203B">
        <w:rPr>
          <w:sz w:val="24"/>
          <w:lang w:val="cs-CZ"/>
        </w:rPr>
        <w:t>Přijaté texty, P9_TA</w:t>
      </w:r>
      <w:r w:rsidRPr="004F60B0">
        <w:rPr>
          <w:sz w:val="24"/>
          <w:lang w:val="cs-CZ"/>
        </w:rPr>
        <w:t>(2024</w:t>
      </w:r>
      <w:r w:rsidR="005B203B">
        <w:rPr>
          <w:sz w:val="24"/>
          <w:lang w:val="cs-CZ"/>
        </w:rPr>
        <w:t>)0280</w:t>
      </w:r>
      <w:r w:rsidRPr="004F60B0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0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0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0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7/2024"/>
    <w:docVar w:name="dvlangue" w:val="CS"/>
    <w:docVar w:name="dvnumam" w:val="0"/>
    <w:docVar w:name="dvpe" w:val="753.521"/>
    <w:docVar w:name="dvrapporteur" w:val="Zpravodaj: "/>
    <w:docVar w:name="dvtitre" w:val="1. Rozhodnutí Evropského parlamentu ze dne.... 2024 o udělení absolutoria za plnění rozpočtu Evropského orgánu pro pojišťovnictví a zaměstnanecké penzijní pojištění na rozpočtový rok 2022(2023/2153(DEC))"/>
  </w:docVars>
  <w:rsids>
    <w:rsidRoot w:val="00824BD2"/>
    <w:rsid w:val="00002272"/>
    <w:rsid w:val="00064002"/>
    <w:rsid w:val="000677B9"/>
    <w:rsid w:val="000831BA"/>
    <w:rsid w:val="000A42CC"/>
    <w:rsid w:val="000A622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8D2"/>
    <w:rsid w:val="004F60B0"/>
    <w:rsid w:val="0050519A"/>
    <w:rsid w:val="005072A1"/>
    <w:rsid w:val="00514517"/>
    <w:rsid w:val="00545827"/>
    <w:rsid w:val="00560270"/>
    <w:rsid w:val="005B203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BD2"/>
    <w:rsid w:val="00842779"/>
    <w:rsid w:val="00865F67"/>
    <w:rsid w:val="008768EB"/>
    <w:rsid w:val="00881A7B"/>
    <w:rsid w:val="008840E5"/>
    <w:rsid w:val="00887B3E"/>
    <w:rsid w:val="008C2AC6"/>
    <w:rsid w:val="00930C23"/>
    <w:rsid w:val="0093193B"/>
    <w:rsid w:val="009509D8"/>
    <w:rsid w:val="00950B64"/>
    <w:rsid w:val="009525C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DD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330A0"/>
  <w15:chartTrackingRefBased/>
  <w15:docId w15:val="{B668463F-3188-461E-B72D-DA478EA6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768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768EB"/>
    <w:pPr>
      <w:spacing w:before="480" w:after="240"/>
    </w:pPr>
  </w:style>
  <w:style w:type="paragraph" w:customStyle="1" w:styleId="PageHeading">
    <w:name w:val="PageHeading"/>
    <w:basedOn w:val="Normal"/>
    <w:rsid w:val="008768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768EB"/>
    <w:rPr>
      <w:b/>
    </w:rPr>
  </w:style>
  <w:style w:type="paragraph" w:customStyle="1" w:styleId="NormalHanging12a">
    <w:name w:val="NormalHanging12a"/>
    <w:basedOn w:val="Normal"/>
    <w:link w:val="NormalHanging12aChar"/>
    <w:rsid w:val="008768E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768EB"/>
    <w:pPr>
      <w:spacing w:after="240"/>
      <w:jc w:val="center"/>
    </w:pPr>
  </w:style>
  <w:style w:type="paragraph" w:styleId="Header">
    <w:name w:val="header"/>
    <w:basedOn w:val="Normal"/>
    <w:link w:val="HeaderChar"/>
    <w:rsid w:val="008768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768EB"/>
    <w:rPr>
      <w:sz w:val="24"/>
      <w:lang w:val="cs-CZ"/>
    </w:rPr>
  </w:style>
  <w:style w:type="paragraph" w:customStyle="1" w:styleId="EPFooter">
    <w:name w:val="EPFooter"/>
    <w:basedOn w:val="Normal"/>
    <w:rsid w:val="008768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8768EB"/>
    <w:rPr>
      <w:sz w:val="24"/>
      <w:lang w:val="cs-CZ"/>
    </w:rPr>
  </w:style>
  <w:style w:type="paragraph" w:styleId="Footer">
    <w:name w:val="footer"/>
    <w:basedOn w:val="Normal"/>
    <w:link w:val="FooterChar"/>
    <w:rsid w:val="000A62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A622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E9D6E-047F-4921-8618-DA1238E01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3304</Words>
  <Characters>19367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2024-04-11T15:10:00Z</dcterms:created>
  <dcterms:modified xsi:type="dcterms:W3CDTF">2024-04-11T15:10:00Z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A9-0097/2024</vt:lpwstr>
  </property>
  <property fmtid="{D5CDD505-2E9C-101B-9397-08002B2CF9AE}" pid="4" name="&lt;Type&gt;">
    <vt:lpwstr>RR</vt:lpwstr>
  </property>
</Properties>
</file>