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39F" w14:paraId="226070B0" w14:textId="77777777" w:rsidTr="0010095E">
        <w:trPr>
          <w:trHeight w:hRule="exact" w:val="1418"/>
        </w:trPr>
        <w:tc>
          <w:tcPr>
            <w:tcW w:w="6804" w:type="dxa"/>
            <w:shd w:val="clear" w:color="auto" w:fill="auto"/>
            <w:vAlign w:val="center"/>
          </w:tcPr>
          <w:p w14:paraId="4FFB2482" w14:textId="77777777" w:rsidR="00751A4A" w:rsidRPr="00DD039F" w:rsidRDefault="006A6B8F" w:rsidP="0010095E">
            <w:pPr>
              <w:pStyle w:val="EPName"/>
            </w:pPr>
            <w:r w:rsidRPr="00DD039F">
              <w:t>Europa-Parlamentet</w:t>
            </w:r>
          </w:p>
          <w:p w14:paraId="70B46085" w14:textId="77777777" w:rsidR="00751A4A" w:rsidRPr="00DD039F" w:rsidRDefault="00817416" w:rsidP="00756632">
            <w:pPr>
              <w:pStyle w:val="EPTerm"/>
              <w:rPr>
                <w:rStyle w:val="HideTWBExt"/>
                <w:noProof w:val="0"/>
                <w:vanish w:val="0"/>
                <w:color w:val="auto"/>
              </w:rPr>
            </w:pPr>
            <w:r w:rsidRPr="00DD039F">
              <w:t>2019-2024</w:t>
            </w:r>
          </w:p>
        </w:tc>
        <w:tc>
          <w:tcPr>
            <w:tcW w:w="2268" w:type="dxa"/>
            <w:shd w:val="clear" w:color="auto" w:fill="auto"/>
          </w:tcPr>
          <w:p w14:paraId="52E7D197" w14:textId="77777777" w:rsidR="00751A4A" w:rsidRPr="00DD039F" w:rsidRDefault="00187494" w:rsidP="0010095E">
            <w:pPr>
              <w:pStyle w:val="EPLogo"/>
            </w:pPr>
            <w:r w:rsidRPr="00DD039F">
              <w:rPr>
                <w:noProof/>
                <w:lang w:val="en-GB"/>
              </w:rPr>
              <w:drawing>
                <wp:inline distT="0" distB="0" distL="0" distR="0" wp14:anchorId="6D2DDFE8" wp14:editId="13F3AE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CFD9D1" w14:textId="77777777" w:rsidR="00D058B8" w:rsidRPr="00DD039F" w:rsidRDefault="00D058B8" w:rsidP="004C5D52">
      <w:pPr>
        <w:pStyle w:val="LineTop"/>
      </w:pPr>
    </w:p>
    <w:p w14:paraId="08E40484" w14:textId="77777777" w:rsidR="00680577" w:rsidRPr="00DD039F" w:rsidRDefault="006A6B8F" w:rsidP="00680577">
      <w:pPr>
        <w:pStyle w:val="EPBodyTA1"/>
      </w:pPr>
      <w:r w:rsidRPr="00DD039F">
        <w:t>VEDTAGNE TEKSTER</w:t>
      </w:r>
    </w:p>
    <w:p w14:paraId="2E8DEA69" w14:textId="77777777" w:rsidR="00D058B8" w:rsidRPr="00DD039F" w:rsidRDefault="00D058B8" w:rsidP="00D058B8">
      <w:pPr>
        <w:pStyle w:val="LineBottom"/>
      </w:pPr>
    </w:p>
    <w:p w14:paraId="1566894D" w14:textId="518015A5" w:rsidR="006A6B8F" w:rsidRPr="00DD039F" w:rsidRDefault="006A6B8F" w:rsidP="006A6B8F">
      <w:pPr>
        <w:pStyle w:val="ATHeading1"/>
      </w:pPr>
      <w:bookmarkStart w:id="0" w:name="TANumber"/>
      <w:r w:rsidRPr="00DD039F">
        <w:t>P9_TA(2024)0</w:t>
      </w:r>
      <w:r w:rsidR="00EC79ED">
        <w:t>263</w:t>
      </w:r>
      <w:bookmarkEnd w:id="0"/>
    </w:p>
    <w:p w14:paraId="19AE0992" w14:textId="77777777" w:rsidR="006A6B8F" w:rsidRPr="00DD039F" w:rsidRDefault="006A6B8F" w:rsidP="006A6B8F">
      <w:pPr>
        <w:pStyle w:val="ATHeading2"/>
      </w:pPr>
      <w:bookmarkStart w:id="1" w:name="title"/>
      <w:r w:rsidRPr="00DD039F">
        <w:t>Decharge 2022: Den Europæiske Tilsynsmyndighed for Forsikrings- og Arbejdsmarkedspensionsordninger</w:t>
      </w:r>
      <w:bookmarkEnd w:id="1"/>
    </w:p>
    <w:p w14:paraId="44B1DB2A" w14:textId="77777777" w:rsidR="006A6B8F" w:rsidRPr="00DD039F" w:rsidRDefault="006A6B8F" w:rsidP="006A6B8F">
      <w:pPr>
        <w:rPr>
          <w:i/>
          <w:vanish/>
        </w:rPr>
      </w:pPr>
      <w:r w:rsidRPr="00DD039F">
        <w:rPr>
          <w:i/>
        </w:rPr>
        <w:fldChar w:fldCharType="begin"/>
      </w:r>
      <w:r w:rsidRPr="00DD039F">
        <w:rPr>
          <w:i/>
        </w:rPr>
        <w:instrText xml:space="preserve"> TC"(</w:instrText>
      </w:r>
      <w:bookmarkStart w:id="2" w:name="DocNumber"/>
      <w:r w:rsidRPr="00DD039F">
        <w:rPr>
          <w:i/>
        </w:rPr>
        <w:instrText>A9-0097/2024</w:instrText>
      </w:r>
      <w:bookmarkEnd w:id="2"/>
      <w:r w:rsidRPr="00DD039F">
        <w:rPr>
          <w:i/>
        </w:rPr>
        <w:instrText xml:space="preserve"> - Ordfører: Petri Sarvamaa)"\l3 \n&gt; \* MERGEFORMAT </w:instrText>
      </w:r>
      <w:r w:rsidRPr="00DD039F">
        <w:rPr>
          <w:i/>
        </w:rPr>
        <w:fldChar w:fldCharType="end"/>
      </w:r>
    </w:p>
    <w:p w14:paraId="7631ABC7" w14:textId="77777777" w:rsidR="006A6B8F" w:rsidRPr="00DD039F" w:rsidRDefault="006A6B8F" w:rsidP="006A6B8F">
      <w:pPr>
        <w:rPr>
          <w:vanish/>
        </w:rPr>
      </w:pPr>
      <w:bookmarkStart w:id="3" w:name="Commission"/>
      <w:r w:rsidRPr="00DD039F">
        <w:rPr>
          <w:vanish/>
        </w:rPr>
        <w:t>Budgetkontroludvalget</w:t>
      </w:r>
      <w:bookmarkEnd w:id="3"/>
    </w:p>
    <w:p w14:paraId="6A97E31B" w14:textId="77777777" w:rsidR="006A6B8F" w:rsidRPr="00DD039F" w:rsidRDefault="006A6B8F" w:rsidP="006A6B8F">
      <w:pPr>
        <w:rPr>
          <w:vanish/>
        </w:rPr>
      </w:pPr>
      <w:bookmarkStart w:id="4" w:name="PE"/>
      <w:r w:rsidRPr="00DD039F">
        <w:rPr>
          <w:vanish/>
        </w:rPr>
        <w:t>PE753.521</w:t>
      </w:r>
      <w:bookmarkEnd w:id="4"/>
    </w:p>
    <w:p w14:paraId="5FF07FB6" w14:textId="77777777" w:rsidR="006A6B8F" w:rsidRPr="00DD039F" w:rsidRDefault="006A6B8F" w:rsidP="006A6B8F">
      <w:pPr>
        <w:pStyle w:val="ATHeading3"/>
      </w:pPr>
      <w:bookmarkStart w:id="5" w:name="Sujet"/>
      <w:r w:rsidRPr="00DD039F">
        <w:t>1. Europa-Parlamentets afgørelse af 11. april 2024 om decharge for gennemførelsen af budgettet for Den Europæiske Tilsynsmyndighed for Forsikrings- og Arbejdsmarkedspensionsordninger for regnskabsåret 2022</w:t>
      </w:r>
      <w:bookmarkEnd w:id="5"/>
      <w:r w:rsidRPr="00DD039F">
        <w:t xml:space="preserve"> </w:t>
      </w:r>
      <w:bookmarkStart w:id="6" w:name="References"/>
      <w:r w:rsidRPr="00DD039F">
        <w:t>(2023/2153(DEC))</w:t>
      </w:r>
      <w:bookmarkEnd w:id="6"/>
    </w:p>
    <w:p w14:paraId="28606174" w14:textId="77777777" w:rsidR="00CC16EE" w:rsidRPr="00DD039F" w:rsidRDefault="00CC16EE" w:rsidP="00CC16EE">
      <w:pPr>
        <w:pStyle w:val="EPComma"/>
      </w:pPr>
      <w:bookmarkStart w:id="7" w:name="TextBodyBegin"/>
      <w:bookmarkEnd w:id="7"/>
      <w:r w:rsidRPr="00DD039F">
        <w:rPr>
          <w:i/>
        </w:rPr>
        <w:t>Europa-Parlamentet</w:t>
      </w:r>
      <w:r w:rsidRPr="00DD039F">
        <w:t>,</w:t>
      </w:r>
    </w:p>
    <w:p w14:paraId="14876E0B" w14:textId="77777777" w:rsidR="00CC16EE" w:rsidRPr="00DD039F" w:rsidRDefault="00CC16EE" w:rsidP="00CC16EE">
      <w:pPr>
        <w:pStyle w:val="NormalHanging12a"/>
      </w:pPr>
      <w:r w:rsidRPr="00DD039F">
        <w:t>–</w:t>
      </w:r>
      <w:r w:rsidRPr="00DD039F">
        <w:tab/>
        <w:t>der henviser til det endelige årsregnskab for Den Europæiske Tilsynsmyndighed for Forsikrings- og Arbejdsmarkedspensionsordninger for regnskabsåret 2022,</w:t>
      </w:r>
    </w:p>
    <w:p w14:paraId="2A9559BD" w14:textId="77777777" w:rsidR="00CC16EE" w:rsidRPr="00DD039F" w:rsidRDefault="00CC16EE" w:rsidP="00CC16EE">
      <w:pPr>
        <w:pStyle w:val="NormalHanging12a"/>
      </w:pPr>
      <w:r w:rsidRPr="00DD039F">
        <w:t>–</w:t>
      </w:r>
      <w:r w:rsidRPr="00DD039F">
        <w:tab/>
        <w:t>der henviser til Revisionsrettens årsberetning om EU-agenturerne for regnskabsåret 2022, med agenturernes svar</w:t>
      </w:r>
      <w:r w:rsidRPr="00DD039F">
        <w:rPr>
          <w:rStyle w:val="FootnoteReference"/>
        </w:rPr>
        <w:footnoteReference w:id="1"/>
      </w:r>
      <w:r w:rsidRPr="00DD039F">
        <w:t>,</w:t>
      </w:r>
    </w:p>
    <w:p w14:paraId="3EA074E9" w14:textId="77777777" w:rsidR="00CC16EE" w:rsidRPr="00DD039F" w:rsidRDefault="00CC16EE" w:rsidP="00CC16EE">
      <w:pPr>
        <w:pStyle w:val="NormalHanging12a"/>
      </w:pPr>
      <w:r w:rsidRPr="00DD039F">
        <w:t>–</w:t>
      </w:r>
      <w:r w:rsidRPr="00DD039F">
        <w:tab/>
        <w:t>der henviser til Revisionsrettens erklæring for regnskabsåret 2022 om regnskabernes rigtighed</w:t>
      </w:r>
      <w:r w:rsidRPr="00DD039F">
        <w:rPr>
          <w:rStyle w:val="FootnoteReference"/>
        </w:rPr>
        <w:footnoteReference w:id="2"/>
      </w:r>
      <w:r w:rsidRPr="00DD039F">
        <w:t xml:space="preserve"> og de underliggende transaktioners lovlighed og formelle rigtighed, jf. artikel 287 i traktaten om Den Europæiske Unions funktionsmåde,</w:t>
      </w:r>
    </w:p>
    <w:p w14:paraId="2CB1F2E6" w14:textId="47CCC841" w:rsidR="00CC16EE" w:rsidRPr="00DD039F" w:rsidRDefault="00CC16EE" w:rsidP="00CC16EE">
      <w:pPr>
        <w:pStyle w:val="NormalHanging12a"/>
      </w:pPr>
      <w:r w:rsidRPr="00DD039F">
        <w:t>–</w:t>
      </w:r>
      <w:r w:rsidRPr="00DD039F">
        <w:tab/>
        <w:t>der henviser til Rådets henstilling af 22. februar 2024 om decharge til myndigheden for gennemførelsen af budgettet for regnskabsåret 2022 (0</w:t>
      </w:r>
      <w:r w:rsidR="00DC356D" w:rsidRPr="00DD039F">
        <w:t>6180</w:t>
      </w:r>
      <w:r w:rsidRPr="00DD039F">
        <w:t>/2024 – C9</w:t>
      </w:r>
      <w:r w:rsidRPr="00DD039F">
        <w:noBreakHyphen/>
        <w:t>00</w:t>
      </w:r>
      <w:r w:rsidR="00DC356D" w:rsidRPr="00DD039F">
        <w:t>91</w:t>
      </w:r>
      <w:r w:rsidRPr="00DD039F">
        <w:t>/2024),</w:t>
      </w:r>
    </w:p>
    <w:p w14:paraId="41C03CBE" w14:textId="77777777" w:rsidR="00CC16EE" w:rsidRPr="00DD039F" w:rsidRDefault="00CC16EE" w:rsidP="00CC16EE">
      <w:pPr>
        <w:pStyle w:val="NormalHanging12a"/>
      </w:pPr>
      <w:r w:rsidRPr="00DD039F">
        <w:t>–</w:t>
      </w:r>
      <w:r w:rsidRPr="00DD039F">
        <w:tab/>
        <w:t>der henviser til artikel 319 i traktaten om Den Europæiske Unions funktionsmåde,</w:t>
      </w:r>
    </w:p>
    <w:p w14:paraId="06E7210A" w14:textId="77777777" w:rsidR="00CC16EE" w:rsidRPr="00DD039F" w:rsidRDefault="00CC16EE" w:rsidP="00CC16EE">
      <w:pPr>
        <w:pStyle w:val="NormalHanging12a"/>
      </w:pPr>
      <w:r w:rsidRPr="00DD039F">
        <w:t>–</w:t>
      </w:r>
      <w:r w:rsidRPr="00DD039F">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DD039F">
        <w:rPr>
          <w:rStyle w:val="FootnoteReference"/>
        </w:rPr>
        <w:footnoteReference w:id="3"/>
      </w:r>
      <w:r w:rsidRPr="00DD039F">
        <w:t>, særlig artikel 70,</w:t>
      </w:r>
    </w:p>
    <w:p w14:paraId="6BEB3234" w14:textId="77777777" w:rsidR="00CC16EE" w:rsidRPr="00DD039F" w:rsidRDefault="00CC16EE" w:rsidP="00CC16EE">
      <w:pPr>
        <w:pStyle w:val="NormalHanging12a"/>
      </w:pPr>
      <w:r w:rsidRPr="00DD039F">
        <w:t>–</w:t>
      </w:r>
      <w:r w:rsidRPr="00DD039F">
        <w:tab/>
        <w:t xml:space="preserve">der henviser til Europa-Parlamentets og Rådets forordning (EU) nr. 1094/2010 af 24. november 2010 om oprettelse af en europæisk tilsynsmyndighed (Den Europæiske </w:t>
      </w:r>
      <w:r w:rsidRPr="00DD039F">
        <w:lastRenderedPageBreak/>
        <w:t>Tilsynsmyndighed for Forsikrings- og Arbejdsmarkedspensionsordninger), om ændring af afgørelse nr. 716/2009/EF</w:t>
      </w:r>
      <w:r w:rsidRPr="00DD039F">
        <w:rPr>
          <w:rStyle w:val="FootnoteReference"/>
        </w:rPr>
        <w:footnoteReference w:id="4"/>
      </w:r>
      <w:r w:rsidRPr="00DD039F">
        <w:t xml:space="preserve"> og om ophævelse af Kommissionens afgørelse 2009/79/EF, særlig artikel 64,</w:t>
      </w:r>
    </w:p>
    <w:p w14:paraId="38F1F039" w14:textId="77777777" w:rsidR="00CC16EE" w:rsidRPr="00DD039F" w:rsidRDefault="00CC16EE" w:rsidP="00CC16EE">
      <w:pPr>
        <w:pStyle w:val="NormalHanging12a"/>
      </w:pPr>
      <w:r w:rsidRPr="00DD039F">
        <w:t>–</w:t>
      </w:r>
      <w:r w:rsidRPr="00DD039F">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DD039F">
        <w:rPr>
          <w:rStyle w:val="FootnoteReference"/>
        </w:rPr>
        <w:footnoteReference w:id="5"/>
      </w:r>
      <w:r w:rsidRPr="00DD039F">
        <w:t>, særlig artikel 105,</w:t>
      </w:r>
    </w:p>
    <w:p w14:paraId="349993F3" w14:textId="77777777" w:rsidR="00CC16EE" w:rsidRPr="00DD039F" w:rsidRDefault="00CC16EE" w:rsidP="00CC16EE">
      <w:pPr>
        <w:pStyle w:val="NormalHanging12a"/>
      </w:pPr>
      <w:r w:rsidRPr="00DD039F">
        <w:t>–</w:t>
      </w:r>
      <w:r w:rsidRPr="00DD039F">
        <w:tab/>
        <w:t>der henviser til forretningsordenens artikel 100 og bilag V,</w:t>
      </w:r>
    </w:p>
    <w:p w14:paraId="02CD9192" w14:textId="77777777" w:rsidR="00CC16EE" w:rsidRPr="00DD039F" w:rsidRDefault="00CC16EE" w:rsidP="00CC16EE">
      <w:pPr>
        <w:pStyle w:val="NormalHanging12a"/>
      </w:pPr>
      <w:r w:rsidRPr="00DD039F">
        <w:t>–</w:t>
      </w:r>
      <w:r w:rsidRPr="00DD039F">
        <w:tab/>
        <w:t>der henviser til betænkning fra Budgetkontroludvalget (A9-0097/2024),</w:t>
      </w:r>
    </w:p>
    <w:p w14:paraId="23563BAC" w14:textId="77777777" w:rsidR="00CC16EE" w:rsidRPr="00DD039F" w:rsidRDefault="00CC16EE" w:rsidP="00CC16EE">
      <w:pPr>
        <w:pStyle w:val="NormalHanging12a"/>
      </w:pPr>
      <w:r w:rsidRPr="00DD039F">
        <w:t>1.</w:t>
      </w:r>
      <w:r w:rsidRPr="00DD039F">
        <w:tab/>
        <w:t>meddeler den administrerende direktør for Den Europæiske Tilsynsmyndighed for Forsikrings- og Arbejdsmarkedspensionsordninger decharge for gennemførelsen af myndighedens budget for regnskabsåret 2022;</w:t>
      </w:r>
    </w:p>
    <w:p w14:paraId="3E3C00B7" w14:textId="77777777" w:rsidR="00CC16EE" w:rsidRPr="00DD039F" w:rsidRDefault="00CC16EE" w:rsidP="00CC16EE">
      <w:pPr>
        <w:pStyle w:val="NormalHanging12a"/>
      </w:pPr>
      <w:r w:rsidRPr="00DD039F">
        <w:t>2.</w:t>
      </w:r>
      <w:r w:rsidRPr="00DD039F">
        <w:tab/>
        <w:t>fremsætter sine bemærkninger i nedenstående beslutning;</w:t>
      </w:r>
    </w:p>
    <w:p w14:paraId="1EF4450C" w14:textId="77777777" w:rsidR="00CC16EE" w:rsidRPr="00DD039F" w:rsidRDefault="00CC16EE" w:rsidP="00CC16EE">
      <w:pPr>
        <w:pStyle w:val="NormalHanging12a"/>
      </w:pPr>
      <w:r w:rsidRPr="00DD039F">
        <w:t>3.</w:t>
      </w:r>
      <w:r w:rsidRPr="00DD039F">
        <w:tab/>
        <w:t xml:space="preserve">pålægger sin formand at sende denne afgørelse og beslutningen, der er en integrerende del heraf, til den administrerende direktør for Den Europæiske Tilsynsmyndighed for Forsikrings- og Arbejdsmarkedspensionsordninger, Rådet, Kommissionen og Revisionsretten og drage omsorg for, at de offentliggøres i </w:t>
      </w:r>
      <w:r w:rsidRPr="00DD039F">
        <w:rPr>
          <w:i/>
          <w:iCs/>
        </w:rPr>
        <w:t>Den Europæiske Unions Tidende</w:t>
      </w:r>
      <w:r w:rsidRPr="00DD039F">
        <w:t xml:space="preserve"> (L-udgaven).</w:t>
      </w:r>
    </w:p>
    <w:p w14:paraId="1C09ABA9" w14:textId="77777777" w:rsidR="00CC16EE" w:rsidRPr="00DD039F" w:rsidRDefault="00CC16EE" w:rsidP="00CC16EE"/>
    <w:p w14:paraId="3A0B451E" w14:textId="77777777" w:rsidR="00CC16EE" w:rsidRPr="00DD039F" w:rsidRDefault="00CC16EE" w:rsidP="00CC16EE">
      <w:pPr>
        <w:widowControl/>
        <w:rPr>
          <w:rFonts w:ascii="Arial" w:hAnsi="Arial" w:cs="Arial"/>
          <w:b/>
        </w:rPr>
        <w:sectPr w:rsidR="00CC16EE" w:rsidRPr="00DD039F" w:rsidSect="00CF1FF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D6757C1" w14:textId="77777777" w:rsidR="00CC16EE" w:rsidRPr="00DD039F" w:rsidRDefault="00CC16EE" w:rsidP="00995B5E">
      <w:pPr>
        <w:pStyle w:val="ATHeading3"/>
      </w:pPr>
      <w:bookmarkStart w:id="8" w:name="_Toc146789945"/>
      <w:bookmarkStart w:id="9" w:name="_Toc161144680"/>
      <w:bookmarkStart w:id="10" w:name="_Toc161740229"/>
      <w:r w:rsidRPr="00DD039F">
        <w:t xml:space="preserve">2. </w:t>
      </w:r>
      <w:r w:rsidR="00995B5E" w:rsidRPr="00DD039F">
        <w:t>Europa-Parlamentets afgørelse</w:t>
      </w:r>
      <w:bookmarkEnd w:id="8"/>
      <w:bookmarkEnd w:id="9"/>
      <w:bookmarkEnd w:id="10"/>
      <w:r w:rsidR="00995B5E" w:rsidRPr="00DD039F">
        <w:t xml:space="preserve"> af 11. april 2024 </w:t>
      </w:r>
      <w:r w:rsidRPr="00DD039F">
        <w:t>om afslutning af regnskaberne for Den Europæiske Tilsynsmyndighed for Forsikrings- og Arbejdsmarkedspensionsordninger for regnskabsåret 2022</w:t>
      </w:r>
      <w:r w:rsidR="00995B5E" w:rsidRPr="00DD039F">
        <w:t xml:space="preserve"> (2023</w:t>
      </w:r>
      <w:r w:rsidRPr="00DD039F">
        <w:t>/2153(DEC))</w:t>
      </w:r>
    </w:p>
    <w:p w14:paraId="609E685E" w14:textId="77777777" w:rsidR="00CC16EE" w:rsidRPr="00DD039F" w:rsidRDefault="00CC16EE" w:rsidP="00CC16EE">
      <w:pPr>
        <w:pStyle w:val="EPComma"/>
      </w:pPr>
      <w:r w:rsidRPr="00DD039F">
        <w:rPr>
          <w:i/>
          <w:iCs/>
        </w:rPr>
        <w:t>Europa-Parlamentet</w:t>
      </w:r>
      <w:r w:rsidRPr="00DD039F">
        <w:t>,</w:t>
      </w:r>
    </w:p>
    <w:p w14:paraId="3816D583" w14:textId="77777777" w:rsidR="00CC16EE" w:rsidRPr="00DD039F" w:rsidRDefault="00CC16EE" w:rsidP="00CC16EE">
      <w:pPr>
        <w:pStyle w:val="NormalHanging12a"/>
      </w:pPr>
      <w:r w:rsidRPr="00DD039F">
        <w:t>–</w:t>
      </w:r>
      <w:r w:rsidRPr="00DD039F">
        <w:tab/>
        <w:t>der henviser til det endelige årsregnskab for Den Europæiske Tilsynsmyndighed for Forsikrings- og Arbejdsmarkedspensionsordninger for regnskabsåret 2022,</w:t>
      </w:r>
    </w:p>
    <w:p w14:paraId="5F09C3A0" w14:textId="77777777" w:rsidR="00CC16EE" w:rsidRPr="00DD039F" w:rsidRDefault="00CC16EE" w:rsidP="00CC16EE">
      <w:pPr>
        <w:pStyle w:val="NormalHanging12a"/>
      </w:pPr>
      <w:r w:rsidRPr="00DD039F">
        <w:t>–</w:t>
      </w:r>
      <w:r w:rsidRPr="00DD039F">
        <w:tab/>
        <w:t>der henviser til Revisionsrettens årsberetning om EU-agenturerne for regnskabsåret 2022, med agenturernes svar</w:t>
      </w:r>
      <w:r w:rsidRPr="00DD039F">
        <w:rPr>
          <w:rStyle w:val="FootnoteReference"/>
        </w:rPr>
        <w:footnoteReference w:id="6"/>
      </w:r>
      <w:r w:rsidRPr="00DD039F">
        <w:t>,</w:t>
      </w:r>
    </w:p>
    <w:p w14:paraId="14A2C471" w14:textId="77777777" w:rsidR="00CC16EE" w:rsidRPr="00DD039F" w:rsidRDefault="00CC16EE" w:rsidP="00CC16EE">
      <w:pPr>
        <w:pStyle w:val="NormalHanging12a"/>
      </w:pPr>
      <w:r w:rsidRPr="00DD039F">
        <w:t>–</w:t>
      </w:r>
      <w:r w:rsidRPr="00DD039F">
        <w:tab/>
        <w:t>der henviser til Revisionsrettens erklæring for regnskabsåret 2022 om regnskabernes rigtighed</w:t>
      </w:r>
      <w:r w:rsidRPr="00DD039F">
        <w:rPr>
          <w:rStyle w:val="FootnoteReference"/>
        </w:rPr>
        <w:footnoteReference w:id="7"/>
      </w:r>
      <w:r w:rsidRPr="00DD039F">
        <w:t xml:space="preserve"> og de underliggende transaktioners lovlighed og formelle rigtighed, jf. artikel 287 i traktaten om Den Europæiske Unions funktionsmåde,</w:t>
      </w:r>
    </w:p>
    <w:p w14:paraId="4356EB6E" w14:textId="4BF1C3ED" w:rsidR="00CC16EE" w:rsidRPr="00DD039F" w:rsidRDefault="00CC16EE" w:rsidP="00CC16EE">
      <w:pPr>
        <w:pStyle w:val="NormalHanging12a"/>
      </w:pPr>
      <w:r w:rsidRPr="00DD039F">
        <w:t>–</w:t>
      </w:r>
      <w:r w:rsidRPr="00DD039F">
        <w:tab/>
        <w:t>der henviser til Rådets henstilling af 22. februar 2024 om decharge til myndigheden for gennemførelsen af budgettet for regnskabsåret 2022 (0</w:t>
      </w:r>
      <w:r w:rsidR="00DC356D" w:rsidRPr="00DD039F">
        <w:t>6180</w:t>
      </w:r>
      <w:r w:rsidRPr="00DD039F">
        <w:t>/2024 – C9</w:t>
      </w:r>
      <w:r w:rsidRPr="00DD039F">
        <w:noBreakHyphen/>
        <w:t>00</w:t>
      </w:r>
      <w:r w:rsidR="00DC356D" w:rsidRPr="00DD039F">
        <w:t>91</w:t>
      </w:r>
      <w:r w:rsidRPr="00DD039F">
        <w:t>/2024),</w:t>
      </w:r>
    </w:p>
    <w:p w14:paraId="7892C6A1" w14:textId="77777777" w:rsidR="00CC16EE" w:rsidRPr="00DD039F" w:rsidRDefault="00CC16EE" w:rsidP="00CC16EE">
      <w:pPr>
        <w:pStyle w:val="NormalHanging12a"/>
      </w:pPr>
      <w:r w:rsidRPr="00DD039F">
        <w:t>–</w:t>
      </w:r>
      <w:r w:rsidRPr="00DD039F">
        <w:tab/>
        <w:t>der henviser til artikel 319 i traktaten om Den Europæiske Unions funktionsmåde,</w:t>
      </w:r>
    </w:p>
    <w:p w14:paraId="31DB0F5E" w14:textId="77777777" w:rsidR="00CC16EE" w:rsidRPr="00DD039F" w:rsidRDefault="00CC16EE" w:rsidP="00CC16EE">
      <w:pPr>
        <w:pStyle w:val="NormalHanging12a"/>
      </w:pPr>
      <w:r w:rsidRPr="00DD039F">
        <w:t>–</w:t>
      </w:r>
      <w:r w:rsidRPr="00DD039F">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DD039F">
        <w:rPr>
          <w:rStyle w:val="FootnoteReference"/>
        </w:rPr>
        <w:footnoteReference w:id="8"/>
      </w:r>
      <w:r w:rsidRPr="00DD039F">
        <w:t>, særlig artikel 70,</w:t>
      </w:r>
    </w:p>
    <w:p w14:paraId="3BE94CCF" w14:textId="77777777" w:rsidR="00CC16EE" w:rsidRPr="00DD039F" w:rsidRDefault="00CC16EE" w:rsidP="00CC16EE">
      <w:pPr>
        <w:pStyle w:val="NormalHanging12a"/>
      </w:pPr>
      <w:r w:rsidRPr="00DD039F">
        <w:t>–</w:t>
      </w:r>
      <w:r w:rsidRPr="00DD039F">
        <w:tab/>
        <w:t>der henviser til Europa-Parlamentets og Rådets forordning (EU) nr. 1094/2010 af 24. november 2010 om oprettelse af en europæisk tilsynsmyndighed (Den Europæiske Tilsynsmyndighed for Forsikrings- og Arbejdsmarkedspensionsordninger), om ændring af afgørelse nr. 716/2009/EF</w:t>
      </w:r>
      <w:r w:rsidRPr="00DD039F">
        <w:rPr>
          <w:rStyle w:val="FootnoteReference"/>
        </w:rPr>
        <w:footnoteReference w:id="9"/>
      </w:r>
      <w:r w:rsidRPr="00DD039F">
        <w:t xml:space="preserve"> og om ophævelse af Kommissionens afgørelse 2009/79/EF, særlig artikel 64,</w:t>
      </w:r>
    </w:p>
    <w:p w14:paraId="00347BDE" w14:textId="77777777" w:rsidR="00CC16EE" w:rsidRPr="00DD039F" w:rsidRDefault="00CC16EE" w:rsidP="00CC16EE">
      <w:pPr>
        <w:pStyle w:val="NormalHanging12a"/>
      </w:pPr>
      <w:r w:rsidRPr="00DD039F">
        <w:t>–</w:t>
      </w:r>
      <w:r w:rsidRPr="00DD039F">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DD039F">
        <w:rPr>
          <w:rStyle w:val="FootnoteReference"/>
        </w:rPr>
        <w:footnoteReference w:id="10"/>
      </w:r>
      <w:r w:rsidRPr="00DD039F">
        <w:t>, særlig artikel 105,</w:t>
      </w:r>
    </w:p>
    <w:p w14:paraId="78809EE1" w14:textId="77777777" w:rsidR="00CC16EE" w:rsidRPr="00DD039F" w:rsidRDefault="00CC16EE" w:rsidP="00CC16EE">
      <w:pPr>
        <w:pStyle w:val="NormalHanging12a"/>
      </w:pPr>
      <w:r w:rsidRPr="00DD039F">
        <w:t>–</w:t>
      </w:r>
      <w:r w:rsidRPr="00DD039F">
        <w:tab/>
        <w:t>der henviser til forretningsordenens artikel 100 og bilag V,</w:t>
      </w:r>
    </w:p>
    <w:p w14:paraId="795C1685" w14:textId="77777777" w:rsidR="00CC16EE" w:rsidRPr="00DD039F" w:rsidRDefault="00CC16EE" w:rsidP="00CC16EE">
      <w:pPr>
        <w:pStyle w:val="NormalHanging12a"/>
      </w:pPr>
      <w:r w:rsidRPr="00DD039F">
        <w:t>–</w:t>
      </w:r>
      <w:r w:rsidRPr="00DD039F">
        <w:tab/>
        <w:t>der henviser til betænkning fra Budgetkontroludvalget (A9-0097/2024),</w:t>
      </w:r>
    </w:p>
    <w:p w14:paraId="5CD8F369" w14:textId="77777777" w:rsidR="00CC16EE" w:rsidRPr="00DD039F" w:rsidRDefault="00CC16EE" w:rsidP="00CC16EE">
      <w:pPr>
        <w:pStyle w:val="NormalHanging12a"/>
      </w:pPr>
      <w:r w:rsidRPr="00DD039F">
        <w:t>1.</w:t>
      </w:r>
      <w:r w:rsidRPr="00DD039F">
        <w:tab/>
        <w:t>godkender afslutningen af regnskaberne for Den Europæiske Tilsynsmyndighed for Forsikrings- og Arbejdsmarkedspensionsordninger for regnskabsåret 2022;</w:t>
      </w:r>
    </w:p>
    <w:p w14:paraId="09FEF02B" w14:textId="77777777" w:rsidR="00CC16EE" w:rsidRPr="00DD039F" w:rsidRDefault="00CC16EE" w:rsidP="00CC16EE">
      <w:pPr>
        <w:pStyle w:val="NormalHanging12a"/>
      </w:pPr>
      <w:r w:rsidRPr="00DD039F">
        <w:t>2.</w:t>
      </w:r>
      <w:r w:rsidRPr="00DD039F">
        <w:tab/>
        <w:t xml:space="preserve">pålægger sin formand at sende denne afgørelse til den administrerende direktør for Den Europæiske Tilsynsmyndighed for Forsikrings- og Arbejdsmarkedspensionsordninger, Rådet, Kommissionen og Revisionsretten og drage omsorg for, at den offentliggøres i </w:t>
      </w:r>
      <w:r w:rsidRPr="00DD039F">
        <w:rPr>
          <w:i/>
          <w:iCs/>
        </w:rPr>
        <w:t>Den Europæiske Unions Tidende</w:t>
      </w:r>
      <w:r w:rsidRPr="00DD039F">
        <w:t xml:space="preserve"> (L-udgaven).</w:t>
      </w:r>
    </w:p>
    <w:p w14:paraId="1450601D" w14:textId="77777777" w:rsidR="00CC16EE" w:rsidRPr="00DD039F" w:rsidRDefault="00CC16EE" w:rsidP="00CC16EE"/>
    <w:p w14:paraId="6A83FEBE" w14:textId="77777777" w:rsidR="00CC16EE" w:rsidRPr="00DD039F" w:rsidRDefault="00CC16EE" w:rsidP="00CC16EE">
      <w:pPr>
        <w:widowControl/>
        <w:rPr>
          <w:rFonts w:ascii="Arial" w:hAnsi="Arial" w:cs="Arial"/>
          <w:b/>
        </w:rPr>
        <w:sectPr w:rsidR="00CC16EE" w:rsidRPr="00DD039F" w:rsidSect="00CF1FFE">
          <w:footnotePr>
            <w:numRestart w:val="eachPage"/>
          </w:footnotePr>
          <w:endnotePr>
            <w:numFmt w:val="decimal"/>
          </w:endnotePr>
          <w:pgSz w:w="11906" w:h="16838"/>
          <w:pgMar w:top="1134" w:right="1418" w:bottom="1418" w:left="1418" w:header="567" w:footer="567" w:gutter="0"/>
          <w:cols w:space="720"/>
          <w:docGrid w:linePitch="326"/>
        </w:sectPr>
      </w:pPr>
    </w:p>
    <w:p w14:paraId="64D0A06E" w14:textId="77777777" w:rsidR="00CC16EE" w:rsidRPr="00DD039F" w:rsidRDefault="00CC16EE" w:rsidP="00995B5E">
      <w:pPr>
        <w:pStyle w:val="ATHeading3"/>
      </w:pPr>
      <w:bookmarkStart w:id="11" w:name="_Toc146789946"/>
      <w:bookmarkStart w:id="12" w:name="_Toc161144681"/>
      <w:bookmarkStart w:id="13" w:name="_Toc161740230"/>
      <w:r w:rsidRPr="00DD039F">
        <w:t xml:space="preserve">3. </w:t>
      </w:r>
      <w:r w:rsidR="00995B5E" w:rsidRPr="00DD039F">
        <w:t>Europa-Parlamentets beslutning</w:t>
      </w:r>
      <w:bookmarkEnd w:id="11"/>
      <w:bookmarkEnd w:id="12"/>
      <w:bookmarkEnd w:id="13"/>
      <w:r w:rsidR="00995B5E" w:rsidRPr="00DD039F">
        <w:t xml:space="preserve"> af 11. april 2024 </w:t>
      </w:r>
      <w:r w:rsidRPr="00DD039F">
        <w:t>med bemærkningerne, der er en integrerende del af afgørelsen om decharge for gennemførelsen af budgettet for Den Europæiske Tilsynsmyndighed for Forsikrings- og Arbejdsmarkedspensionsordninger for regnskabsåret 2022</w:t>
      </w:r>
      <w:r w:rsidR="00995B5E" w:rsidRPr="00DD039F">
        <w:t xml:space="preserve"> (2023</w:t>
      </w:r>
      <w:r w:rsidRPr="00DD039F">
        <w:t>/2153(DEC))</w:t>
      </w:r>
    </w:p>
    <w:p w14:paraId="32A77AE5" w14:textId="77777777" w:rsidR="00CC16EE" w:rsidRPr="00DD039F" w:rsidRDefault="00CC16EE" w:rsidP="00CC16EE">
      <w:pPr>
        <w:pStyle w:val="EPComma"/>
      </w:pPr>
      <w:r w:rsidRPr="00DD039F">
        <w:rPr>
          <w:i/>
          <w:iCs/>
        </w:rPr>
        <w:t>Europa-Parlamentet</w:t>
      </w:r>
      <w:r w:rsidRPr="00DD039F">
        <w:t>,</w:t>
      </w:r>
    </w:p>
    <w:p w14:paraId="5E228259" w14:textId="77777777" w:rsidR="00CC16EE" w:rsidRPr="00DD039F" w:rsidRDefault="00CC16EE" w:rsidP="00CC16EE">
      <w:pPr>
        <w:pStyle w:val="NormalHanging12a"/>
      </w:pPr>
      <w:r w:rsidRPr="00DD039F">
        <w:t>–</w:t>
      </w:r>
      <w:r w:rsidRPr="00DD039F">
        <w:tab/>
        <w:t>der henviser til sin afgørelse om decharge for gennemførelsen af budgettet for Den Europæiske Tilsynsmyndighed for Forsikrings- og Arbejdsmarkedspensionsordninger for regnskabsåret 2022,</w:t>
      </w:r>
    </w:p>
    <w:p w14:paraId="6CEF8465" w14:textId="77777777" w:rsidR="00CC16EE" w:rsidRPr="00DD039F" w:rsidRDefault="00CC16EE" w:rsidP="00CC16EE">
      <w:pPr>
        <w:pStyle w:val="NormalHanging12a"/>
      </w:pPr>
      <w:r w:rsidRPr="00DD039F">
        <w:t>–</w:t>
      </w:r>
      <w:r w:rsidRPr="00DD039F">
        <w:tab/>
        <w:t>der henviser til forretningsordenens artikel 100 og bilag V,</w:t>
      </w:r>
    </w:p>
    <w:p w14:paraId="3BB6FE65" w14:textId="77777777" w:rsidR="00CC16EE" w:rsidRPr="00DD039F" w:rsidRDefault="00CC16EE" w:rsidP="00CC16EE">
      <w:pPr>
        <w:pStyle w:val="NormalHanging12a"/>
      </w:pPr>
      <w:r w:rsidRPr="00DD039F">
        <w:t>–</w:t>
      </w:r>
      <w:r w:rsidRPr="00DD039F">
        <w:tab/>
        <w:t>der henviser til betænkning fra Budgetkontroludvalget (A9-0097/2024),</w:t>
      </w:r>
    </w:p>
    <w:p w14:paraId="764A2B26" w14:textId="77777777" w:rsidR="00CC16EE" w:rsidRPr="00DD039F" w:rsidRDefault="00CC16EE" w:rsidP="00CC16EE">
      <w:pPr>
        <w:widowControl/>
        <w:spacing w:after="240"/>
        <w:ind w:left="567" w:hanging="567"/>
        <w:rPr>
          <w:szCs w:val="24"/>
        </w:rPr>
      </w:pPr>
      <w:r w:rsidRPr="00DD039F">
        <w:t>A.</w:t>
      </w:r>
      <w:r w:rsidRPr="00DD039F">
        <w:tab/>
        <w:t>der henviser til, at det endelige budget for Den Europæiske Tilsynsmyndighed for Forsikrings- og Arbejdsmarkedspensionsordninger ("myndigheden") for regnskabsåret 2022 ifølge dens oversigt over indtægter og udgifter</w:t>
      </w:r>
      <w:r w:rsidRPr="00DD039F">
        <w:rPr>
          <w:rStyle w:val="FootnoteReference"/>
          <w:szCs w:val="24"/>
        </w:rPr>
        <w:footnoteReference w:id="11"/>
      </w:r>
      <w:r w:rsidRPr="00DD039F">
        <w:t xml:space="preserve"> var på 34 571 120 EUR, hvilket svarer til en stigning på 5,27 % i forhold til 2021; der henviser til, at myndigheden finansieres ved hjælp af et bidrag fra Unionen (12 932 000 EUR svarende til 37,40 %) og bidrag fra de nationale tilsynsmyndigheder i medlemsstaterne (21 076 120 EUR svarende til 60,96 %);</w:t>
      </w:r>
    </w:p>
    <w:p w14:paraId="1666556E" w14:textId="77777777" w:rsidR="00CC16EE" w:rsidRPr="00DD039F" w:rsidRDefault="00CC16EE" w:rsidP="00CC16EE">
      <w:pPr>
        <w:widowControl/>
        <w:spacing w:after="240"/>
        <w:ind w:left="567" w:hanging="567"/>
        <w:rPr>
          <w:szCs w:val="24"/>
        </w:rPr>
      </w:pPr>
      <w:r w:rsidRPr="00DD039F">
        <w:t>B.</w:t>
      </w:r>
      <w:r w:rsidRPr="00DD039F">
        <w:tab/>
        <w:t>der henviser til, at Revisionsretten i sin beretning om årsregnskabet for Den Europæiske Tilsynsmyndighed for Forsikrings- og Arbejdsmarkedspensionsordninger for regnskabsåret 2022 ("Revisionsrettens beretning") fastslår, at den har fået rimelig sikkerhed for, at myndighedens årsregnskab er rigtigt, og at de underliggende transaktioner er lovlige og formelt rigtige;</w:t>
      </w:r>
    </w:p>
    <w:p w14:paraId="6EE823EA" w14:textId="77777777" w:rsidR="00CC16EE" w:rsidRPr="00DD039F" w:rsidRDefault="00CC16EE" w:rsidP="00CC16EE">
      <w:pPr>
        <w:widowControl/>
        <w:spacing w:after="240"/>
        <w:ind w:left="567" w:hanging="567"/>
        <w:rPr>
          <w:b/>
          <w:i/>
          <w:szCs w:val="24"/>
        </w:rPr>
      </w:pPr>
      <w:r w:rsidRPr="00DD039F">
        <w:rPr>
          <w:b/>
          <w:i/>
        </w:rPr>
        <w:t>Budgetmæssig og økonomisk forvaltning</w:t>
      </w:r>
    </w:p>
    <w:p w14:paraId="5AB6C8BC" w14:textId="77777777" w:rsidR="00CC16EE" w:rsidRPr="00DD039F" w:rsidRDefault="00CC16EE" w:rsidP="00CC16EE">
      <w:pPr>
        <w:widowControl/>
        <w:spacing w:after="240"/>
        <w:ind w:left="567" w:hanging="567"/>
        <w:rPr>
          <w:szCs w:val="24"/>
        </w:rPr>
      </w:pPr>
      <w:r w:rsidRPr="00DD039F">
        <w:t>1.</w:t>
      </w:r>
      <w:r w:rsidRPr="00DD039F">
        <w:tab/>
        <w:t>bemærker med tilfredshed, at budgetovervågningsindsatsen i regnskabsåret 2022 resulterede i en budgetgennemførelsesgrad på 99,46 %, hvilket svarer til et fald på 0,52 % i forhold til 2021; bemærker dog, at udnyttelsesgraden for betalingsbevillinger var på 92,07 %, hvilket svarer til et fald på 12,95 % i forhold til 2021;</w:t>
      </w:r>
    </w:p>
    <w:p w14:paraId="313FB089" w14:textId="77777777" w:rsidR="00CC16EE" w:rsidRPr="00DD039F" w:rsidRDefault="00CC16EE" w:rsidP="00CC16EE">
      <w:pPr>
        <w:widowControl/>
        <w:spacing w:after="240"/>
        <w:ind w:left="567" w:hanging="567"/>
        <w:rPr>
          <w:szCs w:val="24"/>
        </w:rPr>
      </w:pPr>
      <w:r w:rsidRPr="00DD039F">
        <w:rPr>
          <w:b/>
          <w:i/>
        </w:rPr>
        <w:t>Performance</w:t>
      </w:r>
    </w:p>
    <w:p w14:paraId="7364423F" w14:textId="77777777" w:rsidR="00CC16EE" w:rsidRPr="00DD039F" w:rsidRDefault="00CC16EE" w:rsidP="00CC16EE">
      <w:pPr>
        <w:widowControl/>
        <w:spacing w:after="240"/>
        <w:ind w:left="567" w:hanging="567"/>
        <w:rPr>
          <w:szCs w:val="24"/>
        </w:rPr>
      </w:pPr>
      <w:r w:rsidRPr="00DD039F">
        <w:t>2.</w:t>
      </w:r>
      <w:r w:rsidRPr="00DD039F">
        <w:tab/>
        <w:t>noterer sig, at myndigheden anvender visse foranstaltninger såsom centrale resultatindikatorer til at vurdere merværdien af sine aktiviteter samt andre foranstaltninger med henblik på at forbedre budgetforvaltningen; bemærker, at myndigheden i 2022 fastsatte 17 mål på strategisk niveau for performance på tværs af sine syv hovedarbejdsområder; bemærker med tilfredshed, at myndigheden nåede eller overgik 15 af disse mål, mens de to andre mål blev anset for ikke at være relevante at rapportere om på grund af afhængigheden af de lovgivningsmæssige tidsfrister i forordningen om digital operationel modstandsdygtighed (DORA-forordningen) og teknologiske forstyrrelser;</w:t>
      </w:r>
    </w:p>
    <w:p w14:paraId="684E59DA" w14:textId="77777777" w:rsidR="00CC16EE" w:rsidRPr="00DD039F" w:rsidRDefault="00CC16EE" w:rsidP="00CC16EE">
      <w:pPr>
        <w:widowControl/>
        <w:spacing w:after="240"/>
        <w:ind w:left="567" w:hanging="567"/>
        <w:rPr>
          <w:szCs w:val="24"/>
        </w:rPr>
      </w:pPr>
      <w:r w:rsidRPr="00DD039F">
        <w:t>3.</w:t>
      </w:r>
      <w:r w:rsidRPr="00DD039F">
        <w:tab/>
        <w:t>bemærker, at 342 produkter og tjenesteydelser, svarende til 91 % af det samlede antal, blev leveret som planlagt af myndigheden, og at yderligere 20 produkter og tjenesteydelser oplevede mindre forsinkelser, og at 13 ikke blev videreført, ofte som følge af afhængighed af tidsplaner for lovgivningsmæssige beslutninger, som f.eks. Solvens II-revisionen, eller af den teknologiske udvikling på markedet og konkurrerende prioriteter; roser myndigheden for en stigning i dens foredragsarrangementer fra 167 i 2021 til 214 i 2022;</w:t>
      </w:r>
    </w:p>
    <w:p w14:paraId="20DA00D9" w14:textId="77777777" w:rsidR="00CC16EE" w:rsidRPr="00DD039F" w:rsidRDefault="00CC16EE" w:rsidP="00CC16EE">
      <w:pPr>
        <w:widowControl/>
        <w:spacing w:after="240"/>
        <w:ind w:left="567" w:hanging="567"/>
        <w:rPr>
          <w:szCs w:val="24"/>
        </w:rPr>
      </w:pPr>
      <w:r w:rsidRPr="00DD039F">
        <w:t>4.</w:t>
      </w:r>
      <w:r w:rsidRPr="00DD039F">
        <w:tab/>
        <w:t>anerkender myndighedens mange resultater i 2022, hvor den i vid udstrækning nåede sine mål inden for tilsynskonvergens, forbrugerbeskyttelse og finansiel stabilitet; bemærker navnlig, at myndigheden gennemførte sin første klimastresstest af arbejdsmarkedsrelaterede pensionskasser for at få indsigt i virkningerne af miljørisici på den europæiske erhvervspensionssektor, forelagde Kommissionen gennemførelsesmæssige tekniske standarder om fastsættelse af tilsynsmæssige rapporterings- og oplysningskrav i henhold til Solvens II, offentliggjorde en række dokumenter, rapporter og retningslinjer om integration af bæredygtighedsrisici i forsikringsselskabers, genforsikringsselskabers og arbejdsmarkedsrelaterede pensionsfondes risikostyring og ydede input og teknisk rådgivning til Europa-Parlamentet og Rådet gennem hele lovgivningsprocessen med hensyn til forordningen om kunstig intelligens og DORA-forordningen; roser myndigheden for dens forskellige initiativer og tiltag inden for digital omstilling og støtten til målene i Unionens strategi for digital finans, herunder ved sammen med flere interessenter, bl.a. Det Europæiske Universitetsinstitut, at bidrage til oprettelsen af "EU Supervisory Digital Finance Academy" (EU's akademi for tilsyn med digital finans);</w:t>
      </w:r>
    </w:p>
    <w:p w14:paraId="665F59F3" w14:textId="77777777" w:rsidR="00CC16EE" w:rsidRPr="00DD039F" w:rsidRDefault="00CC16EE" w:rsidP="00CC16EE">
      <w:pPr>
        <w:widowControl/>
        <w:spacing w:after="240"/>
        <w:ind w:left="567" w:hanging="567"/>
        <w:rPr>
          <w:szCs w:val="24"/>
        </w:rPr>
      </w:pPr>
      <w:r w:rsidRPr="00DD039F">
        <w:t>5.</w:t>
      </w:r>
      <w:r w:rsidRPr="00DD039F">
        <w:tab/>
        <w:t>bemærker, at myndigheden for første gang anvendte en række beføjelser og værktøjer, som den fik tildelt i EIOPA-forordningen; bemærker i denne forbindelse, at myndigheden i 2022 udstedte en henstilling til Slovakiets nationalbank (NBS) efter myndighedens konklusioner om, at en overtrædelse af reglerne om kapitalkrav, der var begået af et slovakisk forsikringsselskab, ikke var blevet behandlet hensigtsmæssigt ud fra et tilsynsperspektiv; bemærker endvidere med bekymring, at myndigheden fandt, at NBS overtrådte EU-retten, og at Kommissionen som følge heraf afgav en formel udtalelse, hvori den pålagde NBS at træffe de nødvendige foranstaltninger til at overholde EU-retten, og at der blev gennemført en undersøgelse på grundlag af artikel 22 i EIOPA-forordningen; opfordrer myndigheden til at holde dechargemyndigheden underrettet om opfølgningen på og resultatet af denne undersøgelse;</w:t>
      </w:r>
    </w:p>
    <w:p w14:paraId="730AA64D" w14:textId="77777777" w:rsidR="00CC16EE" w:rsidRPr="00DD039F" w:rsidRDefault="00CC16EE" w:rsidP="00CC16EE">
      <w:pPr>
        <w:widowControl/>
        <w:spacing w:after="240"/>
        <w:ind w:left="567" w:hanging="567"/>
        <w:rPr>
          <w:szCs w:val="24"/>
        </w:rPr>
      </w:pPr>
      <w:r w:rsidRPr="00DD039F">
        <w:t>6.</w:t>
      </w:r>
      <w:r w:rsidRPr="00DD039F">
        <w:tab/>
        <w:t>bemærker, at myndigheden bidrog til at sikre finansiel stabilitet og beskytte forbrugerne ved nøje at overvåge markederne og vurdere indvirkningerne i den nye kontekst med den uprovokerede og ulovlige russiske invasion af Ukraine og den gradvise stramning af pengepolitikken som reaktion på rekordhøje inflationsrater i hele Europa; glæder sig over den rettidige offentliggørelse i 2022 af en tilsynserklæring om inflation med fokus på, hvordan inflationen påvirker forsikringstekniske hensættelser, investeringer og solvenskapitalkrav;</w:t>
      </w:r>
    </w:p>
    <w:p w14:paraId="7A9ACECE" w14:textId="77777777" w:rsidR="00CC16EE" w:rsidRPr="00DD039F" w:rsidRDefault="00CC16EE" w:rsidP="00CC16EE">
      <w:pPr>
        <w:pStyle w:val="NormalHanging12a"/>
      </w:pPr>
      <w:r w:rsidRPr="00DD039F">
        <w:t>7.</w:t>
      </w:r>
      <w:r w:rsidRPr="00DD039F">
        <w:tab/>
        <w:t>bemærker, at myndigheden i september 2022 fastlagde sin strategi for perioden 2023-2026, hvor den fastlagde strategiske prioriteter, herunder styrkelse af forsikrings- og pensionssektorernes modstandsdygtighed og bæredygtighed, med henblik på at sikre en stærk og konsekvent beskyttelse af forbrugernes interesser i hele Unionen;</w:t>
      </w:r>
    </w:p>
    <w:p w14:paraId="1FFCB856" w14:textId="77777777" w:rsidR="00CC16EE" w:rsidRPr="00DD039F" w:rsidRDefault="00CC16EE" w:rsidP="00CC16EE">
      <w:pPr>
        <w:widowControl/>
        <w:spacing w:after="240"/>
        <w:ind w:left="567" w:hanging="567"/>
        <w:rPr>
          <w:b/>
          <w:i/>
          <w:szCs w:val="24"/>
        </w:rPr>
      </w:pPr>
      <w:r w:rsidRPr="00DD039F">
        <w:rPr>
          <w:b/>
          <w:i/>
        </w:rPr>
        <w:t>Effektivitet og gevinster</w:t>
      </w:r>
    </w:p>
    <w:p w14:paraId="3D388CB1" w14:textId="77777777" w:rsidR="00CC16EE" w:rsidRPr="00DD039F" w:rsidRDefault="00CC16EE" w:rsidP="00CC16EE">
      <w:pPr>
        <w:widowControl/>
        <w:spacing w:after="240"/>
        <w:ind w:left="567" w:hanging="567"/>
        <w:rPr>
          <w:rFonts w:cstheme="minorHAnsi"/>
        </w:rPr>
      </w:pPr>
      <w:r w:rsidRPr="00DD039F">
        <w:t>8.</w:t>
      </w:r>
      <w:r w:rsidRPr="00DD039F">
        <w:tab/>
        <w:t>bemærker, at de europæiske tilsynsmyndigheder (ESA'er) koordinerer, deler og støtter hinanden på mange områder, både på kerneaktivitetsområdet og inden for støtteområder; glæder sig over, at ESA'erne gik sammen om strategiske initiativer såsom udvikling af softwareapplikationer, netværksinfrastruktur og IT-rådgivning, f.eks. ved at dele de samme leverandører; bemærker i den forbindelse myndighedens cloudstrategi, der blev godkendt i 2022, og som blev udviklet af myndigheden sammen med de to andre ESA'er, andre EU-institutioner og de nationale kompetente myndigheder, og som har til formål at levere mere autonome og automatiserede selvbetjeningsprodukter til brug for myndighedens eksperter og nationale kompetente myndigheder;</w:t>
      </w:r>
    </w:p>
    <w:p w14:paraId="3D7A26C9" w14:textId="77777777" w:rsidR="00CC16EE" w:rsidRPr="00DD039F" w:rsidRDefault="00CC16EE" w:rsidP="00CC16EE">
      <w:pPr>
        <w:widowControl/>
        <w:spacing w:after="240"/>
        <w:ind w:left="567" w:hanging="567"/>
        <w:rPr>
          <w:rFonts w:cstheme="minorHAnsi"/>
        </w:rPr>
      </w:pPr>
      <w:r w:rsidRPr="00DD039F">
        <w:t>9.</w:t>
      </w:r>
      <w:r w:rsidRPr="00DD039F">
        <w:tab/>
        <w:t>roser myndigheden for dens investering i og tildeling af personale til projekter inden for digital omstilling med henblik på at nå nye effektivitetsniveauer ved bl.a. at automatisere og strømline forretningsprocesser og forbedre markedstimingen og samarbejdet inden for og på tværs af funktioner; glæder sig i den forbindelse over de projekter, som myndigheden gennemførte i 2022, og som fokuserede på at forbedre dataanalysekapaciteten for at nå målet om at gøre myndigheden til en fuldt digital, datadreven organisation;</w:t>
      </w:r>
    </w:p>
    <w:p w14:paraId="122EC79C" w14:textId="77777777" w:rsidR="00CC16EE" w:rsidRPr="00DD039F" w:rsidRDefault="00CC16EE" w:rsidP="00CC16EE">
      <w:pPr>
        <w:pStyle w:val="NormalHanging12a"/>
      </w:pPr>
      <w:r w:rsidRPr="00DD039F">
        <w:t>10.</w:t>
      </w:r>
      <w:r w:rsidRPr="00DD039F">
        <w:tab/>
        <w:t>bemærker, at myndigheden for så vidt angår den daglige forretningspraksis har gennemført en række foranstaltninger til at øge omkostningseffektiviteten, som f.eks. hybridarbejde, skrivebordsdeling og moderne videokonferenceløsninger, der har ført til en reduktion i antallet af forretningsrejser; bemærker, at myndigheden for at bevare institutionel viden, ekspertise og effektivitet i udførelsen af kerneopgaver yderligere styrkede sit integrerede talentforvaltningssystem, der muliggør strategisk tilpassede HR-processer, bedre sourcing af kandidater og læring og udvikling med mere potentiale; opfordrer myndigheden til at forelægge dechargemyndigheden data og tal vedrørende virkningen af dette system;</w:t>
      </w:r>
    </w:p>
    <w:p w14:paraId="27AC764D" w14:textId="77777777" w:rsidR="00CC16EE" w:rsidRPr="00DD039F" w:rsidRDefault="00CC16EE" w:rsidP="00CC16EE">
      <w:pPr>
        <w:widowControl/>
        <w:spacing w:after="240"/>
        <w:ind w:left="567" w:hanging="567"/>
        <w:rPr>
          <w:rFonts w:cstheme="minorHAnsi"/>
          <w:iCs/>
        </w:rPr>
      </w:pPr>
      <w:r w:rsidRPr="00DD039F">
        <w:t>11.</w:t>
      </w:r>
      <w:r w:rsidRPr="00DD039F">
        <w:tab/>
        <w:t>noterer sig på baggrund af Revisionsrettens beretning, at myndigheden er blandt de agenturer, der har en virksomhedsplan til at forbedre deres aktiviteters energieffektivitet og klimaneutralitet, og som udsteder en miljøredegørelse (f.eks. om rapportering om CO</w:t>
      </w:r>
      <w:r w:rsidRPr="00DD039F">
        <w:rPr>
          <w:vertAlign w:val="subscript"/>
        </w:rPr>
        <w:t>2</w:t>
      </w:r>
      <w:r w:rsidRPr="00DD039F">
        <w:t>-fodaftryk) som en del af deres årlige aktivitetsrapporter; roser endvidere myndigheden for at være blevet certificeret under EMAS (Den Europæiske Unions ordning for miljøledelse og miljørevision) i 2022 med henblik på at opnå den formelle EMAS-akkreditering i 2023;</w:t>
      </w:r>
    </w:p>
    <w:p w14:paraId="1E433E84" w14:textId="77777777" w:rsidR="00CC16EE" w:rsidRPr="00DD039F" w:rsidRDefault="00CC16EE" w:rsidP="00CC16EE">
      <w:pPr>
        <w:widowControl/>
        <w:spacing w:after="240"/>
        <w:ind w:left="567" w:hanging="567"/>
        <w:rPr>
          <w:b/>
          <w:i/>
          <w:szCs w:val="24"/>
        </w:rPr>
      </w:pPr>
      <w:r w:rsidRPr="00DD039F">
        <w:rPr>
          <w:b/>
          <w:i/>
        </w:rPr>
        <w:t>Personalepolitik</w:t>
      </w:r>
    </w:p>
    <w:p w14:paraId="14C21FED" w14:textId="77777777" w:rsidR="00CC16EE" w:rsidRPr="00DD039F" w:rsidRDefault="00CC16EE" w:rsidP="00CC16EE">
      <w:pPr>
        <w:widowControl/>
        <w:spacing w:after="240"/>
        <w:ind w:left="567" w:hanging="567"/>
        <w:rPr>
          <w:szCs w:val="24"/>
        </w:rPr>
      </w:pPr>
      <w:r w:rsidRPr="00DD039F">
        <w:t>12.</w:t>
      </w:r>
      <w:r w:rsidRPr="00DD039F">
        <w:tab/>
        <w:t>bemærker, at 99 % af stillingsfortegnelsen var gennemført fuldt ud pr. 31. december 2022 (ligesom i 2021) med 137 midlertidigt ansatte ud af de 138 midlertidigt ansatte, som var godkendt i henhold til EU's budget; bemærker, at der i 2022 desuden var 36 kontraktansatte og 24 udstationerede nationale eksperter, der arbejdede for myndigheden;</w:t>
      </w:r>
    </w:p>
    <w:p w14:paraId="764F95FF" w14:textId="77777777" w:rsidR="00CC16EE" w:rsidRPr="00DD039F" w:rsidRDefault="00CC16EE" w:rsidP="00CC16EE">
      <w:pPr>
        <w:pStyle w:val="NormalHanging12a"/>
      </w:pPr>
      <w:r w:rsidRPr="00DD039F">
        <w:t>13.</w:t>
      </w:r>
      <w:r w:rsidRPr="00DD039F">
        <w:tab/>
        <w:t>noterer sig myndighedens kønsfordeling for 2022 med 15 mænd (65,20 %) og 8 kvinder (34,80 %) i mellem- og toplederstillinger og i dens bestyrelse og 104 mænd (53,60 %) og 90 kvinder (46,40 %) blandt det samlede personale; minder om betydningen af at sikre kønsbalance og opfordrer myndigheden til at tage hensyn dertil, når den i fremtiden ansætter personale og foretager udnævnelser inden for den øverste ledelse og på mellemlederniveau;</w:t>
      </w:r>
    </w:p>
    <w:p w14:paraId="663A3BBD" w14:textId="77777777" w:rsidR="00CC16EE" w:rsidRPr="00DD039F" w:rsidRDefault="00CC16EE" w:rsidP="00CC16EE">
      <w:pPr>
        <w:pStyle w:val="NormalHanging12a"/>
      </w:pPr>
      <w:r w:rsidRPr="00DD039F">
        <w:t>14.</w:t>
      </w:r>
      <w:r w:rsidRPr="00DD039F">
        <w:tab/>
        <w:t>glæder sig over, at myndigheden i 2022 fortsatte gennemførelsen af strategien for mangfoldighed og inklusion (vedtaget i 2021) og sin detaljerede handlingsplan i overensstemmelse med EUAN-chartret om mangfoldighed gennem initiativer, der omfatter tværgående foranstaltninger såsom samarbejde med andre institutioner, tiltrækning og udvælgelse af en mere mangfoldig arbejdsstyrke, forebyggelse af forskelsbehandling, chikane, bevidst og ubevidst forudindtagethed og overvågning af mangfoldigheds- og inklusionsrelaterede data; bemærker, at der i 2022 blev indberettet ét påstået tilfælde af chikane, men at sagen blev afsluttet uden yderligere foranstaltninger, da der efter en foreløbig vurdering ikke blev fundet noget umiddelbart bevis;</w:t>
      </w:r>
    </w:p>
    <w:p w14:paraId="6312B546" w14:textId="77777777" w:rsidR="00CC16EE" w:rsidRPr="00DD039F" w:rsidRDefault="00CC16EE" w:rsidP="00CC16EE">
      <w:pPr>
        <w:widowControl/>
        <w:spacing w:after="240"/>
        <w:ind w:left="567" w:hanging="567"/>
        <w:rPr>
          <w:szCs w:val="24"/>
        </w:rPr>
      </w:pPr>
      <w:r w:rsidRPr="00DD039F">
        <w:t>15.</w:t>
      </w:r>
      <w:r w:rsidRPr="00DD039F">
        <w:tab/>
        <w:t>glæder sig over, at myndigheden er dedikeret til at fremme og tilvejebringe et mangfoldigt og inklusivt arbejdsmiljø, der også er tilpasset behovene hos personer med handicap; bemærker i denne forbindelse, at myndighedens interne handicapkoordinator og ambassadør i 2022 blev udpeget til yderligere at styrke og fokusere opmærksomheden på dette særlige område, og at der blev gennemført en særlig undersøgelse blandt personalet og i ledelsen samt truffet bevidstgørelsestiltag;</w:t>
      </w:r>
    </w:p>
    <w:p w14:paraId="5FC122AF" w14:textId="77777777" w:rsidR="00CC16EE" w:rsidRPr="00DD039F" w:rsidRDefault="00CC16EE" w:rsidP="00CC16EE">
      <w:pPr>
        <w:pStyle w:val="NormalHanging12a"/>
      </w:pPr>
      <w:r w:rsidRPr="00DD039F">
        <w:t>16.</w:t>
      </w:r>
      <w:r w:rsidRPr="00DD039F">
        <w:tab/>
        <w:t>bemærker med tilfredshed, at myndigheden fortsat var dybt engageret i at forbedre personalets trivsel og balancen mellem arbejdsliv og privatliv med positive resultater i personalets engagement og tilfredshed som følge; bemærker, at de centrale fokusområder omfattede fleksible arbejdsordninger, telearbejde, livslang vejledning og karriereudvikling, trivselsprogrammer og understøttende forvaltning;</w:t>
      </w:r>
    </w:p>
    <w:p w14:paraId="0F5C6EC4" w14:textId="77777777" w:rsidR="00CC16EE" w:rsidRPr="00DD039F" w:rsidRDefault="00CC16EE" w:rsidP="00CC16EE">
      <w:pPr>
        <w:widowControl/>
        <w:spacing w:after="240"/>
        <w:ind w:left="567" w:hanging="567"/>
        <w:rPr>
          <w:b/>
          <w:i/>
          <w:szCs w:val="24"/>
        </w:rPr>
      </w:pPr>
      <w:r w:rsidRPr="00DD039F">
        <w:rPr>
          <w:b/>
          <w:i/>
        </w:rPr>
        <w:t>Udbud</w:t>
      </w:r>
    </w:p>
    <w:p w14:paraId="68120ADA" w14:textId="77777777" w:rsidR="00CC16EE" w:rsidRPr="00DD039F" w:rsidRDefault="00CC16EE" w:rsidP="00CC16EE">
      <w:pPr>
        <w:widowControl/>
        <w:spacing w:after="240"/>
        <w:ind w:left="567" w:hanging="567"/>
        <w:rPr>
          <w:szCs w:val="24"/>
        </w:rPr>
      </w:pPr>
      <w:r w:rsidRPr="00DD039F">
        <w:t>17.</w:t>
      </w:r>
      <w:r w:rsidRPr="00DD039F">
        <w:tab/>
        <w:t>noterer sig bemærkningen i Revisionsrettens beretning om, at myndigheden foretog betalinger på i alt 25 607 EUR efter udløbet af en kontrakt, gennem hvilken myndigheden indkøbte telekommunikationstjenester til mobiltelefonkommunikation i en periode på fire år (2017-2021); noterer sig Revisionsrettens konklusion om, at disse betalinger var regelstridige; noterer sig endvidere Revisionsrettens bemærkning om, at en ændring af denne kontrakt, der blev undertegnet i april 2022, blev foretaget i strid med punkt 1.1 i bilag I til finansforordningen;</w:t>
      </w:r>
    </w:p>
    <w:p w14:paraId="17372923" w14:textId="77777777" w:rsidR="00CC16EE" w:rsidRPr="00DD039F" w:rsidRDefault="00CC16EE" w:rsidP="00CC16EE">
      <w:pPr>
        <w:widowControl/>
        <w:spacing w:after="240"/>
        <w:ind w:left="567" w:hanging="567"/>
        <w:rPr>
          <w:szCs w:val="24"/>
        </w:rPr>
      </w:pPr>
      <w:r w:rsidRPr="00DD039F">
        <w:t>18.</w:t>
      </w:r>
      <w:r w:rsidRPr="00DD039F">
        <w:tab/>
        <w:t>minder på baggrund af Revisionsrettens årsberetning om EU-agenturerne for 2021 om bemærkningen om et beløb på 288 125 EUR, som myndigheden regelstridigt har betalt i forbindelse med lejekontrakten for sine lokaler; noterer sig i denne forbindelse på baggrund af myndighedens rapport om de foranstaltninger, der er truffet i lyset af dechargemyndighedens henstillinger (decharge 2021), myndighedens holdning om, at manglende overholdelse af de kontraktlige forpligtelser ville have haft en negativ retlig og omdømmemæssig indvirkning på myndigheden; noterer sig på baggrund af Revisionsrettens beretning, at status for denne bemærkning er, at den stadig er igangværende; opfordrer myndigheden til at gøre alt, hvad der er nødvendigt, når den iværksætter udbudsproceduren for en ny lejekontrakt, for at undgå enhver konflikt mellem de forpligtelser, der følger af lejeaftalen, og de relevante bestemmelser i finansforordningen;</w:t>
      </w:r>
    </w:p>
    <w:p w14:paraId="3A31D252" w14:textId="77777777" w:rsidR="00CC16EE" w:rsidRPr="00DD039F" w:rsidRDefault="00CC16EE" w:rsidP="00CC16EE">
      <w:pPr>
        <w:widowControl/>
        <w:spacing w:after="240"/>
        <w:rPr>
          <w:szCs w:val="24"/>
        </w:rPr>
      </w:pPr>
      <w:r w:rsidRPr="00DD039F">
        <w:rPr>
          <w:b/>
          <w:i/>
        </w:rPr>
        <w:t>Forebyggelse og håndtering af interessekonflikter samt gennemsigtighed</w:t>
      </w:r>
    </w:p>
    <w:p w14:paraId="245E6CE1" w14:textId="77777777" w:rsidR="00CC16EE" w:rsidRPr="00DD039F" w:rsidRDefault="00CC16EE" w:rsidP="00CC16EE">
      <w:pPr>
        <w:widowControl/>
        <w:spacing w:after="240"/>
        <w:ind w:left="567" w:hanging="567"/>
        <w:rPr>
          <w:szCs w:val="24"/>
        </w:rPr>
      </w:pPr>
      <w:r w:rsidRPr="00DD039F">
        <w:t>19.</w:t>
      </w:r>
      <w:r w:rsidRPr="00DD039F">
        <w:tab/>
        <w:t>glæder sig over, at CV'erne for medlemmerne af myndighedens tilsynsråd og bestyrelse samt for myndighedens formand og administrerende direktør og et kort CV for myndighedens afdelingschefer i overensstemmelse med myndighedens retlige krav er offentliggjort på myndighedens websted; bemærker, at individuelle interesseerklæringer og hensigtserklæringer for hvert bestyrelsesmedlem, hvert medlem af tilsynsrådet og for myndighedens øverste ledelse er offentligt tilgængelige; glæder sig endvidere over offentliggørelsen af myndighedens ansattes møder med lobbyister på myndighedens websted;</w:t>
      </w:r>
    </w:p>
    <w:p w14:paraId="5583CC74" w14:textId="77777777" w:rsidR="00CC16EE" w:rsidRPr="00DD039F" w:rsidRDefault="00CC16EE" w:rsidP="00CC16EE">
      <w:pPr>
        <w:widowControl/>
        <w:spacing w:after="240"/>
        <w:ind w:left="567" w:hanging="567"/>
        <w:rPr>
          <w:szCs w:val="24"/>
        </w:rPr>
      </w:pPr>
      <w:r w:rsidRPr="00DD039F">
        <w:t>20.</w:t>
      </w:r>
      <w:r w:rsidRPr="00DD039F">
        <w:tab/>
        <w:t>glæder sig over, at myndigheden i 2022 styrkede sine etiske regler for fastansatte og ikke-fastansatte og dermed fulgte op på Revisionsrettens bemærkninger fra Revisionsrettens beretning om myndighedens årsregnskab for 2021 med det formål at bevare en upartisk, objektiv og uafhængig beslutningstagning og hurtigt identificere og håndtere eventuelle interessekonflikter; bemærker i den forbindelse revisionen af myndighedens forretningsorden, vedtagelsen af politikken om uafhængighed og beslutningsprocesser med henblik på at undgå interessekonflikter for ikke-fastansatte, godkendelsen af en revision af afgørelsen vedrørende vurderingen af formanden og den administrerende direktør og vedtagelsen af en revision af myndighedens etiske regler for fastansatte;</w:t>
      </w:r>
    </w:p>
    <w:p w14:paraId="3C475A61" w14:textId="77777777" w:rsidR="00CC16EE" w:rsidRPr="00DD039F" w:rsidRDefault="00CC16EE" w:rsidP="00CC16EE">
      <w:pPr>
        <w:widowControl/>
        <w:spacing w:after="240"/>
        <w:ind w:left="567" w:hanging="567"/>
        <w:rPr>
          <w:szCs w:val="24"/>
        </w:rPr>
      </w:pPr>
      <w:r w:rsidRPr="00DD039F">
        <w:t>21.</w:t>
      </w:r>
      <w:r w:rsidRPr="00DD039F">
        <w:tab/>
        <w:t>bemærker med hensyn til whistleblowing, at en medarbejder i 2022 udtrykte bekymring over et potentielt tilfælde af uregelmæssigheder, og at dette tilfælde er blevet håndteret af myndigheden i overensstemmelse med de gældende regler; bemærker i denne forbindelse, at myndigheden uden ophold underrettede Det Europæiske Kontor for Bekæmpelse af Svig (OLAF) herom, og at OLAF foretog en vurdering og afviste sagen med den begrundelse, at der ikke var tilstrækkelig mistanke til at indlede en undersøgelse;</w:t>
      </w:r>
    </w:p>
    <w:p w14:paraId="186305B8" w14:textId="77777777" w:rsidR="00CC16EE" w:rsidRPr="00DD039F" w:rsidRDefault="00CC16EE" w:rsidP="00CC16EE">
      <w:pPr>
        <w:spacing w:after="240"/>
        <w:ind w:left="567" w:hanging="567"/>
        <w:rPr>
          <w:sz w:val="22"/>
        </w:rPr>
      </w:pPr>
      <w:r w:rsidRPr="00DD039F">
        <w:t>22.</w:t>
      </w:r>
      <w:r w:rsidRPr="00DD039F">
        <w:tab/>
        <w:t>glæder sig over, at myndighedens tilsynsråd i juli 2022 reviderede sin forretningsorden og efterlevede Revisionsrettens bemærkning om tilstedeværelsen af medlemmer af tilsynsrådet, der har interessekonflikter, under drøftelser og afstemninger; bemærker endvidere, at myndighedens bestyrelse i december 2022 i overensstemmelse med Revisionsrettens bemærkninger godkendte en revideret afgørelse vedrørende vurderingen af formanden og den administrerende direktør;</w:t>
      </w:r>
    </w:p>
    <w:p w14:paraId="29DF2C73" w14:textId="77777777" w:rsidR="00CC16EE" w:rsidRPr="00DD039F" w:rsidRDefault="00CC16EE" w:rsidP="00CC16EE">
      <w:pPr>
        <w:widowControl/>
        <w:spacing w:after="240"/>
        <w:ind w:left="567" w:hanging="567"/>
        <w:rPr>
          <w:b/>
          <w:i/>
          <w:szCs w:val="24"/>
        </w:rPr>
      </w:pPr>
      <w:r w:rsidRPr="00DD039F">
        <w:rPr>
          <w:b/>
          <w:i/>
        </w:rPr>
        <w:t>Intern kontrol</w:t>
      </w:r>
    </w:p>
    <w:p w14:paraId="71B911FD" w14:textId="77777777" w:rsidR="00CC16EE" w:rsidRPr="00DD039F" w:rsidRDefault="00CC16EE" w:rsidP="00CC16EE">
      <w:pPr>
        <w:widowControl/>
        <w:spacing w:after="240"/>
        <w:ind w:left="567" w:hanging="567"/>
        <w:rPr>
          <w:szCs w:val="24"/>
        </w:rPr>
      </w:pPr>
      <w:r w:rsidRPr="00DD039F">
        <w:t>23.</w:t>
      </w:r>
      <w:r w:rsidRPr="00DD039F">
        <w:tab/>
        <w:t>noterer sig, at myndigheden i 2022 foretog den årlige vurdering af sin interne kontrolramme og konkluderede, at alle komponenter og principper er gennemført og fungerer efter hensigten, men at der er behov for en række forbedringer som følge af en moderat mangel, der blev konstateret;</w:t>
      </w:r>
    </w:p>
    <w:p w14:paraId="63F40B6C" w14:textId="77777777" w:rsidR="00CC16EE" w:rsidRPr="00DD039F" w:rsidRDefault="00CC16EE" w:rsidP="00CC16EE">
      <w:pPr>
        <w:widowControl/>
        <w:spacing w:after="240"/>
        <w:ind w:left="567" w:hanging="567"/>
        <w:rPr>
          <w:szCs w:val="24"/>
        </w:rPr>
      </w:pPr>
      <w:r w:rsidRPr="00DD039F">
        <w:t>24.</w:t>
      </w:r>
      <w:r w:rsidRPr="00DD039F">
        <w:tab/>
        <w:t>bemærker, at Den Interne Revisionstjeneste i 2022 udsendte en rapport om den revision, der blev foretaget i 2021 af EIOPA's interventionsforanstaltninger rettet mod kompetente nationale myndigheder og markedsoperatørerne i sektoren for Unionens forsikrings- og arbejdsmarkedspensionsordninger; bemærker endvidere, at myndighedens Udvalg for Kvalitetskontrol udsendte en evalueringsrapport om erfaringerne fra samarbejdet og interaktionen mellem EIOPA og de kompetente nationale myndigheder under covid-19-pandemien; opfordrer myndigheden til at holde dechargemyndigheden ajour med hensyn til gennemførelsen af anbefalingerne fra Den Interne Revisionstjeneste og Udvalget for Kvalitetskontrol;</w:t>
      </w:r>
    </w:p>
    <w:p w14:paraId="24671975" w14:textId="77777777" w:rsidR="00CC16EE" w:rsidRPr="00DD039F" w:rsidRDefault="00CC16EE" w:rsidP="00CC16EE">
      <w:pPr>
        <w:widowControl/>
        <w:spacing w:after="240"/>
        <w:ind w:left="567" w:hanging="567"/>
      </w:pPr>
      <w:r w:rsidRPr="00DD039F">
        <w:t>25.</w:t>
      </w:r>
      <w:r w:rsidRPr="00DD039F">
        <w:tab/>
        <w:t>bemærker med tilfredshed, at myndigheden i 2022 identificerede, overvågede og traf foranstaltninger til at afbøde konsekvenserne af risici med hensyn til ikke at have tilstrækkelig kapacitet til at gennemføre nye beføjelser og opgaver, samtidig med at den levede op til eksisterende forpligtelser, mangel på kvalificeret personale med de nødvendige kompetencer som følge af problemer med tiltrækningskraft og rekruttering, cybersikkerhedstrusler og forretningskontinuitet;</w:t>
      </w:r>
    </w:p>
    <w:p w14:paraId="22487493" w14:textId="77777777" w:rsidR="00CC16EE" w:rsidRPr="00DD039F" w:rsidRDefault="00CC16EE" w:rsidP="00CC16EE">
      <w:pPr>
        <w:widowControl/>
        <w:spacing w:after="240"/>
        <w:ind w:left="567" w:hanging="567"/>
      </w:pPr>
      <w:r w:rsidRPr="00DD039F">
        <w:t>26.</w:t>
      </w:r>
      <w:r w:rsidRPr="00DD039F">
        <w:tab/>
        <w:t>bemærker, at myndigheden i 2022 fortsatte med at gøre noget ved de resterende anbefalinger fra revisionen vedrørende tilsynsværktøjerne på forbrugerbeskyttelsesområdet (2019-2020); bemærker endvidere, at denne revision resulterede i fire anbefalinger, som er blevet håndteret, således at to anbefalinger officielt blev afsluttet af Den Interne Revisionstjeneste i november 2021, og to anbefalinger blev officielt afsluttet i juni 2022;</w:t>
      </w:r>
    </w:p>
    <w:p w14:paraId="50ACE16D" w14:textId="77777777" w:rsidR="00CC16EE" w:rsidRPr="00DD039F" w:rsidRDefault="00CC16EE" w:rsidP="00CC16EE">
      <w:pPr>
        <w:widowControl/>
        <w:spacing w:after="240"/>
        <w:ind w:left="567" w:hanging="567"/>
        <w:rPr>
          <w:b/>
          <w:i/>
          <w:szCs w:val="24"/>
        </w:rPr>
      </w:pPr>
      <w:r w:rsidRPr="00DD039F">
        <w:rPr>
          <w:b/>
          <w:i/>
        </w:rPr>
        <w:t>Øvrige bemærkninger</w:t>
      </w:r>
    </w:p>
    <w:p w14:paraId="1350EB04" w14:textId="77777777" w:rsidR="00CC16EE" w:rsidRPr="00DD039F" w:rsidRDefault="00CC16EE" w:rsidP="00CC16EE">
      <w:pPr>
        <w:spacing w:after="240"/>
        <w:ind w:left="567" w:hanging="567"/>
        <w:rPr>
          <w:szCs w:val="24"/>
        </w:rPr>
      </w:pPr>
      <w:r w:rsidRPr="00DD039F">
        <w:t>27.</w:t>
      </w:r>
      <w:r w:rsidRPr="00DD039F">
        <w:tab/>
        <w:t>bemærker, at myndigheden i 2022 sammen med de øvrige ESA'er udsendte advarsler til forbrugerne i forbindelse med de højrisikoaktiviteter og spekulative aktiviteter, der er forbundet med mange kryptoaktiver;</w:t>
      </w:r>
    </w:p>
    <w:p w14:paraId="2254B8D2" w14:textId="77777777" w:rsidR="00CC16EE" w:rsidRPr="00DD039F" w:rsidRDefault="00CC16EE" w:rsidP="00CC16EE">
      <w:pPr>
        <w:spacing w:after="240"/>
        <w:ind w:left="567" w:hanging="567"/>
        <w:rPr>
          <w:szCs w:val="24"/>
        </w:rPr>
      </w:pPr>
      <w:r w:rsidRPr="00DD039F">
        <w:t>28.</w:t>
      </w:r>
      <w:r w:rsidRPr="00DD039F">
        <w:tab/>
        <w:t>noterer sig på baggrund af myndighedens svar på dechargemyndighedens spørgsmål, at myndigheden i øjeblikket nyder godt af Kommissionens e-udbudsværktøjer (e-tendering, e-submission og e-invoicing), og at værktøjet til forvaltning af offentlige udbud (PPMT) i mellemtiden er blevet gennemført (fra juli 2023); glæder sig over, at EIOPA's udbudsprocedurer omfatter krav om grønne kriterier for offentlige indkøb, hvor det er muligt, og at EIOPA's tilbudsgivere bl.a. skal underskrive erklæringen på tro og love om overholdelse af miljømæssige og sociale forpligtelser;</w:t>
      </w:r>
    </w:p>
    <w:p w14:paraId="274304E4" w14:textId="77777777" w:rsidR="00CC16EE" w:rsidRPr="00DD039F" w:rsidRDefault="00CC16EE" w:rsidP="00CC16EE">
      <w:pPr>
        <w:spacing w:after="240"/>
        <w:ind w:left="567" w:hanging="567"/>
        <w:rPr>
          <w:szCs w:val="24"/>
        </w:rPr>
      </w:pPr>
      <w:r w:rsidRPr="00DD039F">
        <w:t>29.</w:t>
      </w:r>
      <w:r w:rsidRPr="00DD039F">
        <w:tab/>
        <w:t>bemærker, at myndigheden i 2022 offentliggjorde resultaterne af sit arbejde i form af rapporter på sit websted og på de sociale medier, og at de fleste rapporter var ledsaget af en pressemeddelelse; glæder sig over, at rapporterne i nogle tilfælde også ledsages af resuméer, korte klip på de sociale medier eller korte interviews for at forklare indholdet på en enklere måde;</w:t>
      </w:r>
    </w:p>
    <w:p w14:paraId="511F65EF" w14:textId="77777777" w:rsidR="00CC16EE" w:rsidRPr="00DD039F" w:rsidRDefault="00CC16EE" w:rsidP="00CC16EE">
      <w:pPr>
        <w:pStyle w:val="NormalCenter12a"/>
      </w:pPr>
      <w:r w:rsidRPr="00DD039F">
        <w:t>°</w:t>
      </w:r>
    </w:p>
    <w:p w14:paraId="3C966A20" w14:textId="77777777" w:rsidR="00CC16EE" w:rsidRPr="00DD039F" w:rsidRDefault="00CC16EE" w:rsidP="00CC16EE">
      <w:pPr>
        <w:pStyle w:val="NormalCenter12a"/>
      </w:pPr>
      <w:r w:rsidRPr="00DD039F">
        <w:t>°</w:t>
      </w:r>
      <w:r w:rsidRPr="00DD039F">
        <w:tab/>
        <w:t>°</w:t>
      </w:r>
    </w:p>
    <w:p w14:paraId="71722178" w14:textId="14F63DDB" w:rsidR="00CC16EE" w:rsidRPr="00DD039F" w:rsidRDefault="00CC16EE" w:rsidP="00CC16EE">
      <w:pPr>
        <w:pStyle w:val="NormalHanging12a"/>
      </w:pPr>
      <w:r w:rsidRPr="00DD039F">
        <w:t>30.</w:t>
      </w:r>
      <w:r w:rsidRPr="00DD039F">
        <w:tab/>
        <w:t xml:space="preserve">henviser med hensyn til de øvrige bemærkninger, der ledsager dechargeafgørelsen, og som er af horisontal karakter, til sin beslutning af </w:t>
      </w:r>
      <w:r w:rsidR="00DC356D" w:rsidRPr="00DD039F">
        <w:t xml:space="preserve">11. </w:t>
      </w:r>
      <w:r w:rsidRPr="00DD039F">
        <w:t>april 2024</w:t>
      </w:r>
      <w:r w:rsidRPr="00DD039F">
        <w:rPr>
          <w:rStyle w:val="FootnoteReference"/>
        </w:rPr>
        <w:footnoteReference w:id="12"/>
      </w:r>
      <w:bookmarkStart w:id="14" w:name="_GoBack"/>
      <w:bookmarkEnd w:id="14"/>
      <w:r w:rsidRPr="00DD039F">
        <w:t xml:space="preserve"> om agenturernes resultater, økonomiske forvaltning og kontrol.</w:t>
      </w:r>
    </w:p>
    <w:p w14:paraId="427ADC40" w14:textId="77777777" w:rsidR="00CC16EE" w:rsidRPr="00DD039F" w:rsidRDefault="00CC16EE" w:rsidP="00CC16EE"/>
    <w:sectPr w:rsidR="00CC16EE" w:rsidRPr="00DD039F" w:rsidSect="00CF1FF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FF26A" w14:textId="77777777" w:rsidR="006A6B8F" w:rsidRPr="00CF1FFE" w:rsidRDefault="006A6B8F">
      <w:r w:rsidRPr="00CF1FFE">
        <w:separator/>
      </w:r>
    </w:p>
  </w:endnote>
  <w:endnote w:type="continuationSeparator" w:id="0">
    <w:p w14:paraId="478FA3B2" w14:textId="77777777" w:rsidR="006A6B8F" w:rsidRPr="00CF1FFE" w:rsidRDefault="006A6B8F">
      <w:r w:rsidRPr="00CF1F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5E237" w14:textId="77777777" w:rsidR="00CC16EE" w:rsidRPr="00CF1FFE" w:rsidRDefault="00CC16EE" w:rsidP="001F61EE">
    <w:pPr>
      <w:pStyle w:val="EPFooter"/>
    </w:pPr>
    <w:r w:rsidRPr="00CF1FFE">
      <w:t>PE</w:t>
    </w:r>
    <w:r w:rsidRPr="00CF1FFE">
      <w:rPr>
        <w:rStyle w:val="HideTWBExt"/>
      </w:rPr>
      <w:t>&lt;NoPE&gt;</w:t>
    </w:r>
    <w:r w:rsidRPr="00CF1FFE">
      <w:t>753.521</w:t>
    </w:r>
    <w:r w:rsidRPr="00CF1FFE">
      <w:rPr>
        <w:rStyle w:val="HideTWBExt"/>
      </w:rPr>
      <w:t>&lt;/NoPE&gt;&lt;Version&gt;</w:t>
    </w:r>
    <w:r w:rsidRPr="00CF1FFE">
      <w:t>v02-00</w:t>
    </w:r>
    <w:r w:rsidRPr="00CF1FFE">
      <w:rPr>
        <w:rStyle w:val="HideTWBExt"/>
      </w:rPr>
      <w:t>&lt;/Version&gt;</w:t>
    </w:r>
    <w:r w:rsidRPr="00CF1FFE">
      <w:tab/>
    </w:r>
    <w:r w:rsidRPr="00CF1FFE">
      <w:fldChar w:fldCharType="begin"/>
    </w:r>
    <w:r w:rsidRPr="00CF1FFE">
      <w:instrText xml:space="preserve"> PAGE  \* MERGEFORMAT </w:instrText>
    </w:r>
    <w:r w:rsidRPr="00CF1FFE">
      <w:fldChar w:fldCharType="separate"/>
    </w:r>
    <w:r w:rsidRPr="00CF1FFE">
      <w:rPr>
        <w:noProof/>
      </w:rPr>
      <w:t>4</w:t>
    </w:r>
    <w:r w:rsidRPr="00CF1FFE">
      <w:fldChar w:fldCharType="end"/>
    </w:r>
    <w:r w:rsidRPr="00CF1FFE">
      <w:t>/</w:t>
    </w:r>
    <w:r w:rsidR="00EC79ED">
      <w:fldChar w:fldCharType="begin"/>
    </w:r>
    <w:r w:rsidR="00EC79ED">
      <w:instrText xml:space="preserve"> NUMPAGES  \* MERGEFORMAT </w:instrText>
    </w:r>
    <w:r w:rsidR="00EC79ED">
      <w:fldChar w:fldCharType="separate"/>
    </w:r>
    <w:r w:rsidRPr="00CF1FFE">
      <w:rPr>
        <w:noProof/>
      </w:rPr>
      <w:t>4</w:t>
    </w:r>
    <w:r w:rsidR="00EC79ED">
      <w:rPr>
        <w:noProof/>
      </w:rPr>
      <w:fldChar w:fldCharType="end"/>
    </w:r>
    <w:r w:rsidRPr="00CF1FFE">
      <w:tab/>
    </w:r>
    <w:r w:rsidRPr="00CF1FFE">
      <w:rPr>
        <w:rStyle w:val="HideTWBExt"/>
      </w:rPr>
      <w:t>&lt;PathFdR&gt;</w:t>
    </w:r>
    <w:r w:rsidRPr="00CF1FFE">
      <w:t>RR\1298747DA.docx</w:t>
    </w:r>
    <w:r w:rsidRPr="00CF1FFE">
      <w:rPr>
        <w:rStyle w:val="HideTWBExt"/>
      </w:rPr>
      <w:t>&lt;/PathFdR&gt;</w:t>
    </w:r>
  </w:p>
  <w:p w14:paraId="09E42EFA" w14:textId="77777777" w:rsidR="00CC16EE" w:rsidRPr="00CF1FFE" w:rsidRDefault="00CC16EE" w:rsidP="001F61EE">
    <w:pPr>
      <w:pStyle w:val="EPFooter2"/>
    </w:pPr>
    <w:r w:rsidRPr="00CF1FF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1FCE9" w14:textId="77777777" w:rsidR="00CC16EE" w:rsidRPr="00CF1FFE" w:rsidRDefault="00CC16EE" w:rsidP="001F61EE">
    <w:pPr>
      <w:pStyle w:val="EPFooter"/>
    </w:pPr>
    <w:r w:rsidRPr="00CF1FFE">
      <w:rPr>
        <w:rStyle w:val="HideTWBExt"/>
      </w:rPr>
      <w:t>&lt;PathFdR&gt;</w:t>
    </w:r>
    <w:r w:rsidRPr="00CF1FFE">
      <w:t>RR\1298747DA.docx</w:t>
    </w:r>
    <w:r w:rsidRPr="00CF1FFE">
      <w:rPr>
        <w:rStyle w:val="HideTWBExt"/>
      </w:rPr>
      <w:t>&lt;/PathFdR&gt;</w:t>
    </w:r>
    <w:r w:rsidRPr="00CF1FFE">
      <w:tab/>
    </w:r>
    <w:r w:rsidRPr="00CF1FFE">
      <w:tab/>
      <w:t>PE</w:t>
    </w:r>
    <w:r w:rsidRPr="00CF1FFE">
      <w:rPr>
        <w:rStyle w:val="HideTWBExt"/>
      </w:rPr>
      <w:t>&lt;NoPE&gt;</w:t>
    </w:r>
    <w:r w:rsidRPr="00CF1FFE">
      <w:t>753.521</w:t>
    </w:r>
    <w:r w:rsidRPr="00CF1FFE">
      <w:rPr>
        <w:rStyle w:val="HideTWBExt"/>
      </w:rPr>
      <w:t>&lt;/NoPE&gt;&lt;Version&gt;</w:t>
    </w:r>
    <w:r w:rsidRPr="00CF1FFE">
      <w:t>v02-00</w:t>
    </w:r>
    <w:r w:rsidRPr="00CF1FFE">
      <w:rPr>
        <w:rStyle w:val="HideTWBExt"/>
      </w:rPr>
      <w:t>&lt;/Version&gt;</w:t>
    </w:r>
  </w:p>
  <w:p w14:paraId="39505CFF" w14:textId="77777777" w:rsidR="00CC16EE" w:rsidRPr="00CF1FFE" w:rsidRDefault="00CC16EE" w:rsidP="001F61EE">
    <w:pPr>
      <w:pStyle w:val="EPFooter2"/>
    </w:pPr>
    <w:r w:rsidRPr="00CF1FFE">
      <w:t>DA</w:t>
    </w:r>
    <w:r w:rsidRPr="00CF1FFE">
      <w:tab/>
    </w:r>
    <w:r w:rsidRPr="00CF1FFE">
      <w:rPr>
        <w:b w:val="0"/>
        <w:i/>
        <w:color w:val="C0C0C0"/>
        <w:sz w:val="22"/>
      </w:rPr>
      <w:t>Forenet i mangfoldighed</w:t>
    </w:r>
    <w:r w:rsidRPr="00CF1FF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183F8" w14:textId="77777777" w:rsidR="00064002" w:rsidRPr="00CF1FF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DBCCB" w14:textId="77777777" w:rsidR="00064002" w:rsidRPr="00CF1FF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CFDD0" w14:textId="77777777" w:rsidR="00064002" w:rsidRPr="00CF1F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2C731" w14:textId="77777777" w:rsidR="006A6B8F" w:rsidRPr="00CF1FFE" w:rsidRDefault="006A6B8F">
      <w:r w:rsidRPr="00CF1FFE">
        <w:separator/>
      </w:r>
    </w:p>
  </w:footnote>
  <w:footnote w:type="continuationSeparator" w:id="0">
    <w:p w14:paraId="00083F6C" w14:textId="77777777" w:rsidR="006A6B8F" w:rsidRPr="00CF1FFE" w:rsidRDefault="006A6B8F">
      <w:r w:rsidRPr="00CF1FFE">
        <w:continuationSeparator/>
      </w:r>
    </w:p>
  </w:footnote>
  <w:footnote w:id="1">
    <w:p w14:paraId="1C08631D" w14:textId="77777777" w:rsidR="00CC16EE" w:rsidRPr="00DD039F" w:rsidRDefault="00CC16EE" w:rsidP="00CF1FFE">
      <w:pPr>
        <w:pStyle w:val="FootnoteText"/>
        <w:ind w:left="567" w:hanging="567"/>
        <w:rPr>
          <w:sz w:val="24"/>
        </w:rPr>
      </w:pPr>
      <w:r w:rsidRPr="00CF1FFE">
        <w:rPr>
          <w:rStyle w:val="FootnoteReference"/>
          <w:sz w:val="24"/>
          <w:lang w:val="da-DK"/>
        </w:rPr>
        <w:footnoteRef/>
      </w:r>
      <w:r w:rsidR="00CF1FFE" w:rsidRPr="00DD039F">
        <w:rPr>
          <w:sz w:val="24"/>
        </w:rPr>
        <w:t xml:space="preserve"> </w:t>
      </w:r>
      <w:r w:rsidR="00CF1FFE" w:rsidRPr="00DD039F">
        <w:rPr>
          <w:sz w:val="24"/>
        </w:rPr>
        <w:tab/>
      </w:r>
      <w:r w:rsidRPr="00DD039F">
        <w:rPr>
          <w:sz w:val="24"/>
        </w:rPr>
        <w:t>EUT C, C/2023/594, 27.10.2023.</w:t>
      </w:r>
    </w:p>
  </w:footnote>
  <w:footnote w:id="2">
    <w:p w14:paraId="08CF0EC7" w14:textId="77777777" w:rsidR="00CC16EE" w:rsidRPr="00DD039F" w:rsidRDefault="00CC16EE" w:rsidP="00CF1FFE">
      <w:pPr>
        <w:pStyle w:val="FootnoteText"/>
        <w:ind w:left="567" w:hanging="567"/>
        <w:rPr>
          <w:sz w:val="24"/>
        </w:rPr>
      </w:pPr>
      <w:r w:rsidRPr="00CF1FFE">
        <w:rPr>
          <w:rStyle w:val="FootnoteReference"/>
          <w:sz w:val="24"/>
          <w:lang w:val="da-DK"/>
        </w:rPr>
        <w:footnoteRef/>
      </w:r>
      <w:r w:rsidR="00CF1FFE" w:rsidRPr="00DD039F">
        <w:rPr>
          <w:sz w:val="24"/>
        </w:rPr>
        <w:t xml:space="preserve"> </w:t>
      </w:r>
      <w:r w:rsidR="00CF1FFE" w:rsidRPr="00DD039F">
        <w:rPr>
          <w:sz w:val="24"/>
        </w:rPr>
        <w:tab/>
      </w:r>
      <w:r w:rsidRPr="00DD039F">
        <w:rPr>
          <w:sz w:val="24"/>
        </w:rPr>
        <w:t>EUT C, C/2023/112, 12.10.2023.</w:t>
      </w:r>
    </w:p>
  </w:footnote>
  <w:footnote w:id="3">
    <w:p w14:paraId="0A76A776" w14:textId="77777777" w:rsidR="00CC16EE" w:rsidRPr="00CF1FFE" w:rsidRDefault="00CC16EE" w:rsidP="00CF1FFE">
      <w:pPr>
        <w:pStyle w:val="FootnoteText"/>
        <w:ind w:left="567" w:hanging="567"/>
        <w:rPr>
          <w:sz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EUT L 193 af 30.7.2018, s. 1.</w:t>
      </w:r>
    </w:p>
  </w:footnote>
  <w:footnote w:id="4">
    <w:p w14:paraId="05031211" w14:textId="77777777" w:rsidR="00CC16EE" w:rsidRPr="00CF1FFE" w:rsidRDefault="00CC16EE" w:rsidP="00CF1FFE">
      <w:pPr>
        <w:pStyle w:val="FootnoteText"/>
        <w:ind w:left="567" w:hanging="567"/>
        <w:rPr>
          <w:sz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EUT L 331 af 15.12.2010, s. 48.</w:t>
      </w:r>
    </w:p>
  </w:footnote>
  <w:footnote w:id="5">
    <w:p w14:paraId="61D8D27E" w14:textId="77777777" w:rsidR="00CC16EE" w:rsidRPr="00CF1FFE" w:rsidRDefault="00CC16EE" w:rsidP="00CF1FFE">
      <w:pPr>
        <w:pStyle w:val="FootnoteText"/>
        <w:ind w:left="567" w:hanging="567"/>
        <w:rPr>
          <w:sz w:val="24"/>
          <w:szCs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EUT L 122 af 10.5.2019, s. 1.</w:t>
      </w:r>
    </w:p>
  </w:footnote>
  <w:footnote w:id="6">
    <w:p w14:paraId="56100E14" w14:textId="77777777" w:rsidR="00CC16EE" w:rsidRPr="00CF1FFE" w:rsidRDefault="00CC16EE" w:rsidP="00CF1FFE">
      <w:pPr>
        <w:pStyle w:val="FootnoteText"/>
        <w:ind w:left="567" w:hanging="567"/>
        <w:rPr>
          <w:sz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EUT C, C/2023/594, 27.10.2023.</w:t>
      </w:r>
    </w:p>
  </w:footnote>
  <w:footnote w:id="7">
    <w:p w14:paraId="40F8FB18" w14:textId="77777777" w:rsidR="00CC16EE" w:rsidRPr="00DD039F" w:rsidRDefault="00CC16EE" w:rsidP="00CF1FFE">
      <w:pPr>
        <w:pStyle w:val="FootnoteText"/>
        <w:ind w:left="567" w:hanging="567"/>
        <w:rPr>
          <w:sz w:val="24"/>
        </w:rPr>
      </w:pPr>
      <w:r w:rsidRPr="00CF1FFE">
        <w:rPr>
          <w:rStyle w:val="FootnoteReference"/>
          <w:sz w:val="24"/>
          <w:lang w:val="da-DK"/>
        </w:rPr>
        <w:footnoteRef/>
      </w:r>
      <w:r w:rsidR="00CF1FFE" w:rsidRPr="00DD039F">
        <w:rPr>
          <w:sz w:val="24"/>
        </w:rPr>
        <w:t xml:space="preserve"> </w:t>
      </w:r>
      <w:r w:rsidR="00CF1FFE" w:rsidRPr="00DD039F">
        <w:rPr>
          <w:sz w:val="24"/>
        </w:rPr>
        <w:tab/>
      </w:r>
      <w:r w:rsidRPr="00DD039F">
        <w:rPr>
          <w:sz w:val="24"/>
        </w:rPr>
        <w:t>EUT C, C/2023/112, 12.10.2023.</w:t>
      </w:r>
    </w:p>
  </w:footnote>
  <w:footnote w:id="8">
    <w:p w14:paraId="2AC59BCA" w14:textId="77777777" w:rsidR="00CC16EE" w:rsidRPr="00DD039F" w:rsidRDefault="00CC16EE" w:rsidP="00CF1FFE">
      <w:pPr>
        <w:pStyle w:val="FootnoteText"/>
        <w:ind w:left="567" w:hanging="567"/>
        <w:rPr>
          <w:sz w:val="24"/>
        </w:rPr>
      </w:pPr>
      <w:r w:rsidRPr="00CF1FFE">
        <w:rPr>
          <w:rStyle w:val="FootnoteReference"/>
          <w:sz w:val="24"/>
          <w:lang w:val="da-DK"/>
        </w:rPr>
        <w:footnoteRef/>
      </w:r>
      <w:r w:rsidR="00CF1FFE" w:rsidRPr="00DD039F">
        <w:rPr>
          <w:sz w:val="24"/>
        </w:rPr>
        <w:t xml:space="preserve"> </w:t>
      </w:r>
      <w:r w:rsidR="00CF1FFE" w:rsidRPr="00DD039F">
        <w:rPr>
          <w:sz w:val="24"/>
        </w:rPr>
        <w:tab/>
      </w:r>
      <w:r w:rsidRPr="00DD039F">
        <w:rPr>
          <w:sz w:val="24"/>
        </w:rPr>
        <w:t>EUT L 193 af 30.7.2018, s. 1.</w:t>
      </w:r>
    </w:p>
  </w:footnote>
  <w:footnote w:id="9">
    <w:p w14:paraId="79F66693" w14:textId="77777777" w:rsidR="00CC16EE" w:rsidRPr="00CF1FFE" w:rsidRDefault="00CC16EE" w:rsidP="00CF1FFE">
      <w:pPr>
        <w:pStyle w:val="FootnoteText"/>
        <w:ind w:left="567" w:hanging="567"/>
        <w:rPr>
          <w:sz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EUT L 331 af 15.12.2010, s. 48.</w:t>
      </w:r>
    </w:p>
  </w:footnote>
  <w:footnote w:id="10">
    <w:p w14:paraId="7CCA1F91" w14:textId="77777777" w:rsidR="00CC16EE" w:rsidRPr="00CF1FFE" w:rsidRDefault="00CC16EE" w:rsidP="00CF1FFE">
      <w:pPr>
        <w:pStyle w:val="FootnoteText"/>
        <w:ind w:left="567" w:hanging="567"/>
        <w:rPr>
          <w:sz w:val="24"/>
          <w:szCs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EUT L 122 af 10.5.2019, s. 1.</w:t>
      </w:r>
    </w:p>
  </w:footnote>
  <w:footnote w:id="11">
    <w:p w14:paraId="7129FBC7" w14:textId="77777777" w:rsidR="00CC16EE" w:rsidRPr="00CF1FFE" w:rsidRDefault="00CC16EE" w:rsidP="00CF1FFE">
      <w:pPr>
        <w:pStyle w:val="FootnoteText"/>
        <w:ind w:left="567" w:hanging="567"/>
        <w:rPr>
          <w:sz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EUT C 38 af 31.1.2023, s. 78.</w:t>
      </w:r>
    </w:p>
  </w:footnote>
  <w:footnote w:id="12">
    <w:p w14:paraId="72ACF61A" w14:textId="539F5B15" w:rsidR="00CC16EE" w:rsidRPr="00CF1FFE" w:rsidRDefault="00CC16EE" w:rsidP="00CF1FFE">
      <w:pPr>
        <w:pStyle w:val="FootnoteText"/>
        <w:ind w:left="567" w:hanging="567"/>
        <w:rPr>
          <w:sz w:val="24"/>
          <w:lang w:val="da-DK"/>
        </w:rPr>
      </w:pPr>
      <w:r w:rsidRPr="00CF1FFE">
        <w:rPr>
          <w:rStyle w:val="FootnoteReference"/>
          <w:sz w:val="24"/>
          <w:lang w:val="da-DK"/>
        </w:rPr>
        <w:footnoteRef/>
      </w:r>
      <w:r w:rsidR="00CF1FFE" w:rsidRPr="00CF1FFE">
        <w:rPr>
          <w:sz w:val="24"/>
          <w:lang w:val="da-DK"/>
        </w:rPr>
        <w:t xml:space="preserve"> </w:t>
      </w:r>
      <w:r w:rsidR="00CF1FFE" w:rsidRPr="00CF1FFE">
        <w:rPr>
          <w:sz w:val="24"/>
          <w:lang w:val="da-DK"/>
        </w:rPr>
        <w:tab/>
      </w:r>
      <w:r w:rsidRPr="00CF1FFE">
        <w:rPr>
          <w:sz w:val="24"/>
          <w:lang w:val="da-DK"/>
        </w:rPr>
        <w:t>Vedtagne tekster, P9_TA (2024)</w:t>
      </w:r>
      <w:r w:rsidR="00EC79ED">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81DB8" w14:textId="77777777" w:rsidR="00064002" w:rsidRPr="00CF1F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D06F7" w14:textId="77777777" w:rsidR="00064002" w:rsidRPr="00CF1F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75138" w14:textId="77777777" w:rsidR="00064002" w:rsidRPr="00CF1F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DA"/>
    <w:docVar w:name="dvnumam" w:val="0"/>
    <w:docVar w:name="dvpe" w:val="753.521"/>
    <w:docVar w:name="dvrapporteur" w:val="Ordfører: "/>
    <w:docVar w:name="dvtitre" w:val="1. Europa-Parlamentets afgørelse af 11. april 2024 om decharge for gennemførelsen af budgettet for Den Europæiske Tilsynsmyndighed for Forsikrings- og Arbejdsmarkedspensionsordninger for regnskabsåret 2022(2023/2153(DEC))"/>
  </w:docVars>
  <w:rsids>
    <w:rsidRoot w:val="006A6B8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6B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B5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6EE"/>
    <w:rsid w:val="00CC2357"/>
    <w:rsid w:val="00CF071A"/>
    <w:rsid w:val="00CF1FFE"/>
    <w:rsid w:val="00D058B8"/>
    <w:rsid w:val="00D56C11"/>
    <w:rsid w:val="00D834A0"/>
    <w:rsid w:val="00D872DF"/>
    <w:rsid w:val="00D91E21"/>
    <w:rsid w:val="00DA7FCD"/>
    <w:rsid w:val="00DC356D"/>
    <w:rsid w:val="00DD039F"/>
    <w:rsid w:val="00E365E1"/>
    <w:rsid w:val="00E820A4"/>
    <w:rsid w:val="00EB006A"/>
    <w:rsid w:val="00EB4772"/>
    <w:rsid w:val="00EC79E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0A9BC"/>
  <w15:chartTrackingRefBased/>
  <w15:docId w15:val="{0C351632-3611-46B4-BC2F-627A628C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16E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16EE"/>
    <w:pPr>
      <w:spacing w:before="480" w:after="240"/>
    </w:pPr>
  </w:style>
  <w:style w:type="paragraph" w:customStyle="1" w:styleId="PageHeading">
    <w:name w:val="PageHeading"/>
    <w:basedOn w:val="Normal"/>
    <w:rsid w:val="00CC16EE"/>
    <w:pPr>
      <w:keepNext/>
      <w:spacing w:after="480"/>
      <w:jc w:val="center"/>
    </w:pPr>
    <w:rPr>
      <w:rFonts w:ascii="Arial" w:hAnsi="Arial" w:cs="Arial"/>
      <w:b/>
    </w:rPr>
  </w:style>
  <w:style w:type="paragraph" w:customStyle="1" w:styleId="NormalBold">
    <w:name w:val="NormalBold"/>
    <w:basedOn w:val="Normal"/>
    <w:rsid w:val="00CC16EE"/>
    <w:rPr>
      <w:b/>
    </w:rPr>
  </w:style>
  <w:style w:type="paragraph" w:customStyle="1" w:styleId="NormalHanging12a">
    <w:name w:val="NormalHanging12a"/>
    <w:basedOn w:val="Normal"/>
    <w:link w:val="NormalHanging12aChar"/>
    <w:rsid w:val="00CC16EE"/>
    <w:pPr>
      <w:spacing w:after="240"/>
      <w:ind w:left="567" w:hanging="567"/>
    </w:pPr>
  </w:style>
  <w:style w:type="paragraph" w:customStyle="1" w:styleId="NormalCenter12a">
    <w:name w:val="NormalCenter12a"/>
    <w:basedOn w:val="Normal"/>
    <w:rsid w:val="00CC16EE"/>
    <w:pPr>
      <w:spacing w:after="240"/>
      <w:jc w:val="center"/>
    </w:pPr>
  </w:style>
  <w:style w:type="paragraph" w:styleId="Header">
    <w:name w:val="header"/>
    <w:basedOn w:val="Normal"/>
    <w:link w:val="HeaderChar"/>
    <w:rsid w:val="00CC16EE"/>
    <w:pPr>
      <w:tabs>
        <w:tab w:val="center" w:pos="4513"/>
        <w:tab w:val="right" w:pos="9026"/>
      </w:tabs>
    </w:pPr>
  </w:style>
  <w:style w:type="character" w:customStyle="1" w:styleId="HeaderChar">
    <w:name w:val="Header Char"/>
    <w:basedOn w:val="DefaultParagraphFont"/>
    <w:link w:val="Header"/>
    <w:rsid w:val="00CC16EE"/>
    <w:rPr>
      <w:sz w:val="24"/>
      <w:lang w:val="da-DK"/>
    </w:rPr>
  </w:style>
  <w:style w:type="paragraph" w:customStyle="1" w:styleId="EPFooter">
    <w:name w:val="EPFooter"/>
    <w:basedOn w:val="Normal"/>
    <w:rsid w:val="00CC16E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C16EE"/>
    <w:rPr>
      <w:sz w:val="24"/>
      <w:lang w:val="da-DK"/>
    </w:rPr>
  </w:style>
  <w:style w:type="paragraph" w:styleId="Footer">
    <w:name w:val="footer"/>
    <w:basedOn w:val="Normal"/>
    <w:link w:val="FooterChar"/>
    <w:rsid w:val="00995B5E"/>
    <w:pPr>
      <w:tabs>
        <w:tab w:val="center" w:pos="4513"/>
        <w:tab w:val="right" w:pos="9026"/>
      </w:tabs>
    </w:pPr>
  </w:style>
  <w:style w:type="character" w:customStyle="1" w:styleId="FooterChar">
    <w:name w:val="Footer Char"/>
    <w:basedOn w:val="DefaultParagraphFont"/>
    <w:link w:val="Footer"/>
    <w:rsid w:val="00995B5E"/>
    <w:rPr>
      <w:sz w:val="24"/>
      <w:lang w:val="da-DK"/>
    </w:rPr>
  </w:style>
  <w:style w:type="character" w:styleId="CommentReference">
    <w:name w:val="annotation reference"/>
    <w:basedOn w:val="DefaultParagraphFont"/>
    <w:rsid w:val="00DC356D"/>
    <w:rPr>
      <w:sz w:val="16"/>
      <w:szCs w:val="16"/>
    </w:rPr>
  </w:style>
  <w:style w:type="paragraph" w:styleId="CommentText">
    <w:name w:val="annotation text"/>
    <w:basedOn w:val="Normal"/>
    <w:link w:val="CommentTextChar"/>
    <w:rsid w:val="00DC356D"/>
    <w:rPr>
      <w:sz w:val="20"/>
    </w:rPr>
  </w:style>
  <w:style w:type="character" w:customStyle="1" w:styleId="CommentTextChar">
    <w:name w:val="Comment Text Char"/>
    <w:basedOn w:val="DefaultParagraphFont"/>
    <w:link w:val="CommentText"/>
    <w:rsid w:val="00DC356D"/>
    <w:rPr>
      <w:lang w:val="da-DK"/>
    </w:rPr>
  </w:style>
  <w:style w:type="paragraph" w:styleId="CommentSubject">
    <w:name w:val="annotation subject"/>
    <w:basedOn w:val="CommentText"/>
    <w:next w:val="CommentText"/>
    <w:link w:val="CommentSubjectChar"/>
    <w:rsid w:val="00DC356D"/>
    <w:rPr>
      <w:b/>
      <w:bCs/>
    </w:rPr>
  </w:style>
  <w:style w:type="character" w:customStyle="1" w:styleId="CommentSubjectChar">
    <w:name w:val="Comment Subject Char"/>
    <w:basedOn w:val="CommentTextChar"/>
    <w:link w:val="CommentSubject"/>
    <w:rsid w:val="00DC356D"/>
    <w:rPr>
      <w:b/>
      <w:bCs/>
      <w:lang w:val="da-DK"/>
    </w:rPr>
  </w:style>
  <w:style w:type="paragraph" w:styleId="BalloonText">
    <w:name w:val="Balloon Text"/>
    <w:basedOn w:val="Normal"/>
    <w:link w:val="BalloonTextChar"/>
    <w:rsid w:val="00DC356D"/>
    <w:rPr>
      <w:rFonts w:ascii="Segoe UI" w:hAnsi="Segoe UI" w:cs="Segoe UI"/>
      <w:sz w:val="18"/>
      <w:szCs w:val="18"/>
    </w:rPr>
  </w:style>
  <w:style w:type="character" w:customStyle="1" w:styleId="BalloonTextChar">
    <w:name w:val="Balloon Text Char"/>
    <w:basedOn w:val="DefaultParagraphFont"/>
    <w:link w:val="BalloonText"/>
    <w:rsid w:val="00DC356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87A60-DC37-4562-86E7-87B3739CB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3176</Words>
  <Characters>20964</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2024-04-11T12:11:00Z</dcterms:created>
  <dcterms:modified xsi:type="dcterms:W3CDTF">2024-04-11T12:11:00Z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A9-0097/2024</vt:lpwstr>
  </property>
  <property fmtid="{D5CDD505-2E9C-101B-9397-08002B2CF9AE}" pid="4" name="&lt;Type&gt;">
    <vt:lpwstr>RR</vt:lpwstr>
  </property>
</Properties>
</file>