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7401E" w:rsidTr="0010095E">
        <w:trPr>
          <w:trHeight w:hRule="exact" w:val="1418"/>
        </w:trPr>
        <w:tc>
          <w:tcPr>
            <w:tcW w:w="6804" w:type="dxa"/>
            <w:shd w:val="clear" w:color="auto" w:fill="auto"/>
            <w:vAlign w:val="center"/>
          </w:tcPr>
          <w:p w:rsidR="00751A4A" w:rsidRPr="0067401E" w:rsidRDefault="000D27E0" w:rsidP="0010095E">
            <w:pPr>
              <w:pStyle w:val="EPName"/>
            </w:pPr>
            <w:r w:rsidRPr="0067401E">
              <w:t>Euroopa Parlament</w:t>
            </w:r>
          </w:p>
          <w:p w:rsidR="00751A4A" w:rsidRPr="0067401E" w:rsidRDefault="00817416" w:rsidP="00756632">
            <w:pPr>
              <w:pStyle w:val="EPTerm"/>
              <w:rPr>
                <w:rStyle w:val="HideTWBExt"/>
                <w:noProof w:val="0"/>
                <w:vanish w:val="0"/>
                <w:color w:val="auto"/>
              </w:rPr>
            </w:pPr>
            <w:r w:rsidRPr="0067401E">
              <w:t>2019-2024</w:t>
            </w:r>
          </w:p>
        </w:tc>
        <w:tc>
          <w:tcPr>
            <w:tcW w:w="2268" w:type="dxa"/>
            <w:shd w:val="clear" w:color="auto" w:fill="auto"/>
          </w:tcPr>
          <w:p w:rsidR="00751A4A" w:rsidRPr="0067401E" w:rsidRDefault="00187494" w:rsidP="0010095E">
            <w:pPr>
              <w:pStyle w:val="EPLogo"/>
            </w:pPr>
            <w:r w:rsidRPr="0067401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7401E" w:rsidRDefault="00D058B8" w:rsidP="004C5D52">
      <w:pPr>
        <w:pStyle w:val="LineTop"/>
      </w:pPr>
    </w:p>
    <w:p w:rsidR="00680577" w:rsidRPr="0067401E" w:rsidRDefault="000D27E0" w:rsidP="00680577">
      <w:pPr>
        <w:pStyle w:val="EPBodyTA1"/>
      </w:pPr>
      <w:r w:rsidRPr="0067401E">
        <w:t>VASTUVÕETUD TEKSTID</w:t>
      </w:r>
    </w:p>
    <w:p w:rsidR="00D058B8" w:rsidRPr="0067401E" w:rsidRDefault="00D058B8" w:rsidP="00D058B8">
      <w:pPr>
        <w:pStyle w:val="LineBottom"/>
      </w:pPr>
    </w:p>
    <w:p w:rsidR="000D27E0" w:rsidRPr="0067401E" w:rsidRDefault="000D27E0" w:rsidP="000D27E0">
      <w:pPr>
        <w:pStyle w:val="ATHeading1"/>
      </w:pPr>
      <w:bookmarkStart w:id="0" w:name="TANumber"/>
      <w:r w:rsidRPr="0067401E">
        <w:t>P9_TA(2024)0</w:t>
      </w:r>
      <w:r w:rsidR="000F3F8A" w:rsidRPr="0067401E">
        <w:t>263</w:t>
      </w:r>
      <w:bookmarkEnd w:id="0"/>
    </w:p>
    <w:p w:rsidR="000D27E0" w:rsidRPr="0067401E" w:rsidRDefault="00682DCC" w:rsidP="000D27E0">
      <w:pPr>
        <w:pStyle w:val="ATHeading2"/>
      </w:pPr>
      <w:bookmarkStart w:id="1" w:name="title"/>
      <w:r w:rsidRPr="0067401E">
        <w:t>2022. </w:t>
      </w:r>
      <w:r w:rsidR="000D27E0" w:rsidRPr="0067401E">
        <w:t>aasta eelarve täitmisele heakskiidu andmine – Euroopa Kindlustus- ja Tööandjapensionide Järelevalve</w:t>
      </w:r>
      <w:bookmarkEnd w:id="1"/>
    </w:p>
    <w:p w:rsidR="000D27E0" w:rsidRPr="0067401E" w:rsidRDefault="000D27E0" w:rsidP="000D27E0">
      <w:pPr>
        <w:rPr>
          <w:i/>
          <w:vanish/>
        </w:rPr>
      </w:pPr>
      <w:r w:rsidRPr="0067401E">
        <w:rPr>
          <w:i/>
        </w:rPr>
        <w:fldChar w:fldCharType="begin"/>
      </w:r>
      <w:r w:rsidRPr="0067401E">
        <w:rPr>
          <w:i/>
        </w:rPr>
        <w:instrText xml:space="preserve"> TC"(</w:instrText>
      </w:r>
      <w:bookmarkStart w:id="2" w:name="DocNumber"/>
      <w:r w:rsidRPr="0067401E">
        <w:rPr>
          <w:i/>
        </w:rPr>
        <w:instrText>A9-0097/2024</w:instrText>
      </w:r>
      <w:bookmarkEnd w:id="2"/>
      <w:r w:rsidRPr="0067401E">
        <w:rPr>
          <w:i/>
        </w:rPr>
        <w:instrText xml:space="preserve"> - Raportöör: Petri Sarvamaa)"\l3 \n&gt; \* MERGEFORMAT </w:instrText>
      </w:r>
      <w:r w:rsidRPr="0067401E">
        <w:rPr>
          <w:i/>
        </w:rPr>
        <w:fldChar w:fldCharType="end"/>
      </w:r>
    </w:p>
    <w:p w:rsidR="000D27E0" w:rsidRPr="0067401E" w:rsidRDefault="000D27E0" w:rsidP="000D27E0">
      <w:pPr>
        <w:rPr>
          <w:vanish/>
        </w:rPr>
      </w:pPr>
      <w:bookmarkStart w:id="3" w:name="Commission"/>
      <w:r w:rsidRPr="0067401E">
        <w:rPr>
          <w:vanish/>
        </w:rPr>
        <w:t>Eelarvekontrollikomisjon</w:t>
      </w:r>
      <w:bookmarkEnd w:id="3"/>
    </w:p>
    <w:p w:rsidR="000D27E0" w:rsidRPr="0067401E" w:rsidRDefault="000D27E0" w:rsidP="000D27E0">
      <w:pPr>
        <w:rPr>
          <w:vanish/>
        </w:rPr>
      </w:pPr>
      <w:bookmarkStart w:id="4" w:name="PE"/>
      <w:r w:rsidRPr="0067401E">
        <w:rPr>
          <w:vanish/>
        </w:rPr>
        <w:t>PE753.521</w:t>
      </w:r>
      <w:bookmarkEnd w:id="4"/>
    </w:p>
    <w:p w:rsidR="000D27E0" w:rsidRPr="0067401E" w:rsidRDefault="00682DCC" w:rsidP="000D27E0">
      <w:pPr>
        <w:pStyle w:val="ATHeading3"/>
      </w:pPr>
      <w:bookmarkStart w:id="5" w:name="Sujet"/>
      <w:r w:rsidRPr="0067401E">
        <w:t>1. Euroopa Parlamendi 11</w:t>
      </w:r>
      <w:r w:rsidR="000D27E0" w:rsidRPr="0067401E">
        <w:t>.</w:t>
      </w:r>
      <w:r w:rsidRPr="0067401E">
        <w:t> aprilli 2024. </w:t>
      </w:r>
      <w:r w:rsidR="000D27E0" w:rsidRPr="0067401E">
        <w:t>aasta otsus Euroopa Kindlustus- ja Tööan</w:t>
      </w:r>
      <w:r w:rsidRPr="0067401E">
        <w:t>djapensionide Järelevalve 2022. </w:t>
      </w:r>
      <w:r w:rsidR="000D27E0" w:rsidRPr="0067401E">
        <w:t>aasta eelarve täitmisele heakskiidu andmise kohta</w:t>
      </w:r>
      <w:bookmarkEnd w:id="5"/>
      <w:r w:rsidR="000D27E0" w:rsidRPr="0067401E">
        <w:t xml:space="preserve"> </w:t>
      </w:r>
      <w:bookmarkStart w:id="6" w:name="References"/>
      <w:r w:rsidR="000D27E0" w:rsidRPr="0067401E">
        <w:t>(2023/2153(DEC))</w:t>
      </w:r>
      <w:bookmarkEnd w:id="6"/>
    </w:p>
    <w:p w:rsidR="000D2A42" w:rsidRPr="0067401E" w:rsidRDefault="000D2A42" w:rsidP="000D2A42">
      <w:pPr>
        <w:pStyle w:val="EPComma"/>
      </w:pPr>
      <w:bookmarkStart w:id="7" w:name="TextBodyBegin"/>
      <w:bookmarkEnd w:id="7"/>
      <w:r w:rsidRPr="0067401E">
        <w:rPr>
          <w:i/>
        </w:rPr>
        <w:t>Euroopa Parlament</w:t>
      </w:r>
      <w:r w:rsidRPr="0067401E">
        <w:t>,</w:t>
      </w:r>
      <w:bookmarkStart w:id="8" w:name="_GoBack"/>
      <w:bookmarkEnd w:id="8"/>
    </w:p>
    <w:p w:rsidR="000D2A42" w:rsidRPr="0067401E" w:rsidRDefault="000D2A42" w:rsidP="000D2A42">
      <w:pPr>
        <w:pStyle w:val="NormalHanging12a"/>
      </w:pPr>
      <w:r w:rsidRPr="0067401E">
        <w:t>–</w:t>
      </w:r>
      <w:r w:rsidRPr="0067401E">
        <w:tab/>
        <w:t>võttes arvesse Euroopa Kindlustus- ja Tööandjapensionide Järelevalve 2022. aasta lõplikku raamatupidamisaruannet,</w:t>
      </w:r>
    </w:p>
    <w:p w:rsidR="000D2A42" w:rsidRPr="0067401E" w:rsidRDefault="000D2A42" w:rsidP="000D2A42">
      <w:pPr>
        <w:pStyle w:val="NormalHanging12a"/>
      </w:pPr>
      <w:r w:rsidRPr="0067401E">
        <w:t>–</w:t>
      </w:r>
      <w:r w:rsidRPr="0067401E">
        <w:tab/>
        <w:t>võttes arvesse kontrollikoja aastaaruannet ELi asutuste eelarveaasta 2022 kohta koos asutuste vastustega</w:t>
      </w:r>
      <w:r w:rsidRPr="0067401E">
        <w:rPr>
          <w:rStyle w:val="FootnoteReference"/>
        </w:rPr>
        <w:footnoteReference w:id="1"/>
      </w:r>
      <w:r w:rsidRPr="0067401E">
        <w:t>,</w:t>
      </w:r>
    </w:p>
    <w:p w:rsidR="000D2A42" w:rsidRPr="0067401E" w:rsidRDefault="000D2A42" w:rsidP="000D2A42">
      <w:pPr>
        <w:pStyle w:val="NormalHanging12a"/>
      </w:pPr>
      <w:r w:rsidRPr="0067401E">
        <w:t>–</w:t>
      </w:r>
      <w:r w:rsidRPr="0067401E">
        <w:tab/>
        <w:t>võttes arvesse vastavalt Euroopa Liidu toimimise lepingu artiklile 287 tehtud kontrollikoja kinnitavat avaldust</w:t>
      </w:r>
      <w:r w:rsidRPr="0067401E">
        <w:rPr>
          <w:rStyle w:val="FootnoteReference"/>
        </w:rPr>
        <w:footnoteReference w:id="2"/>
      </w:r>
      <w:r w:rsidRPr="0067401E">
        <w:t xml:space="preserve"> 2022. aasta raamatupidamise aastaaruande usaldusväärsuse ja selle aluseks olevate tehingute seaduslikkuse ja korrektsuse kohta,</w:t>
      </w:r>
    </w:p>
    <w:p w:rsidR="000D2A42" w:rsidRPr="0067401E" w:rsidRDefault="000D2A42" w:rsidP="000D2A42">
      <w:pPr>
        <w:pStyle w:val="NormalHanging12a"/>
      </w:pPr>
      <w:r w:rsidRPr="0067401E">
        <w:t>–</w:t>
      </w:r>
      <w:r w:rsidRPr="0067401E">
        <w:tab/>
        <w:t>võttes arvesse nõukogu 22. veebruari 2024. aasta soovitust asutuse tegevusele heakskiidu andmise kohta 2022. aasta eelarve täitmisel (</w:t>
      </w:r>
      <w:r w:rsidR="00682DCC" w:rsidRPr="0067401E">
        <w:t>06180</w:t>
      </w:r>
      <w:r w:rsidRPr="0067401E">
        <w:t>/2024 – C9</w:t>
      </w:r>
      <w:r w:rsidRPr="0067401E">
        <w:noBreakHyphen/>
      </w:r>
      <w:r w:rsidR="00682DCC" w:rsidRPr="0067401E">
        <w:t>0091</w:t>
      </w:r>
      <w:r w:rsidRPr="0067401E">
        <w:t>/2024),</w:t>
      </w:r>
    </w:p>
    <w:p w:rsidR="000D2A42" w:rsidRPr="0067401E" w:rsidRDefault="000D2A42" w:rsidP="000D2A42">
      <w:pPr>
        <w:pStyle w:val="NormalHanging12a"/>
      </w:pPr>
      <w:r w:rsidRPr="0067401E">
        <w:t>–</w:t>
      </w:r>
      <w:r w:rsidRPr="0067401E">
        <w:tab/>
        <w:t>võttes arvesse Euroopa Liidu toimimise lepingu artiklit 319,</w:t>
      </w:r>
    </w:p>
    <w:p w:rsidR="000D2A42" w:rsidRPr="0067401E" w:rsidRDefault="000D2A42" w:rsidP="000D2A42">
      <w:pPr>
        <w:pStyle w:val="NormalHanging12a"/>
      </w:pPr>
      <w:r w:rsidRPr="0067401E">
        <w:t>–</w:t>
      </w:r>
      <w:r w:rsidRPr="0067401E">
        <w:tab/>
        <w:t xml:space="preserve">võttes arvesse Euroopa Parlamendi ja nõukogu 18. juuli 2018. aasta määrust (EL, Euratom) 2018/1046 (mis käsitleb liidu </w:t>
      </w:r>
      <w:proofErr w:type="spellStart"/>
      <w:r w:rsidRPr="0067401E">
        <w:t>üldeelarve</w:t>
      </w:r>
      <w:proofErr w:type="spellEnd"/>
      <w:r w:rsidRPr="0067401E">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67401E">
        <w:rPr>
          <w:rStyle w:val="FootnoteReference"/>
        </w:rPr>
        <w:footnoteReference w:id="3"/>
      </w:r>
      <w:r w:rsidRPr="0067401E">
        <w:t>, eriti selle artiklit 70,</w:t>
      </w:r>
    </w:p>
    <w:p w:rsidR="000D2A42" w:rsidRPr="0067401E" w:rsidRDefault="000D2A42" w:rsidP="000D2A42">
      <w:pPr>
        <w:pStyle w:val="NormalHanging12a"/>
      </w:pPr>
      <w:r w:rsidRPr="0067401E">
        <w:t>–</w:t>
      </w:r>
      <w:r w:rsidRPr="0067401E">
        <w:tab/>
        <w:t xml:space="preserve">võttes arvesse Euroopa Parlamendi ja nõukogu 24. novembri 2010. aasta määrust (EL) </w:t>
      </w:r>
      <w:r w:rsidRPr="0067401E">
        <w:lastRenderedPageBreak/>
        <w:t>nr 1094/2010 (millega asutatakse Euroopa Järelevalveasutus (Euroopa Kindlustus- ja Tööandjapensionide Järelevalve), muudetakse otsust nr 716/2009/EÜ ning tunnistatakse kehtetuks komisjoni otsus 2009/79/EÜ)</w:t>
      </w:r>
      <w:r w:rsidRPr="0067401E">
        <w:rPr>
          <w:rStyle w:val="FootnoteReference"/>
        </w:rPr>
        <w:footnoteReference w:id="4"/>
      </w:r>
      <w:r w:rsidRPr="0067401E">
        <w:t>, eriti selle artiklit 64,</w:t>
      </w:r>
    </w:p>
    <w:p w:rsidR="000D2A42" w:rsidRPr="0067401E" w:rsidRDefault="000D2A42" w:rsidP="000D2A42">
      <w:pPr>
        <w:pStyle w:val="NormalHanging12a"/>
      </w:pPr>
      <w:r w:rsidRPr="0067401E">
        <w:t>–</w:t>
      </w:r>
      <w:r w:rsidRPr="0067401E">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67401E">
        <w:rPr>
          <w:rStyle w:val="FootnoteReference"/>
        </w:rPr>
        <w:footnoteReference w:id="5"/>
      </w:r>
      <w:r w:rsidRPr="0067401E">
        <w:t>, eriti selle artiklit 105,</w:t>
      </w:r>
    </w:p>
    <w:p w:rsidR="000D2A42" w:rsidRPr="0067401E" w:rsidRDefault="000D2A42" w:rsidP="000D2A42">
      <w:pPr>
        <w:pStyle w:val="NormalHanging12a"/>
      </w:pPr>
      <w:r w:rsidRPr="0067401E">
        <w:t>–</w:t>
      </w:r>
      <w:r w:rsidRPr="0067401E">
        <w:tab/>
        <w:t>võttes arvesse kodukorra artiklit 100 ja V lisa,</w:t>
      </w:r>
    </w:p>
    <w:p w:rsidR="000D2A42" w:rsidRPr="0067401E" w:rsidRDefault="000D2A42" w:rsidP="000D2A42">
      <w:pPr>
        <w:pStyle w:val="NormalHanging12a"/>
      </w:pPr>
      <w:r w:rsidRPr="0067401E">
        <w:t>–</w:t>
      </w:r>
      <w:r w:rsidRPr="0067401E">
        <w:tab/>
        <w:t>võttes arvesse eelarvekontrollikomisjoni raportit (A9-0097/2024),</w:t>
      </w:r>
    </w:p>
    <w:p w:rsidR="000D2A42" w:rsidRPr="0067401E" w:rsidRDefault="000D2A42" w:rsidP="000D2A42">
      <w:pPr>
        <w:pStyle w:val="NormalHanging12a"/>
      </w:pPr>
      <w:r w:rsidRPr="0067401E">
        <w:t>1.</w:t>
      </w:r>
      <w:r w:rsidRPr="0067401E">
        <w:tab/>
        <w:t>annab heakskiidu Euroopa Kindlustus- ja Tööandjapensionide Järelevalve tegevdirektori tegevusele asutuse 2022. aasta eelarve täitmisel;</w:t>
      </w:r>
    </w:p>
    <w:p w:rsidR="000D2A42" w:rsidRPr="0067401E" w:rsidRDefault="000D2A42" w:rsidP="000D2A42">
      <w:pPr>
        <w:pStyle w:val="NormalHanging12a"/>
      </w:pPr>
      <w:r w:rsidRPr="0067401E">
        <w:t>2.</w:t>
      </w:r>
      <w:r w:rsidRPr="0067401E">
        <w:tab/>
        <w:t xml:space="preserve">esitab oma tähelepanekud </w:t>
      </w:r>
      <w:proofErr w:type="spellStart"/>
      <w:r w:rsidRPr="0067401E">
        <w:t>alltoodud</w:t>
      </w:r>
      <w:proofErr w:type="spellEnd"/>
      <w:r w:rsidRPr="0067401E">
        <w:t xml:space="preserve"> resolutsioonis;</w:t>
      </w:r>
    </w:p>
    <w:p w:rsidR="000D2A42" w:rsidRPr="0067401E" w:rsidRDefault="000D2A42" w:rsidP="000D2A42">
      <w:pPr>
        <w:pStyle w:val="NormalHanging12a"/>
      </w:pPr>
      <w:r w:rsidRPr="0067401E">
        <w:t>3.</w:t>
      </w:r>
      <w:r w:rsidRPr="0067401E">
        <w:tab/>
        <w:t xml:space="preserve">teeb presidendile ülesandeks edastada käesolev otsus ja resolutsioon, mis on selle lahutamatu osa, Euroopa Kindlustus- ja Tööandjapensionide Järelevalve tegevdirektorile, nõukogule, komisjonile ja kontrollikojale ning korraldada nende avaldamine </w:t>
      </w:r>
      <w:r w:rsidRPr="0067401E">
        <w:rPr>
          <w:i/>
        </w:rPr>
        <w:t>Euroopa Liidu Teatajas</w:t>
      </w:r>
      <w:r w:rsidRPr="0067401E">
        <w:t xml:space="preserve"> (L-seerias).</w:t>
      </w:r>
    </w:p>
    <w:p w:rsidR="000D2A42" w:rsidRPr="0067401E" w:rsidRDefault="000D2A42" w:rsidP="000D2A42"/>
    <w:p w:rsidR="000D2A42" w:rsidRPr="0067401E" w:rsidRDefault="000D2A42" w:rsidP="000D2A42">
      <w:pPr>
        <w:widowControl/>
        <w:rPr>
          <w:rFonts w:ascii="Arial" w:hAnsi="Arial" w:cs="Arial"/>
          <w:b/>
        </w:rPr>
        <w:sectPr w:rsidR="000D2A42" w:rsidRPr="0067401E" w:rsidSect="005F479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0D2A42" w:rsidRPr="0067401E" w:rsidRDefault="000D2A42" w:rsidP="00682DCC">
      <w:pPr>
        <w:pStyle w:val="ATHeading3"/>
      </w:pPr>
      <w:bookmarkStart w:id="9" w:name="_Toc146789945"/>
      <w:bookmarkStart w:id="10" w:name="_Toc161913942"/>
      <w:r w:rsidRPr="0067401E">
        <w:lastRenderedPageBreak/>
        <w:t xml:space="preserve">2. </w:t>
      </w:r>
      <w:bookmarkEnd w:id="9"/>
      <w:bookmarkEnd w:id="10"/>
      <w:r w:rsidR="00682DCC" w:rsidRPr="0067401E">
        <w:t xml:space="preserve">Euroopa Parlamendi 11. aprilli 2024. aasta otsus </w:t>
      </w:r>
      <w:r w:rsidRPr="0067401E">
        <w:t>Euroopa Kindlustus- ja Tööandjapensionide Järelevalve 2022. aasta raamatupidamiskontode sulgemise kohta</w:t>
      </w:r>
      <w:r w:rsidR="00682DCC" w:rsidRPr="0067401E">
        <w:t xml:space="preserve"> </w:t>
      </w:r>
      <w:r w:rsidRPr="0067401E">
        <w:t>(2023/2153(DEC))</w:t>
      </w:r>
    </w:p>
    <w:p w:rsidR="000D2A42" w:rsidRPr="0067401E" w:rsidRDefault="000D2A42" w:rsidP="000D2A42">
      <w:pPr>
        <w:pStyle w:val="EPComma"/>
      </w:pPr>
      <w:r w:rsidRPr="0067401E">
        <w:rPr>
          <w:i/>
        </w:rPr>
        <w:t>Euroopa Parlament</w:t>
      </w:r>
      <w:r w:rsidRPr="0067401E">
        <w:t>,</w:t>
      </w:r>
    </w:p>
    <w:p w:rsidR="000D2A42" w:rsidRPr="0067401E" w:rsidRDefault="000D2A42" w:rsidP="000D2A42">
      <w:pPr>
        <w:pStyle w:val="NormalHanging12a"/>
      </w:pPr>
      <w:r w:rsidRPr="0067401E">
        <w:t>–</w:t>
      </w:r>
      <w:r w:rsidRPr="0067401E">
        <w:tab/>
        <w:t>võttes arvesse Euroopa Kindlustus- ja Tööandjapensionide Järelevalve 2022. aasta lõplikku raamatupidamisaruannet,</w:t>
      </w:r>
    </w:p>
    <w:p w:rsidR="000D2A42" w:rsidRPr="0067401E" w:rsidRDefault="000D2A42" w:rsidP="000D2A42">
      <w:pPr>
        <w:pStyle w:val="NormalHanging12a"/>
      </w:pPr>
      <w:r w:rsidRPr="0067401E">
        <w:t>–</w:t>
      </w:r>
      <w:r w:rsidRPr="0067401E">
        <w:tab/>
        <w:t>võttes arvesse kontrollikoja aastaaruannet ELi asutuste eelarveaasta 2022 kohta koos asutuste vastustega</w:t>
      </w:r>
      <w:r w:rsidRPr="0067401E">
        <w:rPr>
          <w:rStyle w:val="FootnoteReference"/>
        </w:rPr>
        <w:footnoteReference w:id="6"/>
      </w:r>
      <w:r w:rsidRPr="0067401E">
        <w:t>,</w:t>
      </w:r>
    </w:p>
    <w:p w:rsidR="000D2A42" w:rsidRPr="0067401E" w:rsidRDefault="000D2A42" w:rsidP="000D2A42">
      <w:pPr>
        <w:pStyle w:val="NormalHanging12a"/>
      </w:pPr>
      <w:r w:rsidRPr="0067401E">
        <w:t>–</w:t>
      </w:r>
      <w:r w:rsidRPr="0067401E">
        <w:tab/>
        <w:t>võttes arvesse vastavalt Euroopa Liidu toimimise lepingu artiklile 287 tehtud kontrollikoja kinnitavat avaldust</w:t>
      </w:r>
      <w:r w:rsidRPr="0067401E">
        <w:rPr>
          <w:rStyle w:val="FootnoteReference"/>
        </w:rPr>
        <w:footnoteReference w:id="7"/>
      </w:r>
      <w:r w:rsidRPr="0067401E">
        <w:t xml:space="preserve"> 2022. aasta raamatupidamise aastaaruande usaldusväärsuse ja selle aluseks olevate tehingute seaduslikkuse ja korrektsuse kohta,</w:t>
      </w:r>
    </w:p>
    <w:p w:rsidR="000D2A42" w:rsidRPr="0067401E" w:rsidRDefault="000D2A42" w:rsidP="000D2A42">
      <w:pPr>
        <w:pStyle w:val="NormalHanging12a"/>
      </w:pPr>
      <w:r w:rsidRPr="0067401E">
        <w:t>–</w:t>
      </w:r>
      <w:r w:rsidRPr="0067401E">
        <w:tab/>
        <w:t>võttes arvesse nõukogu 22. veebruari 2024. aasta soovitust asutuse tegevusele heakskiidu andmise kohta 2022. aasta eelarve täitmisel (</w:t>
      </w:r>
      <w:r w:rsidR="00682DCC" w:rsidRPr="0067401E">
        <w:t>06180</w:t>
      </w:r>
      <w:r w:rsidRPr="0067401E">
        <w:t>/2024 – C9</w:t>
      </w:r>
      <w:r w:rsidRPr="0067401E">
        <w:noBreakHyphen/>
      </w:r>
      <w:r w:rsidR="00682DCC" w:rsidRPr="0067401E">
        <w:t>0091</w:t>
      </w:r>
      <w:r w:rsidRPr="0067401E">
        <w:t>/2024),</w:t>
      </w:r>
    </w:p>
    <w:p w:rsidR="000D2A42" w:rsidRPr="0067401E" w:rsidRDefault="000D2A42" w:rsidP="000D2A42">
      <w:pPr>
        <w:pStyle w:val="NormalHanging12a"/>
      </w:pPr>
      <w:r w:rsidRPr="0067401E">
        <w:t>–</w:t>
      </w:r>
      <w:r w:rsidRPr="0067401E">
        <w:tab/>
        <w:t>võttes arvesse Euroopa Liidu toimimise lepingu artiklit 319,</w:t>
      </w:r>
    </w:p>
    <w:p w:rsidR="000D2A42" w:rsidRPr="0067401E" w:rsidRDefault="000D2A42" w:rsidP="000D2A42">
      <w:pPr>
        <w:pStyle w:val="NormalHanging12a"/>
      </w:pPr>
      <w:r w:rsidRPr="0067401E">
        <w:t>–</w:t>
      </w:r>
      <w:r w:rsidRPr="0067401E">
        <w:tab/>
        <w:t xml:space="preserve">võttes arvesse Euroopa Parlamendi ja nõukogu 18. juuli 2018. aasta määrust (EL, Euratom) 2018/1046 (mis käsitleb liidu </w:t>
      </w:r>
      <w:proofErr w:type="spellStart"/>
      <w:r w:rsidRPr="0067401E">
        <w:t>üldeelarve</w:t>
      </w:r>
      <w:proofErr w:type="spellEnd"/>
      <w:r w:rsidRPr="0067401E">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67401E">
        <w:rPr>
          <w:rStyle w:val="FootnoteReference"/>
        </w:rPr>
        <w:footnoteReference w:id="8"/>
      </w:r>
      <w:r w:rsidRPr="0067401E">
        <w:t>, eriti selle artiklit 70,</w:t>
      </w:r>
    </w:p>
    <w:p w:rsidR="000D2A42" w:rsidRPr="0067401E" w:rsidRDefault="000D2A42" w:rsidP="000D2A42">
      <w:pPr>
        <w:pStyle w:val="NormalHanging12a"/>
      </w:pPr>
      <w:r w:rsidRPr="0067401E">
        <w:t>–</w:t>
      </w:r>
      <w:r w:rsidRPr="0067401E">
        <w:tab/>
        <w:t>võttes arvesse Euroopa Parlamendi ja nõukogu 24. novembri 2010. aasta määrust (EL) nr 1094/2010 (millega asutatakse Euroopa Järelevalveasutus (Euroopa Kindlustus- ja Tööandjapensionide Järelevalve), muudetakse otsust nr 716/2009/EÜ ning tunnistatakse kehtetuks komisjoni otsus 2009/79/EÜ)</w:t>
      </w:r>
      <w:r w:rsidRPr="0067401E">
        <w:rPr>
          <w:rStyle w:val="FootnoteReference"/>
        </w:rPr>
        <w:footnoteReference w:id="9"/>
      </w:r>
      <w:r w:rsidRPr="0067401E">
        <w:t>, eriti selle artiklit 64,</w:t>
      </w:r>
    </w:p>
    <w:p w:rsidR="000D2A42" w:rsidRPr="0067401E" w:rsidRDefault="000D2A42" w:rsidP="000D2A42">
      <w:pPr>
        <w:pStyle w:val="NormalHanging12a"/>
      </w:pPr>
      <w:r w:rsidRPr="0067401E">
        <w:t>–</w:t>
      </w:r>
      <w:r w:rsidRPr="0067401E">
        <w:tab/>
        <w:t>võttes arvesse komisjoni 18. detsembri 2018. aasta delegeeritud määrust (EL) 2019/715 raamfinantsmääruse kohta asutustele, mis on asutatud Euroopa Liidu toimimise lepingu ja Euroopa Aatomienergiaühenduse asutamislepingu alusel ning millele osutatakse Euroopa Parlamendi ja nõukogu määruse (EL, Euratom) 2018/1046 artiklis 70</w:t>
      </w:r>
      <w:r w:rsidRPr="0067401E">
        <w:rPr>
          <w:rStyle w:val="FootnoteReference"/>
        </w:rPr>
        <w:footnoteReference w:id="10"/>
      </w:r>
      <w:r w:rsidRPr="0067401E">
        <w:t>, eriti selle artiklit 105,</w:t>
      </w:r>
    </w:p>
    <w:p w:rsidR="000D2A42" w:rsidRPr="0067401E" w:rsidRDefault="000D2A42" w:rsidP="000D2A42">
      <w:pPr>
        <w:pStyle w:val="NormalHanging12a"/>
      </w:pPr>
      <w:r w:rsidRPr="0067401E">
        <w:t>–</w:t>
      </w:r>
      <w:r w:rsidRPr="0067401E">
        <w:tab/>
        <w:t>võttes arvesse kodukorra artiklit 100 ja V lisa,</w:t>
      </w:r>
    </w:p>
    <w:p w:rsidR="000D2A42" w:rsidRPr="0067401E" w:rsidRDefault="000D2A42" w:rsidP="000D2A42">
      <w:pPr>
        <w:pStyle w:val="NormalHanging12a"/>
      </w:pPr>
      <w:r w:rsidRPr="0067401E">
        <w:t>–</w:t>
      </w:r>
      <w:r w:rsidRPr="0067401E">
        <w:tab/>
        <w:t>võttes arvesse eelarvekontrollikomisjoni raportit (A9-0097/2024),</w:t>
      </w:r>
    </w:p>
    <w:p w:rsidR="000D2A42" w:rsidRPr="0067401E" w:rsidRDefault="000D2A42" w:rsidP="000D2A42">
      <w:pPr>
        <w:pStyle w:val="NormalHanging12a"/>
      </w:pPr>
      <w:r w:rsidRPr="0067401E">
        <w:t>1.</w:t>
      </w:r>
      <w:r w:rsidRPr="0067401E">
        <w:tab/>
        <w:t>annab heakskiidu Euroopa Kindlustus- ja Tööandjapensionide Järelevalve 2022. aasta raamatupidamiskontode sulgemisele;</w:t>
      </w:r>
    </w:p>
    <w:p w:rsidR="000D2A42" w:rsidRPr="0067401E" w:rsidRDefault="000D2A42" w:rsidP="000D2A42">
      <w:pPr>
        <w:pStyle w:val="NormalHanging12a"/>
      </w:pPr>
      <w:r w:rsidRPr="0067401E">
        <w:t>2.</w:t>
      </w:r>
      <w:r w:rsidRPr="0067401E">
        <w:tab/>
        <w:t xml:space="preserve">teeb presidendile ülesandeks edastada käesolev otsus Euroopa Kindlustus- ja Tööandjapensionide Järelevalve tegevdirektorile, nõukogule, komisjonile ja kontrollikojale ning korraldada selle avaldamine </w:t>
      </w:r>
      <w:r w:rsidRPr="0067401E">
        <w:rPr>
          <w:i/>
        </w:rPr>
        <w:t>Euroopa Liidu Teatajas</w:t>
      </w:r>
      <w:r w:rsidRPr="0067401E">
        <w:t xml:space="preserve"> (L-seerias).</w:t>
      </w:r>
    </w:p>
    <w:p w:rsidR="000D2A42" w:rsidRPr="0067401E" w:rsidRDefault="000D2A42" w:rsidP="000D2A42"/>
    <w:p w:rsidR="000D2A42" w:rsidRPr="0067401E" w:rsidRDefault="000D2A42" w:rsidP="000D2A42">
      <w:pPr>
        <w:widowControl/>
        <w:rPr>
          <w:rFonts w:ascii="Arial" w:hAnsi="Arial" w:cs="Arial"/>
          <w:b/>
        </w:rPr>
        <w:sectPr w:rsidR="000D2A42" w:rsidRPr="0067401E" w:rsidSect="005F479B">
          <w:footnotePr>
            <w:numRestart w:val="eachPage"/>
          </w:footnotePr>
          <w:endnotePr>
            <w:numFmt w:val="decimal"/>
          </w:endnotePr>
          <w:pgSz w:w="11906" w:h="16838"/>
          <w:pgMar w:top="1134" w:right="1418" w:bottom="1418" w:left="1418" w:header="567" w:footer="567" w:gutter="0"/>
          <w:cols w:space="720"/>
          <w:docGrid w:linePitch="326"/>
        </w:sectPr>
      </w:pPr>
    </w:p>
    <w:p w:rsidR="000D2A42" w:rsidRPr="0067401E" w:rsidRDefault="000D2A42" w:rsidP="00682DCC">
      <w:pPr>
        <w:pStyle w:val="ATHeading3"/>
      </w:pPr>
      <w:bookmarkStart w:id="11" w:name="_Toc146789946"/>
      <w:bookmarkStart w:id="12" w:name="_Toc161913943"/>
      <w:r w:rsidRPr="0067401E">
        <w:t xml:space="preserve">3. </w:t>
      </w:r>
      <w:bookmarkEnd w:id="11"/>
      <w:bookmarkEnd w:id="12"/>
      <w:r w:rsidR="00682DCC" w:rsidRPr="0067401E">
        <w:t xml:space="preserve">Euroopa Parlamendi 11. aprilli 2024. aasta resolutsioon </w:t>
      </w:r>
      <w:r w:rsidRPr="0067401E">
        <w:t>tähelepanekutega, mis on Euroopa Kindlustus- ja Tööandjapensionide Järelevalve 2022. aasta eelarve täitmisele heakskiidu andmist käsitleva otsuse lahutamatu osa</w:t>
      </w:r>
      <w:r w:rsidR="00682DCC" w:rsidRPr="0067401E">
        <w:t xml:space="preserve"> </w:t>
      </w:r>
      <w:r w:rsidRPr="0067401E">
        <w:t>(2023/2153(DEC))</w:t>
      </w:r>
    </w:p>
    <w:p w:rsidR="000D2A42" w:rsidRPr="0067401E" w:rsidRDefault="000D2A42" w:rsidP="000D2A42">
      <w:pPr>
        <w:pStyle w:val="EPComma"/>
      </w:pPr>
      <w:r w:rsidRPr="0067401E">
        <w:rPr>
          <w:i/>
        </w:rPr>
        <w:t>Euroopa Parlament,</w:t>
      </w:r>
    </w:p>
    <w:p w:rsidR="000D2A42" w:rsidRPr="0067401E" w:rsidRDefault="000D2A42" w:rsidP="000D2A42">
      <w:pPr>
        <w:pStyle w:val="NormalHanging12a"/>
      </w:pPr>
      <w:r w:rsidRPr="0067401E">
        <w:t>–</w:t>
      </w:r>
      <w:r w:rsidRPr="0067401E">
        <w:tab/>
        <w:t>võttes arvesse oma otsust Euroopa Kindlustus- ja Tööandjapensionide Järelevalve 2022. aasta eelarve täitmisele heakskiidu andmise kohta,</w:t>
      </w:r>
    </w:p>
    <w:p w:rsidR="000D2A42" w:rsidRPr="0067401E" w:rsidRDefault="000D2A42" w:rsidP="000D2A42">
      <w:pPr>
        <w:pStyle w:val="NormalHanging12a"/>
      </w:pPr>
      <w:r w:rsidRPr="0067401E">
        <w:t>–</w:t>
      </w:r>
      <w:r w:rsidRPr="0067401E">
        <w:tab/>
        <w:t>võttes arvesse kodukorra artiklit 100 ja V lisa,</w:t>
      </w:r>
    </w:p>
    <w:p w:rsidR="000D2A42" w:rsidRPr="0067401E" w:rsidRDefault="000D2A42" w:rsidP="000D2A42">
      <w:pPr>
        <w:pStyle w:val="NormalHanging12a"/>
      </w:pPr>
      <w:r w:rsidRPr="0067401E">
        <w:t>–</w:t>
      </w:r>
      <w:r w:rsidRPr="0067401E">
        <w:tab/>
        <w:t>võttes arvesse eelarvekontrollikomisjoni raportit (A9-0097/2024),</w:t>
      </w:r>
    </w:p>
    <w:p w:rsidR="000D2A42" w:rsidRPr="0067401E" w:rsidRDefault="000D2A42" w:rsidP="000D2A42">
      <w:pPr>
        <w:widowControl/>
        <w:spacing w:after="240"/>
        <w:ind w:left="567" w:hanging="567"/>
        <w:rPr>
          <w:szCs w:val="24"/>
        </w:rPr>
      </w:pPr>
      <w:r w:rsidRPr="0067401E">
        <w:t>A.</w:t>
      </w:r>
      <w:r w:rsidRPr="0067401E">
        <w:tab/>
        <w:t>arvestades, et Euroopa Kindlustus- ja Tööandjapensionide Järelevalve (edaspidi „asutus“) tulude ja kulude eelarvestuse</w:t>
      </w:r>
      <w:r w:rsidRPr="0067401E">
        <w:rPr>
          <w:rStyle w:val="FootnoteReference"/>
          <w:szCs w:val="24"/>
        </w:rPr>
        <w:footnoteReference w:id="11"/>
      </w:r>
      <w:r w:rsidRPr="0067401E">
        <w:t xml:space="preserve"> kohaselt oli asutuse 2022. aasta lõplik eelarve 34 571 120 eurot, mis tähendab 2021. aastaga võrreldes 5,27 % suurust kasvu; arvestades, et asutust rahastatakse liidu eelarvest eraldatavast summast (12 932 000 eurot, mis moodustab 37,40 %) ja liikmesriikide riiklike järelevalveasutuste osamaksetest (21 076 120 eurot, mis moodustab 60,96 %);</w:t>
      </w:r>
    </w:p>
    <w:p w:rsidR="000D2A42" w:rsidRPr="0067401E" w:rsidRDefault="000D2A42" w:rsidP="000D2A42">
      <w:pPr>
        <w:widowControl/>
        <w:spacing w:after="240"/>
        <w:ind w:left="567" w:hanging="567"/>
        <w:rPr>
          <w:szCs w:val="24"/>
        </w:rPr>
      </w:pPr>
      <w:r w:rsidRPr="0067401E">
        <w:t>B.</w:t>
      </w:r>
      <w:r w:rsidRPr="0067401E">
        <w:tab/>
        <w:t>arvestades, et kontrollikoda märkis oma aruandes Euroopa Kindlustus- ja Tööandjapensionide Järelevalve eelarveaasta 2022 raamatupidamise aastaaruande kohta (edaspidi „kontrollikoja aruanne“), et ta sai piisava kindluse selle kohta, et asutuse raamatupidamise aastaaruanne on usaldusväärne ning selle aluseks olevad tehingud on seaduslikud ja korrektsed;</w:t>
      </w:r>
    </w:p>
    <w:p w:rsidR="000D2A42" w:rsidRPr="0067401E" w:rsidRDefault="000D2A42" w:rsidP="000D2A42">
      <w:pPr>
        <w:widowControl/>
        <w:spacing w:after="240"/>
        <w:ind w:left="567" w:hanging="567"/>
        <w:rPr>
          <w:b/>
          <w:i/>
          <w:szCs w:val="24"/>
        </w:rPr>
      </w:pPr>
      <w:r w:rsidRPr="0067401E">
        <w:rPr>
          <w:b/>
          <w:i/>
        </w:rPr>
        <w:t>Eelarve haldamine ja finantsjuhtimine</w:t>
      </w:r>
    </w:p>
    <w:p w:rsidR="000D2A42" w:rsidRPr="0067401E" w:rsidRDefault="000D2A42" w:rsidP="000D2A42">
      <w:pPr>
        <w:widowControl/>
        <w:spacing w:after="240"/>
        <w:ind w:left="567" w:hanging="567"/>
        <w:rPr>
          <w:szCs w:val="24"/>
        </w:rPr>
      </w:pPr>
      <w:r w:rsidRPr="0067401E">
        <w:t>1.</w:t>
      </w:r>
      <w:r w:rsidRPr="0067401E">
        <w:tab/>
        <w:t>märgib rahuloluga, et 2022. aastal tehtud eelarveseire tulemusel oli eelarve täitmise määr 99,46 %, mis oli 2021. aasta omast 0,52 % madalam; märgib siiski, et maksete assigneeringute täitmise määr oli 92,07 %, mis on 2021. aastaga võrreldes 12,95 % kõrgem;</w:t>
      </w:r>
    </w:p>
    <w:p w:rsidR="000D2A42" w:rsidRPr="0067401E" w:rsidRDefault="000D2A42" w:rsidP="000D2A42">
      <w:pPr>
        <w:widowControl/>
        <w:spacing w:after="240"/>
        <w:ind w:left="567" w:hanging="567"/>
        <w:rPr>
          <w:szCs w:val="24"/>
        </w:rPr>
      </w:pPr>
      <w:r w:rsidRPr="0067401E">
        <w:rPr>
          <w:b/>
          <w:i/>
        </w:rPr>
        <w:t>Tulemus</w:t>
      </w:r>
      <w:r w:rsidR="00724108" w:rsidRPr="0067401E">
        <w:rPr>
          <w:b/>
          <w:i/>
        </w:rPr>
        <w:t>ed</w:t>
      </w:r>
    </w:p>
    <w:p w:rsidR="000D2A42" w:rsidRPr="0067401E" w:rsidRDefault="000D2A42" w:rsidP="000D2A42">
      <w:pPr>
        <w:widowControl/>
        <w:spacing w:after="240"/>
        <w:ind w:left="567" w:hanging="567"/>
        <w:rPr>
          <w:szCs w:val="24"/>
        </w:rPr>
      </w:pPr>
      <w:r w:rsidRPr="0067401E">
        <w:t>2.</w:t>
      </w:r>
      <w:r w:rsidRPr="0067401E">
        <w:tab/>
        <w:t>märgib, et asutus kasutab teatavaid meetmeid, näiteks põhilisi tulemusnäitajaid, et hinnata oma tegevusest tulenevat lisaväärtust, ning teisi meetmeid, et parandada eelarve haldamist; märgib, et 2022. aastal seadis asutus oma seitsmes peamises töövaldkonnas 17 strateegilise tasandi tulemuseesmärki; märgib rahuloluga, et asutus saavutas neist eesmärkidest 15 või ületas neid, samas kui kahte muud eesmärki ei peetud kohaldatavaks, sest nende puhul sõltuti digitaalse tegevuskerksuse määruse (DORA) seadusandlikust ajakavast ja murrangulisest tehnoloogiast;</w:t>
      </w:r>
    </w:p>
    <w:p w:rsidR="000D2A42" w:rsidRPr="0067401E" w:rsidRDefault="000D2A42" w:rsidP="000D2A42">
      <w:pPr>
        <w:widowControl/>
        <w:spacing w:after="240"/>
        <w:ind w:left="567" w:hanging="567"/>
        <w:rPr>
          <w:szCs w:val="24"/>
        </w:rPr>
      </w:pPr>
      <w:r w:rsidRPr="0067401E">
        <w:t>3.</w:t>
      </w:r>
      <w:r w:rsidRPr="0067401E">
        <w:tab/>
        <w:t xml:space="preserve">märgib, et asutuse kava kohaselt tarniti 342 toodet ja teenust, mis moodustavad 91 % kõigist toodetest ja teenustest, kusjuures 20 toote ja teenuse puhul esines väikesi viivitusi ning 13 toodet ja teenust ei ole edasi arendatud, sageli seetõttu, et sõltutakse seadusandlike otsuste nagu </w:t>
      </w:r>
      <w:proofErr w:type="spellStart"/>
      <w:r w:rsidRPr="0067401E">
        <w:t>Solventsus</w:t>
      </w:r>
      <w:proofErr w:type="spellEnd"/>
      <w:r w:rsidRPr="0067401E">
        <w:t xml:space="preserve"> II läbivaatamise tähtaegadest või tehnoloogilisest arengust turul ja konkureerivatest prioriteetidest; tunnustab asutust selle eest, et tema ettekanded kasvasid 167-lt 2021. aastal 214-le 2022. aastal;</w:t>
      </w:r>
    </w:p>
    <w:p w:rsidR="000D2A42" w:rsidRPr="0067401E" w:rsidRDefault="000D2A42" w:rsidP="000D2A42">
      <w:pPr>
        <w:widowControl/>
        <w:spacing w:after="240"/>
        <w:ind w:left="567" w:hanging="567"/>
        <w:rPr>
          <w:szCs w:val="24"/>
        </w:rPr>
      </w:pPr>
      <w:r w:rsidRPr="0067401E">
        <w:t>4.</w:t>
      </w:r>
      <w:r w:rsidRPr="0067401E">
        <w:tab/>
        <w:t xml:space="preserve">tunnustab asutuse arvukaid saavutusi 2022. aastal, mil too täitis suurel määral oma eesmärke järelevalve ühtlustamise, tarbijakaitse ja finantsstabiilsuse valdkonnas; märgib eelkõige, et asutus viis läbi esimese tööandja kogumispensioni asutuse kliimaalase stressitesti, et saada ülevaade keskkonnariskide mõjust Euroopa tööandjapensionisektorile, esitas komisjonile rakenduslikud tehnilised standardid, milles on sätestatud </w:t>
      </w:r>
      <w:proofErr w:type="spellStart"/>
      <w:r w:rsidRPr="0067401E">
        <w:t>Solventsus</w:t>
      </w:r>
      <w:proofErr w:type="spellEnd"/>
      <w:r w:rsidRPr="0067401E">
        <w:t xml:space="preserve"> II kohased </w:t>
      </w:r>
      <w:proofErr w:type="spellStart"/>
      <w:r w:rsidRPr="0067401E">
        <w:t>järelevalvelise</w:t>
      </w:r>
      <w:proofErr w:type="spellEnd"/>
      <w:r w:rsidRPr="0067401E">
        <w:t xml:space="preserve"> aruandluse ja avalikustamise nõuded, avaldas mitu dokumenti, aruannet ja suunist </w:t>
      </w:r>
      <w:proofErr w:type="spellStart"/>
      <w:r w:rsidRPr="0067401E">
        <w:t>kestlikkusriskide</w:t>
      </w:r>
      <w:proofErr w:type="spellEnd"/>
      <w:r w:rsidRPr="0067401E">
        <w:t xml:space="preserve"> integreerimise kohta kindlustusandjate, edasikindlustusandjate ja tööandjapensionifondide riskijuhtimisse ning andis Euroopa Parlamendile ja nõukogule tehisintellektimääruse ja </w:t>
      </w:r>
      <w:proofErr w:type="spellStart"/>
      <w:r w:rsidRPr="0067401E">
        <w:t>DORAga</w:t>
      </w:r>
      <w:proofErr w:type="spellEnd"/>
      <w:r w:rsidRPr="0067401E">
        <w:t xml:space="preserve"> seotud õigusloomeprotsessis sisendit ja tehnilist nõu; tunnustab asutust </w:t>
      </w:r>
      <w:proofErr w:type="spellStart"/>
      <w:r w:rsidRPr="0067401E">
        <w:t>digiülemineku</w:t>
      </w:r>
      <w:proofErr w:type="spellEnd"/>
      <w:r w:rsidRPr="0067401E">
        <w:t xml:space="preserve"> valdkonna mitmesuguste algatuste ja meetmete eest, millega toetatakse liidu </w:t>
      </w:r>
      <w:proofErr w:type="spellStart"/>
      <w:r w:rsidRPr="0067401E">
        <w:t>digirahanduse</w:t>
      </w:r>
      <w:proofErr w:type="spellEnd"/>
      <w:r w:rsidRPr="0067401E">
        <w:t xml:space="preserve"> strateegia eesmärke, sealhulgas aidates koos mitme sidusrühmaga, näiteks Euroopa Ülikool-Instituudiga asutada ELi </w:t>
      </w:r>
      <w:proofErr w:type="spellStart"/>
      <w:r w:rsidRPr="0067401E">
        <w:t>digirahanduse</w:t>
      </w:r>
      <w:proofErr w:type="spellEnd"/>
      <w:r w:rsidRPr="0067401E">
        <w:t xml:space="preserve"> järelevalve akadeemiat;</w:t>
      </w:r>
    </w:p>
    <w:p w:rsidR="000D2A42" w:rsidRPr="0067401E" w:rsidRDefault="000D2A42" w:rsidP="000D2A42">
      <w:pPr>
        <w:widowControl/>
        <w:spacing w:after="240"/>
        <w:ind w:left="567" w:hanging="567"/>
        <w:rPr>
          <w:szCs w:val="24"/>
        </w:rPr>
      </w:pPr>
      <w:r w:rsidRPr="0067401E">
        <w:t>5.</w:t>
      </w:r>
      <w:r w:rsidRPr="0067401E">
        <w:tab/>
        <w:t xml:space="preserve">täheldab, et asutus kasutas esimest korda mitmeid talle EIOPA määrusega antud volitusi ja vahendeid; võtab sellega seoses teadmiseks, et asutus esitas 2022. aastal soovituse Slovakkia Riigipangale (NBS) oma järelduste põhjal, mille kohaselt ei olnud järelevalve seisukohast asjakohaselt käsitletud kapitalinõuete rikkumist, mille pani toime Slovakkia kindlustusandja; märgib lisaks murega, et asutus leidis, et NBS rikub liidu õigust, ning seetõttu esitas komisjon ametliku arvamuse, milles nõuti, et NBS võtaks liidu õiguse järgimiseks vajalikke meetmeid, ning EIOPA määruse artikli 22 alusel viidi läbi uurimine; palub asutusel hoida eelarve täitmisele heakskiidu andmise eest vastutavat institutsiooni kõnealuse uurimise </w:t>
      </w:r>
      <w:proofErr w:type="spellStart"/>
      <w:r w:rsidRPr="0067401E">
        <w:t>järelmeetmete</w:t>
      </w:r>
      <w:proofErr w:type="spellEnd"/>
      <w:r w:rsidRPr="0067401E">
        <w:t xml:space="preserve"> ja tulemustega kursis;</w:t>
      </w:r>
    </w:p>
    <w:p w:rsidR="000D2A42" w:rsidRPr="0067401E" w:rsidRDefault="000D2A42" w:rsidP="000D2A42">
      <w:pPr>
        <w:widowControl/>
        <w:spacing w:after="240"/>
        <w:ind w:left="567" w:hanging="567"/>
        <w:rPr>
          <w:szCs w:val="24"/>
        </w:rPr>
      </w:pPr>
      <w:r w:rsidRPr="0067401E">
        <w:t>6.</w:t>
      </w:r>
      <w:r w:rsidRPr="0067401E">
        <w:tab/>
        <w:t xml:space="preserve">märgib, et asutus aitas tagada finantsstabiilsust ja kaitsta tarbijaid, jälgides põhjalikult turge ja hinnates mõju uues kontekstis, mis on seotud Venemaa provotseerimata ja ebaseadusliku sissetungiga Ukrainasse ning rahapoliitika järkjärgulise karmistamisega, et reageerida rekordiliselt kõrgetele inflatsioonimääradele kogu Euroopas; väljendab heameelt selle üle, et 2022. aastal avaldati õigeaegselt inflatsiooni käsitlev järelevalvearuanne, milles keskendutakse sellele, kuidas inflatsioon mõjutab tehnilisi eraldisi, investeeringuid ja </w:t>
      </w:r>
      <w:proofErr w:type="spellStart"/>
      <w:r w:rsidRPr="0067401E">
        <w:t>solventsuskapitalinõudeid</w:t>
      </w:r>
      <w:proofErr w:type="spellEnd"/>
      <w:r w:rsidRPr="0067401E">
        <w:t>;</w:t>
      </w:r>
    </w:p>
    <w:p w:rsidR="000D2A42" w:rsidRPr="0067401E" w:rsidRDefault="000D2A42" w:rsidP="000D2A42">
      <w:pPr>
        <w:pStyle w:val="NormalHanging12a"/>
      </w:pPr>
      <w:r w:rsidRPr="0067401E">
        <w:t>7.</w:t>
      </w:r>
      <w:r w:rsidRPr="0067401E">
        <w:tab/>
        <w:t>märgib, et 2022. aasta septembris esitas asutus oma strateegia aastateks 2023–2026, milles ta on kindlaks määranud strateegilised prioriteedid, sealhulgas kindlustus- ja pensionisektori vastupanuvõime ja kestlikkuse tugevdamine ning tarbijate huvide kindla ja järjepideva kaitse tagamine kogu liidus;</w:t>
      </w:r>
    </w:p>
    <w:p w:rsidR="000D2A42" w:rsidRPr="0067401E" w:rsidRDefault="000D2A42" w:rsidP="000D2A42">
      <w:pPr>
        <w:widowControl/>
        <w:spacing w:after="240"/>
        <w:ind w:left="567" w:hanging="567"/>
        <w:rPr>
          <w:b/>
          <w:i/>
          <w:szCs w:val="24"/>
        </w:rPr>
      </w:pPr>
      <w:r w:rsidRPr="0067401E">
        <w:rPr>
          <w:b/>
          <w:i/>
        </w:rPr>
        <w:t>Tõhusus ja selle suurendamine</w:t>
      </w:r>
    </w:p>
    <w:p w:rsidR="000D2A42" w:rsidRPr="0067401E" w:rsidRDefault="000D2A42" w:rsidP="000D2A42">
      <w:pPr>
        <w:widowControl/>
        <w:spacing w:after="240"/>
        <w:ind w:left="567" w:hanging="567"/>
        <w:rPr>
          <w:rFonts w:cstheme="minorHAnsi"/>
        </w:rPr>
      </w:pPr>
      <w:r w:rsidRPr="0067401E">
        <w:t>8.</w:t>
      </w:r>
      <w:r w:rsidRPr="0067401E">
        <w:tab/>
        <w:t>võtab teadmiseks, et Euroopa järelevalveasutused (</w:t>
      </w:r>
      <w:proofErr w:type="spellStart"/>
      <w:r w:rsidRPr="0067401E">
        <w:t>ESAd</w:t>
      </w:r>
      <w:proofErr w:type="spellEnd"/>
      <w:r w:rsidRPr="0067401E">
        <w:t xml:space="preserve">) koordineerivad, jagavad ja toetavad üksteist paljudes valdkondades, nii põhitegevuses kui ka tugivaldkondades; väljendab heameelt asjaolu üle, et </w:t>
      </w:r>
      <w:proofErr w:type="spellStart"/>
      <w:r w:rsidRPr="0067401E">
        <w:t>ESAd</w:t>
      </w:r>
      <w:proofErr w:type="spellEnd"/>
      <w:r w:rsidRPr="0067401E">
        <w:t xml:space="preserve"> ühendasid jõud strateegilistes algatustes, nagu tarkvararakenduste arendamine, võrgutaristu ja </w:t>
      </w:r>
      <w:proofErr w:type="spellStart"/>
      <w:r w:rsidRPr="0067401E">
        <w:t>IT-alane</w:t>
      </w:r>
      <w:proofErr w:type="spellEnd"/>
      <w:r w:rsidRPr="0067401E">
        <w:t xml:space="preserve"> nõustamine, jagades näiteks samu tarnijaid; täheldab sellega seoses, et asutuse 2022. aastal heaks kiidetud pilvandmetöötluse strateegia töötas asutus välja koos kahe teise Euroopa järelevalveasutuse, teiste liidu institutsioonide ja riiklike pädevate asutustega ning selle eesmärk on pakkuda autonoomsemaid, automatiseeritud ja iseteenindustooteid, et teenindada asutuse eksperte ja liikmesriikide pädevaid asutusi;</w:t>
      </w:r>
    </w:p>
    <w:p w:rsidR="000D2A42" w:rsidRPr="0067401E" w:rsidRDefault="000D2A42" w:rsidP="000D2A42">
      <w:pPr>
        <w:widowControl/>
        <w:spacing w:after="240"/>
        <w:ind w:left="567" w:hanging="567"/>
        <w:rPr>
          <w:rFonts w:cstheme="minorHAnsi"/>
        </w:rPr>
      </w:pPr>
      <w:r w:rsidRPr="0067401E">
        <w:t>9.</w:t>
      </w:r>
      <w:r w:rsidRPr="0067401E">
        <w:tab/>
        <w:t xml:space="preserve">tunnustab asutust investeeringute ja töötajate määramise eest </w:t>
      </w:r>
      <w:proofErr w:type="spellStart"/>
      <w:r w:rsidRPr="0067401E">
        <w:t>digiülemineku</w:t>
      </w:r>
      <w:proofErr w:type="spellEnd"/>
      <w:r w:rsidRPr="0067401E">
        <w:t xml:space="preserve"> valdkonna projektidesse, et saavutada uus tõhususe tase, automatiseerides ja ühtlustades äriprotsesse ning parandades muu hulgas </w:t>
      </w:r>
      <w:proofErr w:type="spellStart"/>
      <w:r w:rsidRPr="0067401E">
        <w:t>turulejõudmise</w:t>
      </w:r>
      <w:proofErr w:type="spellEnd"/>
      <w:r w:rsidRPr="0067401E">
        <w:t xml:space="preserve"> aega ja koostööd funktsioonide sees ja vahel; väljendab sellega seoses heameelt asutuse 2022. aastal ellu viidud projektide üle, milles keskendutakse andmeanalüüsi suutlikkuse parandamisele, et saavutada eesmärk muuta asutus täielikult digitaalseks ja andmepõhiseks organisatsiooniks;</w:t>
      </w:r>
    </w:p>
    <w:p w:rsidR="000D2A42" w:rsidRPr="0067401E" w:rsidRDefault="000D2A42" w:rsidP="000D2A42">
      <w:pPr>
        <w:pStyle w:val="NormalHanging12a"/>
      </w:pPr>
      <w:r w:rsidRPr="0067401E">
        <w:t>10.</w:t>
      </w:r>
      <w:r w:rsidRPr="0067401E">
        <w:tab/>
        <w:t>täheldab, et seoses igapäevaste äritavadega on asutus rakendanud kulutõhususe suurendamiseks mitmesuguseid meetmeid, nagu hübriidtöö, füüsilise töökoha jagamine ja kaasaegsed videokonverentsilahendused, mis on toonud kaasa ärireiside vähenemise; märgib, et institutsiooniliste teadmiste, oskusteabe ja tõhususe säilitamiseks põhiülesannete täitmisel tõhustas asutus veelgi oma integreeritud talendihaldussüsteemi, mis võimaldab strateegiliselt kooskõlla viidud personalitöö protsess, kandidaatide paremat hankimist ning võimendatud õppimist ja arengut; palub asutusel esitada eelarve täitmisele heakskiidu andmise eest vastutavale institutsioonile andmed ja arvandmed eelnimetatud süsteemi mõju kohta;</w:t>
      </w:r>
    </w:p>
    <w:p w:rsidR="000D2A42" w:rsidRPr="0067401E" w:rsidRDefault="000D2A42" w:rsidP="000D2A42">
      <w:pPr>
        <w:widowControl/>
        <w:spacing w:after="240"/>
        <w:ind w:left="567" w:hanging="567"/>
        <w:rPr>
          <w:rFonts w:cstheme="minorHAnsi"/>
          <w:iCs/>
        </w:rPr>
      </w:pPr>
      <w:r w:rsidRPr="0067401E">
        <w:t>11.</w:t>
      </w:r>
      <w:r w:rsidRPr="0067401E">
        <w:tab/>
        <w:t>võtab kontrollikoja aruande põhjal teadmiseks, et asutus kuulub nende ametite hulka, kellel on ametikava oma tegevuse energiatõhususe ja kliimaneutraalsuse parandamiseks ning kes esitab keskkonnaaruande (nt CO</w:t>
      </w:r>
      <w:r w:rsidRPr="0067401E">
        <w:rPr>
          <w:vertAlign w:val="subscript"/>
        </w:rPr>
        <w:t>2</w:t>
      </w:r>
      <w:r w:rsidRPr="0067401E">
        <w:t xml:space="preserve"> jalajälje aruandluse kohta), mis on nende iga-aastaste tegevusaruannete osa; tunnustab lisaks asutust selle eest, et ta sai 2022. aastal </w:t>
      </w:r>
      <w:proofErr w:type="spellStart"/>
      <w:r w:rsidRPr="0067401E">
        <w:t>EMASi</w:t>
      </w:r>
      <w:proofErr w:type="spellEnd"/>
      <w:r w:rsidRPr="0067401E">
        <w:t xml:space="preserve"> (Euroopa Liidu keskkonnajuhtimis- ja -auditeerimissüsteem) sertifitseerimise, et saavutada 2023. aastal </w:t>
      </w:r>
      <w:proofErr w:type="spellStart"/>
      <w:r w:rsidRPr="0067401E">
        <w:t>EMASi</w:t>
      </w:r>
      <w:proofErr w:type="spellEnd"/>
      <w:r w:rsidRPr="0067401E">
        <w:t xml:space="preserve"> ametlik akrediteering;</w:t>
      </w:r>
    </w:p>
    <w:p w:rsidR="000D2A42" w:rsidRPr="0067401E" w:rsidRDefault="000D2A42" w:rsidP="000D2A42">
      <w:pPr>
        <w:widowControl/>
        <w:spacing w:after="240"/>
        <w:ind w:left="567" w:hanging="567"/>
        <w:rPr>
          <w:b/>
          <w:i/>
          <w:szCs w:val="24"/>
        </w:rPr>
      </w:pPr>
      <w:r w:rsidRPr="0067401E">
        <w:rPr>
          <w:b/>
          <w:i/>
        </w:rPr>
        <w:t>Personalipoliitika</w:t>
      </w:r>
    </w:p>
    <w:p w:rsidR="000D2A42" w:rsidRPr="0067401E" w:rsidRDefault="000D2A42" w:rsidP="000D2A42">
      <w:pPr>
        <w:widowControl/>
        <w:spacing w:after="240"/>
        <w:ind w:left="567" w:hanging="567"/>
        <w:rPr>
          <w:szCs w:val="24"/>
        </w:rPr>
      </w:pPr>
      <w:r w:rsidRPr="0067401E">
        <w:t>12.</w:t>
      </w:r>
      <w:r w:rsidRPr="0067401E">
        <w:tab/>
        <w:t>märgib, et 31. detsembri 2022. aasta seisuga oli ametikohtade loetelus olevatest kohtadest täidetud 99 % – sama palju, nagu 2021. aastal, kusjuures liidu eelarves kinnitatud 138 ajutisest teenistujast oli ametisse nimetatud 137; märgib, et 2022. aastal töötas asutuse heaks ka 36 lepingulist töötajat ja 24 lähetatud riiklikku eksperti;</w:t>
      </w:r>
    </w:p>
    <w:p w:rsidR="000D2A42" w:rsidRPr="0067401E" w:rsidRDefault="000D2A42" w:rsidP="000D2A42">
      <w:pPr>
        <w:pStyle w:val="NormalHanging12a"/>
      </w:pPr>
      <w:r w:rsidRPr="0067401E">
        <w:t>13.</w:t>
      </w:r>
      <w:r w:rsidRPr="0067401E">
        <w:tab/>
        <w:t>võtab teadmiseks asutuse teatatud soolise jaotuse 2022. aastal: 15 meest (65,20 %) ja 8 naist (34,80 %) keskmise ja kõrgema juhtkonna ametikohtadel ja juhatuses, ning 104 meest (53,60 %) ja 90 naist (46,40 %) kogu personali hulgas kokku; tuletab meelde, kui oluline on tagada sooline tasakaal, ja kutsub asutust üles arvestama seda seoses töötajate edaspidise töölevõtmise ning kõrgema ja keskastme juhtide ametisse nimetamisega;</w:t>
      </w:r>
    </w:p>
    <w:p w:rsidR="000D2A42" w:rsidRPr="0067401E" w:rsidRDefault="000D2A42" w:rsidP="000D2A42">
      <w:pPr>
        <w:pStyle w:val="NormalHanging12a"/>
      </w:pPr>
      <w:r w:rsidRPr="0067401E">
        <w:t>14.</w:t>
      </w:r>
      <w:r w:rsidRPr="0067401E">
        <w:tab/>
        <w:t xml:space="preserve">väljendab heameelt asjaolu üle, et 2022. aastal jätkas asutus mitmekesisuse ja kaasamise strateegia (vastu võetud 2021. aastal) ja oma </w:t>
      </w:r>
      <w:proofErr w:type="spellStart"/>
      <w:r w:rsidRPr="0067401E">
        <w:t>EUANi</w:t>
      </w:r>
      <w:proofErr w:type="spellEnd"/>
      <w:r w:rsidRPr="0067401E">
        <w:t xml:space="preserve"> mitmekesisust ja kaasamist käsitlevale hartale vastava üksikasjaliku tegevuskava rakendamist algatuste kaudu, mis hõlmavad </w:t>
      </w:r>
      <w:proofErr w:type="spellStart"/>
      <w:r w:rsidRPr="0067401E">
        <w:t>valdkondadevahelisi</w:t>
      </w:r>
      <w:proofErr w:type="spellEnd"/>
      <w:r w:rsidRPr="0067401E">
        <w:t xml:space="preserve"> meetmeid, nagu koostöö teiste institutsioonidega, mitmekesisema tööjõu ligimeelitamine ja valimine, diskrimineerimise, ahistamise, teadliku ja alateadliku kallutatuse ennetamine ning mitmekesisuse ja kaasamisega seotud andmete jälgimine; märgib, et 2022. aastal teatati ühest väidetavast ahistamisjuhtumist, kuid see juhtum lõpetati ilma edasiste meetmeteta, sest esialgse hinnangu põhjal ei leitud </w:t>
      </w:r>
      <w:proofErr w:type="spellStart"/>
      <w:r w:rsidRPr="0067401E">
        <w:rPr>
          <w:i/>
          <w:iCs/>
        </w:rPr>
        <w:t>prima</w:t>
      </w:r>
      <w:proofErr w:type="spellEnd"/>
      <w:r w:rsidRPr="0067401E">
        <w:rPr>
          <w:i/>
          <w:iCs/>
        </w:rPr>
        <w:t xml:space="preserve"> </w:t>
      </w:r>
      <w:proofErr w:type="spellStart"/>
      <w:r w:rsidRPr="0067401E">
        <w:rPr>
          <w:i/>
          <w:iCs/>
        </w:rPr>
        <w:t>faciae</w:t>
      </w:r>
      <w:proofErr w:type="spellEnd"/>
      <w:r w:rsidRPr="0067401E">
        <w:t xml:space="preserve"> tõendeid;</w:t>
      </w:r>
    </w:p>
    <w:p w:rsidR="000D2A42" w:rsidRPr="0067401E" w:rsidRDefault="000D2A42" w:rsidP="000D2A42">
      <w:pPr>
        <w:widowControl/>
        <w:spacing w:after="240"/>
        <w:ind w:left="567" w:hanging="567"/>
        <w:rPr>
          <w:szCs w:val="24"/>
        </w:rPr>
      </w:pPr>
      <w:r w:rsidRPr="0067401E">
        <w:t>15.</w:t>
      </w:r>
      <w:r w:rsidRPr="0067401E">
        <w:tab/>
        <w:t>väljendab heameelt asjaolu üle, et asutus on pühendunud mitmekesise ja kaasava töökeskkonna edendamisele ja pakkumisele, mis vastab ka puuetega inimeste vajadustele; märgib sellega seoses, et 2022. aastal nimetati ametisse asutusesisene puuetega inimeste koordinaator ja saadik, et veelgi tugevdada ja keskendada tähelepanu sellele konkreetsele valdkonnale, ning töötajate ja juhtkonna seas viidi läbi spetsiaalne uuring ning võeti teadlikkuse suurendamise meetmeid;</w:t>
      </w:r>
    </w:p>
    <w:p w:rsidR="000D2A42" w:rsidRPr="0067401E" w:rsidRDefault="000D2A42" w:rsidP="000D2A42">
      <w:pPr>
        <w:pStyle w:val="NormalHanging12a"/>
      </w:pPr>
      <w:r w:rsidRPr="0067401E">
        <w:t>16.</w:t>
      </w:r>
      <w:r w:rsidRPr="0067401E">
        <w:tab/>
        <w:t xml:space="preserve">märgib rahuloluga, et asutus on jätkuvalt kindlalt pühendunud töötajate heaolu ning töö- ja eraelu tasakaalu parandamisele, kusjuures töötajate kaasamise ja rahulolu vallas on näha positiivseid tulemusi; märgib, et peamised tähelepanu all olevad valdkonnad olid paindlik töökorraldus, </w:t>
      </w:r>
      <w:proofErr w:type="spellStart"/>
      <w:r w:rsidRPr="0067401E">
        <w:t>kaugtöö</w:t>
      </w:r>
      <w:proofErr w:type="spellEnd"/>
      <w:r w:rsidRPr="0067401E">
        <w:t>, elukestev nõustamine ja karjääri arendamine, heaoluprogrammid ja toetav juhtimine;</w:t>
      </w:r>
    </w:p>
    <w:p w:rsidR="000D2A42" w:rsidRPr="0067401E" w:rsidRDefault="000D2A42" w:rsidP="000D2A42">
      <w:pPr>
        <w:widowControl/>
        <w:spacing w:after="240"/>
        <w:ind w:left="567" w:hanging="567"/>
        <w:rPr>
          <w:b/>
          <w:i/>
          <w:szCs w:val="24"/>
        </w:rPr>
      </w:pPr>
      <w:r w:rsidRPr="0067401E">
        <w:rPr>
          <w:b/>
          <w:i/>
        </w:rPr>
        <w:t>Hanked</w:t>
      </w:r>
    </w:p>
    <w:p w:rsidR="000D2A42" w:rsidRPr="0067401E" w:rsidRDefault="000D2A42" w:rsidP="000D2A42">
      <w:pPr>
        <w:widowControl/>
        <w:spacing w:after="240"/>
        <w:ind w:left="567" w:hanging="567"/>
        <w:rPr>
          <w:szCs w:val="24"/>
        </w:rPr>
      </w:pPr>
      <w:r w:rsidRPr="0067401E">
        <w:t>17.</w:t>
      </w:r>
      <w:r w:rsidRPr="0067401E">
        <w:tab/>
        <w:t>võtab kontrollikoja aruande põhjal teadmiseks tähelepaneku, et asutus tegi kokku 25 607 euro suuruseid makseid pärast selle lepingu lõppu, mille alusel asutus hankis mobiilsideteenuseid nelja aasta jooksul (2017–2021); võtab teadmiseks kontrollikoja järelduse, et need maksed olid õigusnormide vastased; võtab lisaks teadmiseks kontrollikoja tähelepaneku, et selle lepingu muudatusega, mis allkirjastati 2022. aasta aprillis, rikuti finantsmääruse I lisa punkti 1.1;</w:t>
      </w:r>
    </w:p>
    <w:p w:rsidR="000D2A42" w:rsidRPr="0067401E" w:rsidRDefault="000D2A42" w:rsidP="000D2A42">
      <w:pPr>
        <w:widowControl/>
        <w:spacing w:after="240"/>
        <w:ind w:left="567" w:hanging="567"/>
        <w:rPr>
          <w:szCs w:val="24"/>
        </w:rPr>
      </w:pPr>
      <w:r w:rsidRPr="0067401E">
        <w:t>18.</w:t>
      </w:r>
      <w:r w:rsidRPr="0067401E">
        <w:tab/>
        <w:t>tuletab kontrollikoja aastaaruandest liidu asutuste eelarveaasta 2021 kohta meelde tähelepanekut 288 125 euro suuruse summa kohta, mille asutus maksis alusetult seoses oma ruumide üürilepinguga; võtab eelnevaga seoses teadmiseks asutuse aruande meetmete kohta, mis on võetud eelarve täitmisele heakskiidu andmise eest vastutava institutsiooni soovituste alusel (2021. aasta eelarve täitmisele heakskiidu andmine), asutuse seisukoha, et lepinguliste kohustuste eiramine oleks avaldanud asutusele negatiivset õiguslikku ja mainealast mõju; võtab kontrollikoja aruande põhjal teadmiseks, et selle tähelepaneku staatus on endiselt lahtine; kutsub asutust üles tegema uue rendilepingu hankemenetluse algatamisel kõik vajalikud jõupingutused, et vältida mis tahes vastuolu üürilepinguga kehtestatud kohustuste ja finantsmääruse asjakohaste sätete vahel;</w:t>
      </w:r>
    </w:p>
    <w:p w:rsidR="000D2A42" w:rsidRPr="0067401E" w:rsidRDefault="000D2A42" w:rsidP="000D2A42">
      <w:pPr>
        <w:widowControl/>
        <w:spacing w:after="240"/>
        <w:rPr>
          <w:szCs w:val="24"/>
        </w:rPr>
      </w:pPr>
      <w:r w:rsidRPr="0067401E">
        <w:rPr>
          <w:b/>
          <w:i/>
        </w:rPr>
        <w:t>Huvide konfliktide ennetamine ja ohjamine ning läbipaistvus</w:t>
      </w:r>
    </w:p>
    <w:p w:rsidR="000D2A42" w:rsidRPr="0067401E" w:rsidRDefault="000D2A42" w:rsidP="000D2A42">
      <w:pPr>
        <w:widowControl/>
        <w:spacing w:after="240"/>
        <w:ind w:left="567" w:hanging="567"/>
        <w:rPr>
          <w:szCs w:val="24"/>
        </w:rPr>
      </w:pPr>
      <w:r w:rsidRPr="0067401E">
        <w:t>19.</w:t>
      </w:r>
      <w:r w:rsidRPr="0067401E">
        <w:tab/>
        <w:t xml:space="preserve">väljendab heameelt asjaolu üle, et asutuse õiguslike nõuete kohaselt avaldatakse asutuse veebisaidil tema järelevalvenõukogu liikmete ja juhatuse liikmete elulookirjeldused, asutuse esimehe ja tegevdirektori elulookirjeldused ning asutuse osakonnajuhatajate lühikesed elulookirjeldused; märgib, et iga juhatuse liikme, järelevalvenõukogu liikme ja asutuse kõrgema juhtkonna liikme kohta on avalikult kättesaadavad huvide deklaratsioonid ja kavatsuste deklaratsioonid; väljendab lisaks heameelt selle üle, et asutuse veebisaidil avaldati töötajate kohtumised </w:t>
      </w:r>
      <w:proofErr w:type="spellStart"/>
      <w:r w:rsidRPr="0067401E">
        <w:t>lobistidega</w:t>
      </w:r>
      <w:proofErr w:type="spellEnd"/>
      <w:r w:rsidRPr="0067401E">
        <w:t>;</w:t>
      </w:r>
    </w:p>
    <w:p w:rsidR="000D2A42" w:rsidRPr="0067401E" w:rsidRDefault="000D2A42" w:rsidP="000D2A42">
      <w:pPr>
        <w:widowControl/>
        <w:spacing w:after="240"/>
        <w:ind w:left="567" w:hanging="567"/>
        <w:rPr>
          <w:szCs w:val="24"/>
        </w:rPr>
      </w:pPr>
      <w:r w:rsidRPr="0067401E">
        <w:t>20.</w:t>
      </w:r>
      <w:r w:rsidRPr="0067401E">
        <w:tab/>
        <w:t>väljendab heameelt asjaolu üle, et 2022. aastal tugevdas asutus oma töötajate ja mittekoosseisuliste liikmete eetikanorme, käsitledes nii kontrollikoja tähelepanekuid, mis on esitatud asutuse 2021. aasta raamatupidamise aastaaruannet käsitlevas kontrollikoja aruandes ning mille eesmärk on säilitada erapooletu, objektiivne ja sõltumatu otsuste tegemine ning teha kiiresti kindlaks ja käsitleda võimalikke huvide konflikte; märgib sellega seoses, et vaadati läbi asutuse kodukord, võeti vastu sõltumatuse ja otsustusprotsessi poliitika, et vältida mittekoosseisuliste töötajate huvide konflikte, kiideti heaks esimehe ja tegevdirektori hindamist käsitleva otsuse läbivaatamine ning võeti vastu asutuse töötajate muudetud eetikaeeskirjad;</w:t>
      </w:r>
    </w:p>
    <w:p w:rsidR="000D2A42" w:rsidRPr="0067401E" w:rsidRDefault="000D2A42" w:rsidP="000D2A42">
      <w:pPr>
        <w:widowControl/>
        <w:spacing w:after="240"/>
        <w:ind w:left="567" w:hanging="567"/>
        <w:rPr>
          <w:szCs w:val="24"/>
        </w:rPr>
      </w:pPr>
      <w:r w:rsidRPr="0067401E">
        <w:t>21.</w:t>
      </w:r>
      <w:r w:rsidRPr="0067401E">
        <w:tab/>
        <w:t xml:space="preserve">täheldab seoses rikkumisest teatamisega, et 2022. aastal väljendas üks töötaja muret võimaliku õigusnormide rikkumise juhtumi pärast, ja et asutus haldas seda muret kooskõlas kohaldatavate eeskirjadega; märgib sellega seoses, et asutus teavitas sellest viivitamata Euroopa </w:t>
      </w:r>
      <w:proofErr w:type="spellStart"/>
      <w:r w:rsidRPr="0067401E">
        <w:t>Pettustevastast</w:t>
      </w:r>
      <w:proofErr w:type="spellEnd"/>
      <w:r w:rsidRPr="0067401E">
        <w:t xml:space="preserve"> Ametit (OLAF), kes tegi hindamise ja lükkas juhtumi tagasi põhjendusel, et puudus piisav kahtlus uurimise algatamiseks;</w:t>
      </w:r>
    </w:p>
    <w:p w:rsidR="000D2A42" w:rsidRPr="0067401E" w:rsidRDefault="000D2A42" w:rsidP="000D2A42">
      <w:pPr>
        <w:spacing w:after="240"/>
        <w:ind w:left="567" w:hanging="567"/>
        <w:rPr>
          <w:sz w:val="22"/>
        </w:rPr>
      </w:pPr>
      <w:r w:rsidRPr="0067401E">
        <w:t>22.</w:t>
      </w:r>
      <w:r w:rsidRPr="0067401E">
        <w:tab/>
        <w:t>väljendab heameelt asjaolu üle, et asutuse järelevalvenõukogu vaatas 2022. aasta juulis läbi oma kodukorra, rakendades kontrollikoja tähelepanekut järelevalvenõukogu huvide konfliktiga liikmete kohalolu kohta aruteludel ja hääletamisel; märgib lisaks, et asutuse haldusnõukogu kiitis 2022. aasta detsembris heaks muudetud otsuse esimehe ja tegevdirektori hindamise kohta kooskõlas kontrollikoja tähelepanekutega;</w:t>
      </w:r>
    </w:p>
    <w:p w:rsidR="000D2A42" w:rsidRPr="0067401E" w:rsidRDefault="000D2A42" w:rsidP="000D2A42">
      <w:pPr>
        <w:widowControl/>
        <w:spacing w:after="240"/>
        <w:ind w:left="567" w:hanging="567"/>
        <w:rPr>
          <w:b/>
          <w:i/>
          <w:szCs w:val="24"/>
        </w:rPr>
      </w:pPr>
      <w:proofErr w:type="spellStart"/>
      <w:r w:rsidRPr="0067401E">
        <w:rPr>
          <w:b/>
          <w:i/>
        </w:rPr>
        <w:t>Sisekontroll</w:t>
      </w:r>
      <w:proofErr w:type="spellEnd"/>
    </w:p>
    <w:p w:rsidR="000D2A42" w:rsidRPr="0067401E" w:rsidRDefault="000D2A42" w:rsidP="000D2A42">
      <w:pPr>
        <w:widowControl/>
        <w:spacing w:after="240"/>
        <w:ind w:left="567" w:hanging="567"/>
        <w:rPr>
          <w:szCs w:val="24"/>
        </w:rPr>
      </w:pPr>
      <w:r w:rsidRPr="0067401E">
        <w:t>23.</w:t>
      </w:r>
      <w:r w:rsidRPr="0067401E">
        <w:tab/>
        <w:t xml:space="preserve">märgib, et asutus viis 2022. aastal läbi oma </w:t>
      </w:r>
      <w:proofErr w:type="spellStart"/>
      <w:r w:rsidRPr="0067401E">
        <w:t>sisekontrolliraamistiku</w:t>
      </w:r>
      <w:proofErr w:type="spellEnd"/>
      <w:r w:rsidRPr="0067401E">
        <w:t xml:space="preserve"> iga-aastase hindamise ning jõudis järeldusele, et kõiki komponente ja põhimõtteid rakendatakse ja need toimivad ettenähtud viisil, kusjuures kindlaks tehtud mõõdukate puuduste puhul on vaja teha mõningaid parandusi;</w:t>
      </w:r>
    </w:p>
    <w:p w:rsidR="000D2A42" w:rsidRPr="0067401E" w:rsidRDefault="000D2A42" w:rsidP="000D2A42">
      <w:pPr>
        <w:widowControl/>
        <w:spacing w:after="240"/>
        <w:ind w:left="567" w:hanging="567"/>
        <w:rPr>
          <w:szCs w:val="24"/>
        </w:rPr>
      </w:pPr>
      <w:r w:rsidRPr="0067401E">
        <w:t>24.</w:t>
      </w:r>
      <w:r w:rsidRPr="0067401E">
        <w:tab/>
        <w:t xml:space="preserve">täheldab, et 2022. aastal avaldas </w:t>
      </w:r>
      <w:proofErr w:type="spellStart"/>
      <w:r w:rsidRPr="0067401E">
        <w:t>siseauditi</w:t>
      </w:r>
      <w:proofErr w:type="spellEnd"/>
      <w:r w:rsidRPr="0067401E">
        <w:t xml:space="preserve"> talitus aruande 2021. aastal läbi viidud auditi kohta Euroopa Kindlustus- ja Tööandjapensionide Järelevalve (EIOPA) sekkumismeetmete kohta, mis olid suunatud liikmesriikide pädevatele asutustele ning liidu kindlustus- ja tööandjapensionide sektori turuosalistele; täheldab lisaks, et asutuse kvaliteedikontrolli komitee avaldas ülevaatliku aruande EIOPA ja riiklike pädevate asutuste koostööst ja suhtlusest saadud kogemuste kohta COVID-19 pandeemia ajal; palub asutusel hoida eelarve täitmisele heakskiidu andmise eest vastutavat institutsiooni </w:t>
      </w:r>
      <w:proofErr w:type="spellStart"/>
      <w:r w:rsidRPr="0067401E">
        <w:t>siseauditi</w:t>
      </w:r>
      <w:proofErr w:type="spellEnd"/>
      <w:r w:rsidRPr="0067401E">
        <w:t xml:space="preserve"> talituse ja kvaliteedikontrollikomisjoni soovituste elluviimisega kursis;</w:t>
      </w:r>
    </w:p>
    <w:p w:rsidR="000D2A42" w:rsidRPr="0067401E" w:rsidRDefault="000D2A42" w:rsidP="000D2A42">
      <w:pPr>
        <w:widowControl/>
        <w:spacing w:after="240"/>
        <w:ind w:left="567" w:hanging="567"/>
      </w:pPr>
      <w:r w:rsidRPr="0067401E">
        <w:t>25.</w:t>
      </w:r>
      <w:r w:rsidRPr="0067401E">
        <w:tab/>
        <w:t xml:space="preserve">märgib rahuloluga, et 2022. aastal tegi asutus kindlaks, jälgis ja võttis meetmeid riskide mõju leevendamiseks seoses sellega, et tal ei olnud piisavat suutlikkust rakendada uusi volitusi ja ülesandeid, täites samal ajal olemasolevaid kohustusi, vajaliku pädevusega kvalifitseeritud töötajate puudusega atraktiivsuse ja värbamise ning </w:t>
      </w:r>
      <w:proofErr w:type="spellStart"/>
      <w:r w:rsidRPr="0067401E">
        <w:t>küberturvalisuse</w:t>
      </w:r>
      <w:proofErr w:type="spellEnd"/>
      <w:r w:rsidRPr="0067401E">
        <w:t xml:space="preserve"> ohtude ja talitluspidevusega seotud probleemide tõttu;</w:t>
      </w:r>
    </w:p>
    <w:p w:rsidR="000D2A42" w:rsidRPr="0067401E" w:rsidRDefault="000D2A42" w:rsidP="000D2A42">
      <w:pPr>
        <w:widowControl/>
        <w:spacing w:after="240"/>
        <w:ind w:left="567" w:hanging="567"/>
      </w:pPr>
      <w:r w:rsidRPr="0067401E">
        <w:t>26.</w:t>
      </w:r>
      <w:r w:rsidRPr="0067401E">
        <w:tab/>
        <w:t xml:space="preserve">märgib, et asutus jätkas 2022. aastal tarbijakaitse valdkonna järelevalvevahendite auditi (2019–2020) ülejäänud soovituste käsitlemist; märgib lisaks, et auditi tulemusel esitati neli soovitust, mida on käsitletud nii, et </w:t>
      </w:r>
      <w:proofErr w:type="spellStart"/>
      <w:r w:rsidRPr="0067401E">
        <w:t>siseauditi</w:t>
      </w:r>
      <w:proofErr w:type="spellEnd"/>
      <w:r w:rsidRPr="0067401E">
        <w:t xml:space="preserve"> talitus viis kaks soovitust 2021. aasta novembris ametlikult lõpule ja kaks soovitust lõpetati ametlikult 2022. aasta juunis;</w:t>
      </w:r>
    </w:p>
    <w:p w:rsidR="000D2A42" w:rsidRPr="0067401E" w:rsidRDefault="000D2A42" w:rsidP="000D2A42">
      <w:pPr>
        <w:widowControl/>
        <w:spacing w:after="240"/>
        <w:ind w:left="567" w:hanging="567"/>
        <w:rPr>
          <w:b/>
          <w:i/>
          <w:szCs w:val="24"/>
        </w:rPr>
      </w:pPr>
      <w:r w:rsidRPr="0067401E">
        <w:rPr>
          <w:b/>
          <w:i/>
        </w:rPr>
        <w:t>Muud kommentaarid</w:t>
      </w:r>
    </w:p>
    <w:p w:rsidR="000D2A42" w:rsidRPr="0067401E" w:rsidRDefault="000D2A42" w:rsidP="000D2A42">
      <w:pPr>
        <w:spacing w:after="240"/>
        <w:ind w:left="567" w:hanging="567"/>
        <w:rPr>
          <w:szCs w:val="24"/>
        </w:rPr>
      </w:pPr>
      <w:r w:rsidRPr="0067401E">
        <w:t>27.</w:t>
      </w:r>
      <w:r w:rsidRPr="0067401E">
        <w:tab/>
        <w:t xml:space="preserve">märgib, et 2022. aastal andis asutus koos teiste Euroopa järelevalveasutustega tarbijatele hoiatusi paljude </w:t>
      </w:r>
      <w:proofErr w:type="spellStart"/>
      <w:r w:rsidRPr="0067401E">
        <w:t>krüptovaradega</w:t>
      </w:r>
      <w:proofErr w:type="spellEnd"/>
      <w:r w:rsidRPr="0067401E">
        <w:t xml:space="preserve"> seotud suure riskiga ja spekulatiivse tegevuse kohta;</w:t>
      </w:r>
    </w:p>
    <w:p w:rsidR="000D2A42" w:rsidRPr="0067401E" w:rsidRDefault="000D2A42" w:rsidP="000D2A42">
      <w:pPr>
        <w:spacing w:after="240"/>
        <w:ind w:left="567" w:hanging="567"/>
        <w:rPr>
          <w:szCs w:val="24"/>
        </w:rPr>
      </w:pPr>
      <w:r w:rsidRPr="0067401E">
        <w:t>28.</w:t>
      </w:r>
      <w:r w:rsidRPr="0067401E">
        <w:tab/>
        <w:t xml:space="preserve">võtab asutuse vastuste põhjal eelarve täitmisele heakskiidu andmise eest vastutava institutsiooni küsimustele teadmiseks, et asutus kasutab praegu komisjoni </w:t>
      </w:r>
      <w:proofErr w:type="spellStart"/>
      <w:r w:rsidRPr="0067401E">
        <w:t>e-hanke</w:t>
      </w:r>
      <w:proofErr w:type="spellEnd"/>
      <w:r w:rsidRPr="0067401E">
        <w:t xml:space="preserve"> vahendeid (e-hanked, pakkumuste elektrooniline esitamine, </w:t>
      </w:r>
      <w:proofErr w:type="spellStart"/>
      <w:r w:rsidRPr="0067401E">
        <w:t>e-arved</w:t>
      </w:r>
      <w:proofErr w:type="spellEnd"/>
      <w:r w:rsidRPr="0067401E">
        <w:t>) ja riigihangete haldamise vahendit (PPMT) (alates 2023. aasta juulist); väljendab heameelt asjaolu üle, et EIOPA hankemenetlused sisaldavad võimaluse korral keskkonnahoidlike riigihangete kriteeriumide nõudeid ning EIOPA pakkujad peavad muu hulgas allkirjastama kirjaliku kinnituse keskkonnaalaste ja sotsiaalsete kohustuste täitmise kohta;</w:t>
      </w:r>
    </w:p>
    <w:p w:rsidR="000D2A42" w:rsidRPr="0067401E" w:rsidRDefault="000D2A42" w:rsidP="000D2A42">
      <w:pPr>
        <w:spacing w:after="240"/>
        <w:ind w:left="567" w:hanging="567"/>
        <w:rPr>
          <w:szCs w:val="24"/>
        </w:rPr>
      </w:pPr>
      <w:r w:rsidRPr="0067401E">
        <w:t>29.</w:t>
      </w:r>
      <w:r w:rsidRPr="0067401E">
        <w:tab/>
        <w:t>märgib, et 2022. aastal avaldas asutus oma töö tulemused aruannetena oma veebisaidil ja sotsiaalmeedias, kusjuures enamiku aruannetega kaasnes pressiteade; väljendab heameelt asjaolu üle, et mõnel juhul on aruannetele lisatud ka kokkuvõtted, lühikesed sotsiaalmeediaklipid või lühiintervjuud, et selgitada sisu lihtsamalt;</w:t>
      </w:r>
    </w:p>
    <w:p w:rsidR="00682DCC" w:rsidRPr="0067401E" w:rsidRDefault="00682DCC" w:rsidP="00682DCC">
      <w:pPr>
        <w:keepLines/>
        <w:spacing w:before="100" w:beforeAutospacing="1" w:after="100" w:afterAutospacing="1"/>
        <w:jc w:val="center"/>
      </w:pPr>
      <w:r w:rsidRPr="0067401E">
        <w:rPr>
          <w:noProof/>
        </w:rPr>
        <w:t>o</w:t>
      </w:r>
      <w:r w:rsidRPr="0067401E">
        <w:rPr>
          <w:noProof/>
        </w:rPr>
        <w:br/>
        <w:t>o   o</w:t>
      </w:r>
    </w:p>
    <w:p w:rsidR="000D2A42" w:rsidRPr="0067401E" w:rsidRDefault="000D2A42" w:rsidP="000D2A42">
      <w:pPr>
        <w:pStyle w:val="NormalHanging12a"/>
      </w:pPr>
      <w:r w:rsidRPr="0067401E">
        <w:t>30.</w:t>
      </w:r>
      <w:r w:rsidRPr="0067401E">
        <w:tab/>
        <w:t xml:space="preserve">viitab eelarve täitmisele heakskiidu andmise otsusele lisatud muude horisontaalsete tähelepanekute osas oma </w:t>
      </w:r>
      <w:r w:rsidR="00682DCC" w:rsidRPr="0067401E">
        <w:t>11. </w:t>
      </w:r>
      <w:r w:rsidRPr="0067401E">
        <w:t>aprilli 2024. aasta resolutsioonile</w:t>
      </w:r>
      <w:r w:rsidRPr="0067401E">
        <w:rPr>
          <w:rStyle w:val="FootnoteReference"/>
        </w:rPr>
        <w:footnoteReference w:id="12"/>
      </w:r>
      <w:r w:rsidRPr="0067401E">
        <w:t>, mis käsitleb ametite tulemusi, finantsjuhtimist ja kontrolli.</w:t>
      </w:r>
    </w:p>
    <w:p w:rsidR="000D2A42" w:rsidRPr="0067401E" w:rsidRDefault="000D2A42" w:rsidP="000D2A42"/>
    <w:p w:rsidR="00E365E1" w:rsidRPr="0067401E" w:rsidRDefault="00E365E1" w:rsidP="000D27E0">
      <w:bookmarkStart w:id="13" w:name="TextBodyEnd"/>
      <w:bookmarkEnd w:id="13"/>
    </w:p>
    <w:sectPr w:rsidR="00E365E1" w:rsidRPr="0067401E" w:rsidSect="005F479B">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27E0" w:rsidRPr="005F479B" w:rsidRDefault="000D27E0">
      <w:r w:rsidRPr="005F479B">
        <w:separator/>
      </w:r>
    </w:p>
  </w:endnote>
  <w:endnote w:type="continuationSeparator" w:id="0">
    <w:p w:rsidR="000D27E0" w:rsidRPr="005F479B" w:rsidRDefault="000D27E0">
      <w:r w:rsidRPr="005F479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2A42" w:rsidRPr="005F479B" w:rsidRDefault="000D2A42" w:rsidP="003E70B9">
    <w:pPr>
      <w:pStyle w:val="EPFooter"/>
    </w:pPr>
    <w:r w:rsidRPr="005F479B">
      <w:t>PE</w:t>
    </w:r>
    <w:r w:rsidRPr="005F479B">
      <w:rPr>
        <w:rStyle w:val="HideTWBExt"/>
      </w:rPr>
      <w:t>&lt;NoPE&gt;</w:t>
    </w:r>
    <w:r w:rsidRPr="005F479B">
      <w:t>753.521</w:t>
    </w:r>
    <w:r w:rsidRPr="005F479B">
      <w:rPr>
        <w:rStyle w:val="HideTWBExt"/>
      </w:rPr>
      <w:t>&lt;/NoPE&gt;&lt;Version&gt;</w:t>
    </w:r>
    <w:r w:rsidRPr="005F479B">
      <w:t>v02-00</w:t>
    </w:r>
    <w:r w:rsidRPr="005F479B">
      <w:rPr>
        <w:rStyle w:val="HideTWBExt"/>
      </w:rPr>
      <w:t>&lt;/Version&gt;</w:t>
    </w:r>
    <w:r w:rsidRPr="005F479B">
      <w:tab/>
    </w:r>
    <w:r w:rsidRPr="005F479B">
      <w:fldChar w:fldCharType="begin"/>
    </w:r>
    <w:r w:rsidRPr="005F479B">
      <w:instrText xml:space="preserve"> PAGE  \* MERGEFORMAT </w:instrText>
    </w:r>
    <w:r w:rsidRPr="005F479B">
      <w:fldChar w:fldCharType="separate"/>
    </w:r>
    <w:r w:rsidR="005F479B" w:rsidRPr="005F479B">
      <w:rPr>
        <w:noProof/>
      </w:rPr>
      <w:t>2</w:t>
    </w:r>
    <w:r w:rsidRPr="005F479B">
      <w:fldChar w:fldCharType="end"/>
    </w:r>
    <w:r w:rsidRPr="005F479B">
      <w:t>/</w:t>
    </w:r>
    <w:fldSimple w:instr=" NUMPAGES  \* MERGEFORMAT ">
      <w:r w:rsidR="005F479B" w:rsidRPr="005F479B">
        <w:rPr>
          <w:noProof/>
        </w:rPr>
        <w:t>4</w:t>
      </w:r>
    </w:fldSimple>
    <w:r w:rsidRPr="005F479B">
      <w:tab/>
    </w:r>
    <w:r w:rsidRPr="005F479B">
      <w:rPr>
        <w:rStyle w:val="HideTWBExt"/>
      </w:rPr>
      <w:t>&lt;PathFdR&gt;</w:t>
    </w:r>
    <w:r w:rsidRPr="005F479B">
      <w:t>RR\1298747ET.docx</w:t>
    </w:r>
    <w:r w:rsidRPr="005F479B">
      <w:rPr>
        <w:rStyle w:val="HideTWBExt"/>
      </w:rPr>
      <w:t>&lt;/PathFdR&gt;</w:t>
    </w:r>
  </w:p>
  <w:p w:rsidR="000D2A42" w:rsidRPr="005F479B" w:rsidRDefault="000D2A42" w:rsidP="003E70B9">
    <w:pPr>
      <w:pStyle w:val="EPFooter2"/>
    </w:pPr>
    <w:r w:rsidRPr="005F479B">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2A42" w:rsidRPr="005F479B" w:rsidRDefault="000D2A42" w:rsidP="003E70B9">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2A42" w:rsidRPr="005F479B" w:rsidRDefault="000D2A42" w:rsidP="003E70B9">
    <w:pPr>
      <w:pStyle w:val="EPFooter"/>
    </w:pPr>
    <w:r w:rsidRPr="005F479B">
      <w:rPr>
        <w:rStyle w:val="HideTWBExt"/>
      </w:rPr>
      <w:t>&lt;PathFdR&gt;</w:t>
    </w:r>
    <w:r w:rsidRPr="005F479B">
      <w:t>RR\1298747ET.docx</w:t>
    </w:r>
    <w:r w:rsidRPr="005F479B">
      <w:rPr>
        <w:rStyle w:val="HideTWBExt"/>
      </w:rPr>
      <w:t>&lt;/PathFdR&gt;</w:t>
    </w:r>
    <w:r w:rsidRPr="005F479B">
      <w:tab/>
    </w:r>
    <w:r w:rsidRPr="005F479B">
      <w:tab/>
      <w:t>PE</w:t>
    </w:r>
    <w:r w:rsidRPr="005F479B">
      <w:rPr>
        <w:rStyle w:val="HideTWBExt"/>
      </w:rPr>
      <w:t>&lt;NoPE&gt;</w:t>
    </w:r>
    <w:r w:rsidRPr="005F479B">
      <w:t>753.521</w:t>
    </w:r>
    <w:r w:rsidRPr="005F479B">
      <w:rPr>
        <w:rStyle w:val="HideTWBExt"/>
      </w:rPr>
      <w:t>&lt;/NoPE&gt;&lt;Version&gt;</w:t>
    </w:r>
    <w:r w:rsidRPr="005F479B">
      <w:t>v02-00</w:t>
    </w:r>
    <w:r w:rsidRPr="005F479B">
      <w:rPr>
        <w:rStyle w:val="HideTWBExt"/>
      </w:rPr>
      <w:t>&lt;/Version&gt;</w:t>
    </w:r>
  </w:p>
  <w:p w:rsidR="000D2A42" w:rsidRPr="005F479B" w:rsidRDefault="000D2A42" w:rsidP="003E70B9">
    <w:pPr>
      <w:pStyle w:val="EPFooter2"/>
    </w:pPr>
    <w:r w:rsidRPr="005F479B">
      <w:t>ET</w:t>
    </w:r>
    <w:r w:rsidRPr="005F479B">
      <w:tab/>
    </w:r>
    <w:r w:rsidRPr="005F479B">
      <w:rPr>
        <w:b w:val="0"/>
        <w:i/>
        <w:color w:val="C0C0C0"/>
        <w:sz w:val="22"/>
      </w:rPr>
      <w:t>Ühinenud mitmekesisuses</w:t>
    </w:r>
    <w:r w:rsidRPr="005F479B">
      <w:tab/>
      <w:t>ET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479B"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479B"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479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27E0" w:rsidRPr="005F479B" w:rsidRDefault="000D27E0">
      <w:r w:rsidRPr="005F479B">
        <w:separator/>
      </w:r>
    </w:p>
  </w:footnote>
  <w:footnote w:type="continuationSeparator" w:id="0">
    <w:p w:rsidR="000D27E0" w:rsidRPr="005F479B" w:rsidRDefault="000D27E0">
      <w:r w:rsidRPr="005F479B">
        <w:continuationSeparator/>
      </w:r>
    </w:p>
  </w:footnote>
  <w:footnote w:id="1">
    <w:p w:rsidR="000D2A42" w:rsidRPr="005F479B" w:rsidRDefault="000D2A42" w:rsidP="005F479B">
      <w:pPr>
        <w:pStyle w:val="FootnoteText"/>
        <w:ind w:left="567" w:hanging="567"/>
        <w:rPr>
          <w:sz w:val="24"/>
          <w:lang w:val="et-EE"/>
        </w:rPr>
      </w:pPr>
      <w:r w:rsidRPr="005F479B">
        <w:rPr>
          <w:rStyle w:val="FootnoteReference"/>
          <w:sz w:val="24"/>
          <w:lang w:val="et-EE"/>
        </w:rPr>
        <w:footnoteRef/>
      </w:r>
      <w:r w:rsidR="005F479B" w:rsidRPr="005F479B">
        <w:rPr>
          <w:sz w:val="24"/>
          <w:lang w:val="et-EE"/>
        </w:rPr>
        <w:t xml:space="preserve"> </w:t>
      </w:r>
      <w:r w:rsidR="005F479B" w:rsidRPr="005F479B">
        <w:rPr>
          <w:sz w:val="24"/>
          <w:lang w:val="et-EE"/>
        </w:rPr>
        <w:tab/>
      </w:r>
      <w:r w:rsidRPr="005F479B">
        <w:rPr>
          <w:sz w:val="24"/>
          <w:lang w:val="et-EE"/>
        </w:rPr>
        <w:t>ELT C, C/2023/594, 27.10.2023.</w:t>
      </w:r>
    </w:p>
  </w:footnote>
  <w:footnote w:id="2">
    <w:p w:rsidR="000D2A42" w:rsidRPr="005F479B" w:rsidRDefault="000D2A42" w:rsidP="005F479B">
      <w:pPr>
        <w:pStyle w:val="FootnoteText"/>
        <w:ind w:left="567" w:hanging="567"/>
        <w:rPr>
          <w:sz w:val="24"/>
          <w:lang w:val="et-EE"/>
        </w:rPr>
      </w:pPr>
      <w:r w:rsidRPr="005F479B">
        <w:rPr>
          <w:rStyle w:val="FootnoteReference"/>
          <w:sz w:val="24"/>
          <w:lang w:val="et-EE"/>
        </w:rPr>
        <w:footnoteRef/>
      </w:r>
      <w:r w:rsidR="005F479B" w:rsidRPr="005F479B">
        <w:rPr>
          <w:sz w:val="24"/>
          <w:lang w:val="et-EE"/>
        </w:rPr>
        <w:t xml:space="preserve"> </w:t>
      </w:r>
      <w:r w:rsidR="005F479B" w:rsidRPr="005F479B">
        <w:rPr>
          <w:sz w:val="24"/>
          <w:lang w:val="et-EE"/>
        </w:rPr>
        <w:tab/>
      </w:r>
      <w:r w:rsidRPr="005F479B">
        <w:rPr>
          <w:sz w:val="24"/>
          <w:lang w:val="et-EE"/>
        </w:rPr>
        <w:t>ELT C, C/2023/112, 12.10.2023.</w:t>
      </w:r>
    </w:p>
  </w:footnote>
  <w:footnote w:id="3">
    <w:p w:rsidR="000D2A42" w:rsidRPr="005F479B" w:rsidRDefault="000D2A42" w:rsidP="005F479B">
      <w:pPr>
        <w:pStyle w:val="FootnoteText"/>
        <w:ind w:left="567" w:hanging="567"/>
        <w:rPr>
          <w:sz w:val="24"/>
          <w:lang w:val="et-EE"/>
        </w:rPr>
      </w:pPr>
      <w:r w:rsidRPr="005F479B">
        <w:rPr>
          <w:rStyle w:val="FootnoteReference"/>
          <w:sz w:val="24"/>
          <w:lang w:val="et-EE"/>
        </w:rPr>
        <w:footnoteRef/>
      </w:r>
      <w:r w:rsidR="005F479B" w:rsidRPr="005F479B">
        <w:rPr>
          <w:sz w:val="24"/>
          <w:lang w:val="et-EE"/>
        </w:rPr>
        <w:t xml:space="preserve"> </w:t>
      </w:r>
      <w:r w:rsidR="005F479B" w:rsidRPr="005F479B">
        <w:rPr>
          <w:sz w:val="24"/>
          <w:lang w:val="et-EE"/>
        </w:rPr>
        <w:tab/>
      </w:r>
      <w:r w:rsidRPr="005F479B">
        <w:rPr>
          <w:sz w:val="24"/>
          <w:lang w:val="et-EE"/>
        </w:rPr>
        <w:t>ELT L 193, 30.7.2018, lk 1.</w:t>
      </w:r>
    </w:p>
  </w:footnote>
  <w:footnote w:id="4">
    <w:p w:rsidR="000D2A42" w:rsidRPr="005F479B" w:rsidRDefault="000D2A42" w:rsidP="005F479B">
      <w:pPr>
        <w:pStyle w:val="FootnoteText"/>
        <w:ind w:left="567" w:hanging="567"/>
        <w:rPr>
          <w:sz w:val="24"/>
          <w:lang w:val="et-EE"/>
        </w:rPr>
      </w:pPr>
      <w:r w:rsidRPr="005F479B">
        <w:rPr>
          <w:rStyle w:val="FootnoteReference"/>
          <w:sz w:val="24"/>
          <w:lang w:val="et-EE"/>
        </w:rPr>
        <w:footnoteRef/>
      </w:r>
      <w:r w:rsidR="005F479B" w:rsidRPr="005F479B">
        <w:rPr>
          <w:sz w:val="24"/>
          <w:lang w:val="et-EE"/>
        </w:rPr>
        <w:t xml:space="preserve"> </w:t>
      </w:r>
      <w:r w:rsidR="005F479B" w:rsidRPr="005F479B">
        <w:rPr>
          <w:sz w:val="24"/>
          <w:lang w:val="et-EE"/>
        </w:rPr>
        <w:tab/>
      </w:r>
      <w:r w:rsidRPr="005F479B">
        <w:rPr>
          <w:sz w:val="24"/>
          <w:lang w:val="et-EE"/>
        </w:rPr>
        <w:t>ELT L 331, 15.12.2010, lk 48.</w:t>
      </w:r>
    </w:p>
  </w:footnote>
  <w:footnote w:id="5">
    <w:p w:rsidR="000D2A42" w:rsidRPr="005F479B" w:rsidRDefault="000D2A42" w:rsidP="005F479B">
      <w:pPr>
        <w:pStyle w:val="FootnoteText"/>
        <w:ind w:left="567" w:hanging="567"/>
        <w:rPr>
          <w:sz w:val="24"/>
          <w:szCs w:val="24"/>
          <w:lang w:val="et-EE"/>
        </w:rPr>
      </w:pPr>
      <w:r w:rsidRPr="005F479B">
        <w:rPr>
          <w:rStyle w:val="FootnoteReference"/>
          <w:sz w:val="24"/>
          <w:lang w:val="et-EE"/>
        </w:rPr>
        <w:footnoteRef/>
      </w:r>
      <w:r w:rsidR="005F479B" w:rsidRPr="005F479B">
        <w:rPr>
          <w:sz w:val="24"/>
          <w:lang w:val="et-EE"/>
        </w:rPr>
        <w:t xml:space="preserve"> </w:t>
      </w:r>
      <w:r w:rsidR="005F479B" w:rsidRPr="005F479B">
        <w:rPr>
          <w:sz w:val="24"/>
          <w:lang w:val="et-EE"/>
        </w:rPr>
        <w:tab/>
      </w:r>
      <w:r w:rsidRPr="005F479B">
        <w:rPr>
          <w:sz w:val="24"/>
          <w:lang w:val="et-EE"/>
        </w:rPr>
        <w:t>ELT L 122, 10.5.2019, lk 1.</w:t>
      </w:r>
    </w:p>
  </w:footnote>
  <w:footnote w:id="6">
    <w:p w:rsidR="000D2A42" w:rsidRPr="005F479B" w:rsidRDefault="000D2A42" w:rsidP="005F479B">
      <w:pPr>
        <w:pStyle w:val="FootnoteText"/>
        <w:ind w:left="567" w:hanging="567"/>
        <w:rPr>
          <w:sz w:val="24"/>
          <w:lang w:val="et-EE"/>
        </w:rPr>
      </w:pPr>
      <w:r w:rsidRPr="005F479B">
        <w:rPr>
          <w:rStyle w:val="FootnoteReference"/>
          <w:sz w:val="24"/>
          <w:lang w:val="et-EE"/>
        </w:rPr>
        <w:footnoteRef/>
      </w:r>
      <w:r w:rsidR="005F479B" w:rsidRPr="005F479B">
        <w:rPr>
          <w:sz w:val="24"/>
          <w:lang w:val="et-EE"/>
        </w:rPr>
        <w:t xml:space="preserve"> </w:t>
      </w:r>
      <w:r w:rsidR="005F479B" w:rsidRPr="005F479B">
        <w:rPr>
          <w:sz w:val="24"/>
          <w:lang w:val="et-EE"/>
        </w:rPr>
        <w:tab/>
      </w:r>
      <w:r w:rsidRPr="005F479B">
        <w:rPr>
          <w:sz w:val="24"/>
          <w:lang w:val="et-EE"/>
        </w:rPr>
        <w:t>ELT C, C/2023/594, 27.10.2023.</w:t>
      </w:r>
    </w:p>
  </w:footnote>
  <w:footnote w:id="7">
    <w:p w:rsidR="000D2A42" w:rsidRPr="005F479B" w:rsidRDefault="000D2A42" w:rsidP="005F479B">
      <w:pPr>
        <w:pStyle w:val="FootnoteText"/>
        <w:ind w:left="567" w:hanging="567"/>
        <w:rPr>
          <w:sz w:val="24"/>
          <w:lang w:val="et-EE"/>
        </w:rPr>
      </w:pPr>
      <w:r w:rsidRPr="005F479B">
        <w:rPr>
          <w:rStyle w:val="FootnoteReference"/>
          <w:sz w:val="24"/>
          <w:lang w:val="et-EE"/>
        </w:rPr>
        <w:footnoteRef/>
      </w:r>
      <w:r w:rsidR="005F479B" w:rsidRPr="005F479B">
        <w:rPr>
          <w:sz w:val="24"/>
          <w:lang w:val="et-EE"/>
        </w:rPr>
        <w:t xml:space="preserve"> </w:t>
      </w:r>
      <w:r w:rsidR="005F479B" w:rsidRPr="005F479B">
        <w:rPr>
          <w:sz w:val="24"/>
          <w:lang w:val="et-EE"/>
        </w:rPr>
        <w:tab/>
      </w:r>
      <w:r w:rsidRPr="005F479B">
        <w:rPr>
          <w:sz w:val="24"/>
          <w:lang w:val="et-EE"/>
        </w:rPr>
        <w:t>ELT C, C/2023/112, 12.10.2023.</w:t>
      </w:r>
    </w:p>
  </w:footnote>
  <w:footnote w:id="8">
    <w:p w:rsidR="000D2A42" w:rsidRPr="005F479B" w:rsidRDefault="000D2A42" w:rsidP="005F479B">
      <w:pPr>
        <w:pStyle w:val="FootnoteText"/>
        <w:ind w:left="567" w:hanging="567"/>
        <w:rPr>
          <w:sz w:val="24"/>
          <w:lang w:val="et-EE"/>
        </w:rPr>
      </w:pPr>
      <w:r w:rsidRPr="005F479B">
        <w:rPr>
          <w:rStyle w:val="FootnoteReference"/>
          <w:sz w:val="24"/>
          <w:lang w:val="et-EE"/>
        </w:rPr>
        <w:footnoteRef/>
      </w:r>
      <w:r w:rsidR="005F479B" w:rsidRPr="005F479B">
        <w:rPr>
          <w:sz w:val="24"/>
          <w:lang w:val="et-EE"/>
        </w:rPr>
        <w:t xml:space="preserve"> </w:t>
      </w:r>
      <w:r w:rsidR="005F479B" w:rsidRPr="005F479B">
        <w:rPr>
          <w:sz w:val="24"/>
          <w:lang w:val="et-EE"/>
        </w:rPr>
        <w:tab/>
      </w:r>
      <w:r w:rsidRPr="005F479B">
        <w:rPr>
          <w:sz w:val="24"/>
          <w:lang w:val="et-EE"/>
        </w:rPr>
        <w:t>ELT L 193, 30.7.2018, lk 1.</w:t>
      </w:r>
    </w:p>
  </w:footnote>
  <w:footnote w:id="9">
    <w:p w:rsidR="000D2A42" w:rsidRPr="005F479B" w:rsidRDefault="000D2A42" w:rsidP="005F479B">
      <w:pPr>
        <w:pStyle w:val="FootnoteText"/>
        <w:ind w:left="567" w:hanging="567"/>
        <w:rPr>
          <w:sz w:val="24"/>
          <w:lang w:val="et-EE"/>
        </w:rPr>
      </w:pPr>
      <w:r w:rsidRPr="005F479B">
        <w:rPr>
          <w:rStyle w:val="FootnoteReference"/>
          <w:sz w:val="24"/>
          <w:lang w:val="et-EE"/>
        </w:rPr>
        <w:footnoteRef/>
      </w:r>
      <w:r w:rsidR="005F479B" w:rsidRPr="005F479B">
        <w:rPr>
          <w:sz w:val="24"/>
          <w:lang w:val="et-EE"/>
        </w:rPr>
        <w:t xml:space="preserve"> </w:t>
      </w:r>
      <w:r w:rsidR="005F479B" w:rsidRPr="005F479B">
        <w:rPr>
          <w:sz w:val="24"/>
          <w:lang w:val="et-EE"/>
        </w:rPr>
        <w:tab/>
      </w:r>
      <w:r w:rsidRPr="005F479B">
        <w:rPr>
          <w:sz w:val="24"/>
          <w:lang w:val="et-EE"/>
        </w:rPr>
        <w:t>ELT L 331, 15.12.2010, lk 48.</w:t>
      </w:r>
    </w:p>
  </w:footnote>
  <w:footnote w:id="10">
    <w:p w:rsidR="000D2A42" w:rsidRPr="005F479B" w:rsidRDefault="000D2A42" w:rsidP="005F479B">
      <w:pPr>
        <w:pStyle w:val="FootnoteText"/>
        <w:ind w:left="567" w:hanging="567"/>
        <w:rPr>
          <w:sz w:val="24"/>
          <w:szCs w:val="24"/>
          <w:lang w:val="et-EE"/>
        </w:rPr>
      </w:pPr>
      <w:r w:rsidRPr="005F479B">
        <w:rPr>
          <w:rStyle w:val="FootnoteReference"/>
          <w:sz w:val="24"/>
          <w:lang w:val="et-EE"/>
        </w:rPr>
        <w:footnoteRef/>
      </w:r>
      <w:r w:rsidR="005F479B" w:rsidRPr="005F479B">
        <w:rPr>
          <w:sz w:val="24"/>
          <w:lang w:val="et-EE"/>
        </w:rPr>
        <w:t xml:space="preserve"> </w:t>
      </w:r>
      <w:r w:rsidR="005F479B" w:rsidRPr="005F479B">
        <w:rPr>
          <w:sz w:val="24"/>
          <w:lang w:val="et-EE"/>
        </w:rPr>
        <w:tab/>
      </w:r>
      <w:r w:rsidRPr="005F479B">
        <w:rPr>
          <w:sz w:val="24"/>
          <w:lang w:val="et-EE"/>
        </w:rPr>
        <w:t>ELT L 122, 10.5.2019, lk 1.</w:t>
      </w:r>
    </w:p>
  </w:footnote>
  <w:footnote w:id="11">
    <w:p w:rsidR="000D2A42" w:rsidRPr="005F479B" w:rsidRDefault="000D2A42" w:rsidP="005F479B">
      <w:pPr>
        <w:pStyle w:val="FootnoteText"/>
        <w:ind w:left="567" w:hanging="567"/>
        <w:rPr>
          <w:sz w:val="24"/>
          <w:lang w:val="et-EE"/>
        </w:rPr>
      </w:pPr>
      <w:r w:rsidRPr="005F479B">
        <w:rPr>
          <w:rStyle w:val="FootnoteReference"/>
          <w:sz w:val="24"/>
          <w:lang w:val="et-EE"/>
        </w:rPr>
        <w:footnoteRef/>
      </w:r>
      <w:r w:rsidR="005F479B" w:rsidRPr="005F479B">
        <w:rPr>
          <w:sz w:val="24"/>
          <w:lang w:val="et-EE"/>
        </w:rPr>
        <w:t xml:space="preserve"> </w:t>
      </w:r>
      <w:r w:rsidR="005F479B" w:rsidRPr="005F479B">
        <w:rPr>
          <w:sz w:val="24"/>
          <w:lang w:val="et-EE"/>
        </w:rPr>
        <w:tab/>
      </w:r>
      <w:r w:rsidRPr="005F479B">
        <w:rPr>
          <w:sz w:val="24"/>
          <w:lang w:val="et-EE"/>
        </w:rPr>
        <w:t>ELT C 38, 31.1.2023, lk 78.</w:t>
      </w:r>
    </w:p>
  </w:footnote>
  <w:footnote w:id="12">
    <w:p w:rsidR="000D2A42" w:rsidRPr="005F479B" w:rsidRDefault="000D2A42" w:rsidP="005F479B">
      <w:pPr>
        <w:pStyle w:val="FootnoteText"/>
        <w:ind w:left="567" w:hanging="567"/>
        <w:rPr>
          <w:sz w:val="24"/>
          <w:lang w:val="et-EE"/>
        </w:rPr>
      </w:pPr>
      <w:r w:rsidRPr="005F479B">
        <w:rPr>
          <w:rStyle w:val="FootnoteReference"/>
          <w:sz w:val="24"/>
          <w:lang w:val="et-EE"/>
        </w:rPr>
        <w:footnoteRef/>
      </w:r>
      <w:r w:rsidR="005F479B" w:rsidRPr="005F479B">
        <w:rPr>
          <w:sz w:val="24"/>
          <w:lang w:val="et-EE"/>
        </w:rPr>
        <w:t xml:space="preserve"> </w:t>
      </w:r>
      <w:r w:rsidR="005F479B" w:rsidRPr="005F479B">
        <w:rPr>
          <w:sz w:val="24"/>
          <w:lang w:val="et-EE"/>
        </w:rPr>
        <w:tab/>
      </w:r>
      <w:r w:rsidRPr="005F479B">
        <w:rPr>
          <w:sz w:val="24"/>
          <w:lang w:val="et-EE"/>
        </w:rPr>
        <w:t>Vastuvõetud tekstid, P9_TA(2024)0</w:t>
      </w:r>
      <w:r w:rsidR="000F3F8A">
        <w:rPr>
          <w:sz w:val="24"/>
          <w:lang w:val="et-EE"/>
        </w:rPr>
        <w:t>280</w:t>
      </w:r>
      <w:r w:rsidRPr="005F479B">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2A42" w:rsidRPr="005F479B" w:rsidRDefault="000D2A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2A42" w:rsidRPr="005F479B" w:rsidRDefault="000D2A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2A42" w:rsidRPr="005F479B" w:rsidRDefault="000D2A4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479B"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479B"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F479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7/2024"/>
    <w:docVar w:name="dvlangue" w:val="ET"/>
    <w:docVar w:name="dvnumam" w:val="0"/>
    <w:docVar w:name="dvpe" w:val="753.521"/>
    <w:docVar w:name="dvrapporteur" w:val="Raportöör: "/>
    <w:docVar w:name="dvtitre" w:val="Euroopa Parlamendi .... 2024. aasta otsus Euroopa Kindlustus- ja Tööandjapensionide Järelevalve 2022. aasta eelarve täitmisele heakskiidu andmise kohta(2023/2153(DEC))"/>
  </w:docVars>
  <w:rsids>
    <w:rsidRoot w:val="000D27E0"/>
    <w:rsid w:val="00002272"/>
    <w:rsid w:val="00064002"/>
    <w:rsid w:val="000677B9"/>
    <w:rsid w:val="000831BA"/>
    <w:rsid w:val="000A42CC"/>
    <w:rsid w:val="000D27E0"/>
    <w:rsid w:val="000D2A42"/>
    <w:rsid w:val="000E7DD9"/>
    <w:rsid w:val="000F3F8A"/>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479B"/>
    <w:rsid w:val="006037C0"/>
    <w:rsid w:val="006631B6"/>
    <w:rsid w:val="0067401E"/>
    <w:rsid w:val="00680577"/>
    <w:rsid w:val="00682DCC"/>
    <w:rsid w:val="006F74FA"/>
    <w:rsid w:val="00724108"/>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8287F9C-B1C2-45FB-8FAE-3172098D6E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D2A4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D2A42"/>
    <w:pPr>
      <w:spacing w:before="480" w:after="240"/>
    </w:pPr>
  </w:style>
  <w:style w:type="paragraph" w:customStyle="1" w:styleId="PageHeading">
    <w:name w:val="PageHeading"/>
    <w:basedOn w:val="Normal"/>
    <w:rsid w:val="000D2A42"/>
    <w:pPr>
      <w:keepNext/>
      <w:spacing w:after="480"/>
      <w:jc w:val="center"/>
    </w:pPr>
    <w:rPr>
      <w:rFonts w:ascii="Arial" w:hAnsi="Arial" w:cs="Arial"/>
      <w:b/>
    </w:rPr>
  </w:style>
  <w:style w:type="paragraph" w:customStyle="1" w:styleId="NormalBold">
    <w:name w:val="NormalBold"/>
    <w:basedOn w:val="Normal"/>
    <w:rsid w:val="000D2A42"/>
    <w:rPr>
      <w:b/>
    </w:rPr>
  </w:style>
  <w:style w:type="paragraph" w:customStyle="1" w:styleId="NormalHanging12a">
    <w:name w:val="NormalHanging12a"/>
    <w:basedOn w:val="Normal"/>
    <w:link w:val="NormalHanging12aChar"/>
    <w:rsid w:val="000D2A42"/>
    <w:pPr>
      <w:spacing w:after="240"/>
      <w:ind w:left="567" w:hanging="567"/>
    </w:pPr>
  </w:style>
  <w:style w:type="paragraph" w:customStyle="1" w:styleId="NormalCenter12a">
    <w:name w:val="NormalCenter12a"/>
    <w:basedOn w:val="Normal"/>
    <w:rsid w:val="000D2A42"/>
    <w:pPr>
      <w:spacing w:after="240"/>
      <w:jc w:val="center"/>
    </w:pPr>
  </w:style>
  <w:style w:type="paragraph" w:styleId="Header">
    <w:name w:val="header"/>
    <w:basedOn w:val="Normal"/>
    <w:link w:val="HeaderChar"/>
    <w:rsid w:val="000D2A42"/>
    <w:pPr>
      <w:tabs>
        <w:tab w:val="center" w:pos="4513"/>
        <w:tab w:val="right" w:pos="9026"/>
      </w:tabs>
    </w:pPr>
  </w:style>
  <w:style w:type="character" w:customStyle="1" w:styleId="HeaderChar">
    <w:name w:val="Header Char"/>
    <w:basedOn w:val="DefaultParagraphFont"/>
    <w:link w:val="Header"/>
    <w:rsid w:val="000D2A42"/>
    <w:rPr>
      <w:sz w:val="24"/>
      <w:lang w:val="et-EE"/>
    </w:rPr>
  </w:style>
  <w:style w:type="paragraph" w:customStyle="1" w:styleId="EPFooter">
    <w:name w:val="EPFooter"/>
    <w:basedOn w:val="Normal"/>
    <w:rsid w:val="000D2A42"/>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0D2A42"/>
    <w:rPr>
      <w:sz w:val="24"/>
      <w:lang w:val="et-EE"/>
    </w:rPr>
  </w:style>
  <w:style w:type="paragraph" w:styleId="BalloonText">
    <w:name w:val="Balloon Text"/>
    <w:basedOn w:val="Normal"/>
    <w:link w:val="BalloonTextChar"/>
    <w:rsid w:val="00682DCC"/>
    <w:rPr>
      <w:rFonts w:ascii="Segoe UI" w:hAnsi="Segoe UI" w:cs="Segoe UI"/>
      <w:sz w:val="18"/>
      <w:szCs w:val="18"/>
    </w:rPr>
  </w:style>
  <w:style w:type="character" w:customStyle="1" w:styleId="BalloonTextChar">
    <w:name w:val="Balloon Text Char"/>
    <w:basedOn w:val="DefaultParagraphFont"/>
    <w:link w:val="BalloonText"/>
    <w:rsid w:val="00682DCC"/>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FF0BB3-ADE1-4494-9200-23BEF97C4A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2667</Words>
  <Characters>19623</Characters>
  <Application>Microsoft Office Word</Application>
  <DocSecurity>0</DocSecurity>
  <Lines>163</Lines>
  <Paragraphs>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HIRV Joel</cp:lastModifiedBy>
  <cp:revision>2</cp:revision>
  <cp:lastPrinted>2004-11-19T15:42:00Z</cp:lastPrinted>
  <dcterms:created xsi:type="dcterms:W3CDTF">2024-04-11T15:01:00Z</dcterms:created>
  <dcterms:modified xsi:type="dcterms:W3CDTF">2024-04-11T15:01:00Z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A9-0097/2024</vt:lpwstr>
  </property>
  <property fmtid="{D5CDD505-2E9C-101B-9397-08002B2CF9AE}" pid="4" name="&lt;Type&gt;">
    <vt:lpwstr>RR</vt:lpwstr>
  </property>
</Properties>
</file>