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5620AA" w:rsidTr="0010095E">
        <w:trPr>
          <w:trHeight w:hRule="exact" w:val="1418"/>
        </w:trPr>
        <w:tc>
          <w:tcPr>
            <w:tcW w:w="6804" w:type="dxa"/>
            <w:shd w:val="clear" w:color="auto" w:fill="auto"/>
            <w:vAlign w:val="center"/>
          </w:tcPr>
          <w:p w:rsidR="00751A4A" w:rsidRPr="005620AA" w:rsidRDefault="00F42F5D" w:rsidP="0010095E">
            <w:pPr>
              <w:pStyle w:val="EPName"/>
            </w:pPr>
            <w:r w:rsidRPr="005620AA">
              <w:t>Europski parlament</w:t>
            </w:r>
          </w:p>
          <w:p w:rsidR="00751A4A" w:rsidRPr="005620AA" w:rsidRDefault="00817416" w:rsidP="00756632">
            <w:pPr>
              <w:pStyle w:val="EPTerm"/>
              <w:rPr>
                <w:rStyle w:val="HideTWBExt"/>
                <w:noProof w:val="0"/>
                <w:vanish w:val="0"/>
                <w:color w:val="auto"/>
              </w:rPr>
            </w:pPr>
            <w:r w:rsidRPr="005620AA">
              <w:t>2019-2024</w:t>
            </w:r>
          </w:p>
        </w:tc>
        <w:tc>
          <w:tcPr>
            <w:tcW w:w="2268" w:type="dxa"/>
            <w:shd w:val="clear" w:color="auto" w:fill="auto"/>
          </w:tcPr>
          <w:p w:rsidR="00751A4A" w:rsidRPr="005620AA" w:rsidRDefault="00187494" w:rsidP="0010095E">
            <w:pPr>
              <w:pStyle w:val="EPLogo"/>
            </w:pPr>
            <w:r w:rsidRPr="005620AA">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5620AA" w:rsidRDefault="00D058B8" w:rsidP="004C5D52">
      <w:pPr>
        <w:pStyle w:val="LineTop"/>
      </w:pPr>
    </w:p>
    <w:p w:rsidR="00680577" w:rsidRPr="005620AA" w:rsidRDefault="00F42F5D" w:rsidP="00680577">
      <w:pPr>
        <w:pStyle w:val="EPBodyTA1"/>
      </w:pPr>
      <w:r w:rsidRPr="005620AA">
        <w:t>USVOJENI TEKSTOVI</w:t>
      </w:r>
    </w:p>
    <w:p w:rsidR="00D058B8" w:rsidRPr="005620AA" w:rsidRDefault="00D058B8" w:rsidP="00D058B8">
      <w:pPr>
        <w:pStyle w:val="LineBottom"/>
      </w:pPr>
    </w:p>
    <w:p w:rsidR="00F42F5D" w:rsidRPr="005620AA" w:rsidRDefault="00F42F5D" w:rsidP="00F42F5D">
      <w:pPr>
        <w:pStyle w:val="ATHeading1"/>
      </w:pPr>
      <w:bookmarkStart w:id="0" w:name="TANumber"/>
      <w:r w:rsidRPr="005620AA">
        <w:t>P9_TA(2024)0</w:t>
      </w:r>
      <w:bookmarkEnd w:id="0"/>
      <w:r w:rsidR="008B7156">
        <w:t>263</w:t>
      </w:r>
    </w:p>
    <w:p w:rsidR="00F42F5D" w:rsidRPr="005620AA" w:rsidRDefault="00F42F5D" w:rsidP="00F42F5D">
      <w:pPr>
        <w:pStyle w:val="ATHeading2"/>
      </w:pPr>
      <w:bookmarkStart w:id="1" w:name="title"/>
      <w:r w:rsidRPr="005620AA">
        <w:t>Razrješnica za 2022.: Europsko nadzorno tijelo za osiguranje i strukovno mirovinsko osiguranje</w:t>
      </w:r>
      <w:bookmarkEnd w:id="1"/>
    </w:p>
    <w:p w:rsidR="00F42F5D" w:rsidRPr="005620AA" w:rsidRDefault="00F42F5D" w:rsidP="00F42F5D">
      <w:pPr>
        <w:rPr>
          <w:i/>
          <w:vanish/>
        </w:rPr>
      </w:pPr>
      <w:r w:rsidRPr="005620AA">
        <w:rPr>
          <w:i/>
        </w:rPr>
        <w:fldChar w:fldCharType="begin"/>
      </w:r>
      <w:r w:rsidRPr="005620AA">
        <w:rPr>
          <w:i/>
        </w:rPr>
        <w:instrText xml:space="preserve"> TC"(</w:instrText>
      </w:r>
      <w:bookmarkStart w:id="2" w:name="DocNumber"/>
      <w:r w:rsidRPr="005620AA">
        <w:rPr>
          <w:i/>
        </w:rPr>
        <w:instrText>A9-0097/2024</w:instrText>
      </w:r>
      <w:bookmarkEnd w:id="2"/>
      <w:r w:rsidRPr="005620AA">
        <w:rPr>
          <w:i/>
        </w:rPr>
        <w:instrText xml:space="preserve"> - Izvjestitelj: Petri Sarvamaa)"\l3 \n&gt; \* MERGEFORMAT </w:instrText>
      </w:r>
      <w:r w:rsidRPr="005620AA">
        <w:rPr>
          <w:i/>
        </w:rPr>
        <w:fldChar w:fldCharType="end"/>
      </w:r>
    </w:p>
    <w:p w:rsidR="00F42F5D" w:rsidRPr="005620AA" w:rsidRDefault="00F42F5D" w:rsidP="00F42F5D">
      <w:pPr>
        <w:rPr>
          <w:vanish/>
        </w:rPr>
      </w:pPr>
      <w:bookmarkStart w:id="3" w:name="Commission"/>
      <w:r w:rsidRPr="005620AA">
        <w:rPr>
          <w:vanish/>
        </w:rPr>
        <w:t>Odbor za proračunski nadzor</w:t>
      </w:r>
      <w:bookmarkEnd w:id="3"/>
    </w:p>
    <w:p w:rsidR="00F42F5D" w:rsidRPr="005620AA" w:rsidRDefault="00F42F5D" w:rsidP="00F42F5D">
      <w:pPr>
        <w:rPr>
          <w:vanish/>
        </w:rPr>
      </w:pPr>
      <w:bookmarkStart w:id="4" w:name="PE"/>
      <w:r w:rsidRPr="005620AA">
        <w:rPr>
          <w:vanish/>
        </w:rPr>
        <w:t>PE753.521</w:t>
      </w:r>
      <w:bookmarkEnd w:id="4"/>
    </w:p>
    <w:p w:rsidR="00F42F5D" w:rsidRPr="005620AA" w:rsidRDefault="00C458F9" w:rsidP="00F42F5D">
      <w:pPr>
        <w:pStyle w:val="ATHeading3"/>
      </w:pPr>
      <w:bookmarkStart w:id="5" w:name="Sujet"/>
      <w:r>
        <w:t xml:space="preserve">1. </w:t>
      </w:r>
      <w:r w:rsidR="00F42F5D" w:rsidRPr="005620AA">
        <w:t>Odl</w:t>
      </w:r>
      <w:r>
        <w:t>uka Europskog parlamenta od 11. travnja</w:t>
      </w:r>
      <w:r w:rsidR="00F42F5D" w:rsidRPr="005620AA">
        <w:t xml:space="preserve"> 2024. o razrješnici za izvršenje proračuna Europskog nadzornog tijela za osiguranje i strukovno mirovinsko osiguranje za financijsku godinu 2022.</w:t>
      </w:r>
      <w:bookmarkEnd w:id="5"/>
      <w:r w:rsidR="00F42F5D" w:rsidRPr="005620AA">
        <w:t xml:space="preserve"> </w:t>
      </w:r>
      <w:bookmarkStart w:id="6" w:name="References"/>
      <w:r w:rsidR="00F42F5D" w:rsidRPr="005620AA">
        <w:t>(2023/2153(DEC))</w:t>
      </w:r>
      <w:bookmarkEnd w:id="6"/>
    </w:p>
    <w:p w:rsidR="00A063F2" w:rsidRPr="005620AA" w:rsidRDefault="00A063F2" w:rsidP="00A063F2">
      <w:pPr>
        <w:pStyle w:val="EPComma"/>
      </w:pPr>
      <w:bookmarkStart w:id="7" w:name="TextBodyBegin"/>
      <w:bookmarkEnd w:id="7"/>
      <w:r w:rsidRPr="005620AA">
        <w:rPr>
          <w:i/>
        </w:rPr>
        <w:t>Europski parlament</w:t>
      </w:r>
      <w:r w:rsidRPr="005620AA">
        <w:t>,</w:t>
      </w:r>
    </w:p>
    <w:p w:rsidR="00A063F2" w:rsidRPr="005620AA" w:rsidRDefault="00A063F2" w:rsidP="00A063F2">
      <w:pPr>
        <w:pStyle w:val="NormalHanging12a"/>
      </w:pPr>
      <w:r w:rsidRPr="005620AA">
        <w:t>–</w:t>
      </w:r>
      <w:r w:rsidRPr="005620AA">
        <w:tab/>
        <w:t>uzimajući u obzir završnu godišnju računovodstvenu dokumentaciju Europskog nadzornog tijela za osiguranje i strukovno mirovinsko osiguranje za financijsku godinu 2022.,</w:t>
      </w:r>
    </w:p>
    <w:p w:rsidR="00A063F2" w:rsidRPr="005620AA" w:rsidRDefault="00A063F2" w:rsidP="00A063F2">
      <w:pPr>
        <w:pStyle w:val="NormalHanging12a"/>
      </w:pPr>
      <w:r w:rsidRPr="005620AA">
        <w:t>–</w:t>
      </w:r>
      <w:r w:rsidRPr="005620AA">
        <w:tab/>
        <w:t>uzimajući u obzir godišnje izvješće Revizorskog suda o agencijama EU-a za financijsku godinu 2022., kojemu su priloženi odgovori agencija</w:t>
      </w:r>
      <w:r w:rsidRPr="005620AA">
        <w:rPr>
          <w:rStyle w:val="FootnoteReference"/>
        </w:rPr>
        <w:footnoteReference w:id="1"/>
      </w:r>
      <w:r w:rsidRPr="005620AA">
        <w:t>,</w:t>
      </w:r>
    </w:p>
    <w:p w:rsidR="00A063F2" w:rsidRPr="005620AA" w:rsidRDefault="00A063F2" w:rsidP="00A063F2">
      <w:pPr>
        <w:pStyle w:val="NormalHanging12a"/>
      </w:pPr>
      <w:r w:rsidRPr="005620AA">
        <w:t>–</w:t>
      </w:r>
      <w:r w:rsidRPr="005620AA">
        <w:tab/>
        <w:t>uzimajući u obzir izjavu o jamstvu</w:t>
      </w:r>
      <w:r w:rsidRPr="005620AA">
        <w:rPr>
          <w:rStyle w:val="FootnoteReference"/>
        </w:rPr>
        <w:footnoteReference w:id="2"/>
      </w:r>
      <w:r w:rsidRPr="005620AA">
        <w:t xml:space="preserve"> u pogledu pouzdanosti računovodstvene dokumentacije te zakonitosti i pravilnosti temeljnih transakcija koju je u skladu s člankom 287. Ugovora o funkcioniranju Europske unije Revizorski sud podnio za financijsku godinu 2022.,</w:t>
      </w:r>
    </w:p>
    <w:p w:rsidR="00A063F2" w:rsidRPr="005620AA" w:rsidRDefault="00A063F2" w:rsidP="00A063F2">
      <w:pPr>
        <w:pStyle w:val="NormalHanging12a"/>
      </w:pPr>
      <w:r w:rsidRPr="005620AA">
        <w:t>–</w:t>
      </w:r>
      <w:r w:rsidRPr="005620AA">
        <w:tab/>
        <w:t>uzimajući u obzir preporuku Vijeća od 22. veljače 2024. o razrješnici koju Nadzorno tijelo treba dobiti za izvršenje proračuna za</w:t>
      </w:r>
      <w:r w:rsidR="00C458F9">
        <w:t xml:space="preserve"> financijsku godinu 2022. (06180/2024 – C9</w:t>
      </w:r>
      <w:r w:rsidR="00C458F9">
        <w:noBreakHyphen/>
        <w:t>0091</w:t>
      </w:r>
      <w:r w:rsidRPr="005620AA">
        <w:t>/2024),</w:t>
      </w:r>
    </w:p>
    <w:p w:rsidR="00A063F2" w:rsidRPr="005620AA" w:rsidRDefault="00A063F2" w:rsidP="00A063F2">
      <w:pPr>
        <w:pStyle w:val="NormalHanging12a"/>
      </w:pPr>
      <w:r w:rsidRPr="005620AA">
        <w:t>–</w:t>
      </w:r>
      <w:r w:rsidRPr="005620AA">
        <w:tab/>
        <w:t>uzimajući u obzir članak 319. Ugovora o funkcioniranju Europske unije,</w:t>
      </w:r>
    </w:p>
    <w:p w:rsidR="00A063F2" w:rsidRPr="005620AA" w:rsidRDefault="00A063F2" w:rsidP="00A063F2">
      <w:pPr>
        <w:pStyle w:val="NormalHanging12a"/>
      </w:pPr>
      <w:r w:rsidRPr="005620AA">
        <w:t>–</w:t>
      </w:r>
      <w:r w:rsidRPr="005620AA">
        <w:tab/>
        <w:t>uzimajući u obzir Uredbu (EU, Euratom) 2018/1046 Europskog parlamenta i Vijeća od 18. srpnja 2018. o financijskim pravilima koja se primjenjuju na opći proračun Unije, o izmjeni uredaba (EU) br. 1296/2013, (EU) br. 1301/2013, (EU) br. 1303/2013, (EU) br. 1304/2013, (EU) br. 1309/2013, (EU) br. 1316/2013, (EU) br. 223/2014, (EU) br. 283/2014 i Odluke br. 541/2014/EU te o stavljanju izvan snage Uredbe (EU, Euratom) br. 966/2012</w:t>
      </w:r>
      <w:r w:rsidRPr="005620AA">
        <w:rPr>
          <w:rStyle w:val="FootnoteReference"/>
        </w:rPr>
        <w:footnoteReference w:id="3"/>
      </w:r>
      <w:r w:rsidRPr="005620AA">
        <w:t>, a posebno njezin članak 70.,</w:t>
      </w:r>
    </w:p>
    <w:p w:rsidR="00A063F2" w:rsidRPr="005620AA" w:rsidRDefault="00A063F2" w:rsidP="00A063F2">
      <w:pPr>
        <w:pStyle w:val="NormalHanging12a"/>
      </w:pPr>
      <w:r w:rsidRPr="005620AA">
        <w:t>–</w:t>
      </w:r>
      <w:r w:rsidRPr="005620AA">
        <w:tab/>
        <w:t xml:space="preserve">uzimajući u obzir Uredbu (EU) br. 1094/2010 Europskog parlamenta i Vijeća od 24. studenoga 2010. o osnivanju Europskog nadzornog tijela (Europskog nadzornog tijela za osiguranje i strukovno mirovinsko osiguranje), o izmjeni Odluke br. </w:t>
      </w:r>
      <w:r w:rsidRPr="005620AA">
        <w:lastRenderedPageBreak/>
        <w:t>716/2009/EZ i o stavljanju izvan snage Odluke Komisije 2009/79/EZ</w:t>
      </w:r>
      <w:r w:rsidRPr="005620AA">
        <w:rPr>
          <w:rStyle w:val="FootnoteReference"/>
        </w:rPr>
        <w:footnoteReference w:id="4"/>
      </w:r>
      <w:r w:rsidRPr="005620AA">
        <w:t>, a posebno njezin članak 64.,</w:t>
      </w:r>
    </w:p>
    <w:p w:rsidR="00A063F2" w:rsidRPr="005620AA" w:rsidRDefault="00A063F2" w:rsidP="00A063F2">
      <w:pPr>
        <w:pStyle w:val="NormalHanging12a"/>
      </w:pPr>
      <w:r w:rsidRPr="005620AA">
        <w:t>–</w:t>
      </w:r>
      <w:r w:rsidRPr="005620AA">
        <w:tab/>
        <w:t xml:space="preserve">uzimajući u obzir Delegiranu uredbu Komisije (EU) 2019/715 od 18. prosinca 2018. o okvirnoj financijskoj uredbi za tijela osnovana na temelju Ugovora o funkcioniranju Europske unije i Ugovora o </w:t>
      </w:r>
      <w:proofErr w:type="spellStart"/>
      <w:r w:rsidRPr="005620AA">
        <w:t>Euratomu</w:t>
      </w:r>
      <w:proofErr w:type="spellEnd"/>
      <w:r w:rsidRPr="005620AA">
        <w:t xml:space="preserve"> na koja se upućuje u članku 70. Uredbe (EU, Euratom) 2018/1046 Europskog parlamenta i Vijeća</w:t>
      </w:r>
      <w:r w:rsidRPr="005620AA">
        <w:rPr>
          <w:rStyle w:val="FootnoteReference"/>
        </w:rPr>
        <w:footnoteReference w:id="5"/>
      </w:r>
      <w:r w:rsidRPr="005620AA">
        <w:t>, a posebno njezin članak 105.,</w:t>
      </w:r>
    </w:p>
    <w:p w:rsidR="00A063F2" w:rsidRPr="005620AA" w:rsidRDefault="00A063F2" w:rsidP="00A063F2">
      <w:pPr>
        <w:pStyle w:val="NormalHanging12a"/>
      </w:pPr>
      <w:r w:rsidRPr="005620AA">
        <w:t>–</w:t>
      </w:r>
      <w:r w:rsidRPr="005620AA">
        <w:tab/>
        <w:t>uzimajući u obzir članak 100. Poslovnika i Prilog V. Poslovniku,</w:t>
      </w:r>
    </w:p>
    <w:p w:rsidR="00A063F2" w:rsidRPr="005620AA" w:rsidRDefault="00A063F2" w:rsidP="00A063F2">
      <w:pPr>
        <w:pStyle w:val="NormalHanging12a"/>
      </w:pPr>
      <w:r w:rsidRPr="005620AA">
        <w:t>–</w:t>
      </w:r>
      <w:r w:rsidRPr="005620AA">
        <w:tab/>
        <w:t>uzimajući u obzir izvješće Odbora za proračunski nadzor (A9</w:t>
      </w:r>
      <w:r w:rsidRPr="005620AA">
        <w:noBreakHyphen/>
        <w:t>0097/2024),</w:t>
      </w:r>
    </w:p>
    <w:p w:rsidR="00A063F2" w:rsidRPr="005620AA" w:rsidRDefault="00A063F2" w:rsidP="00A063F2">
      <w:pPr>
        <w:pStyle w:val="NormalHanging12a"/>
      </w:pPr>
      <w:r w:rsidRPr="005620AA">
        <w:t>1.</w:t>
      </w:r>
      <w:r w:rsidRPr="005620AA">
        <w:tab/>
        <w:t>daje razrješnicu izvršnom direktoru Europskog nadzornog tijela za osiguranje i strukovno mirovinsko osiguranje za izvršenje proračuna Nadzornog tijela za financijsku godinu 2022.</w:t>
      </w:r>
      <w:r w:rsidR="0070745C">
        <w:t>;</w:t>
      </w:r>
    </w:p>
    <w:p w:rsidR="00A063F2" w:rsidRPr="005620AA" w:rsidRDefault="00A063F2" w:rsidP="00A063F2">
      <w:pPr>
        <w:pStyle w:val="NormalHanging12a"/>
      </w:pPr>
      <w:r w:rsidRPr="005620AA">
        <w:t>2.</w:t>
      </w:r>
      <w:r w:rsidRPr="005620AA">
        <w:tab/>
        <w:t>iznosi svoje primjedbe u Rezoluciji u nastavku;</w:t>
      </w:r>
    </w:p>
    <w:p w:rsidR="00A063F2" w:rsidRPr="005620AA" w:rsidRDefault="00A063F2" w:rsidP="00A063F2">
      <w:pPr>
        <w:pStyle w:val="NormalHanging12a"/>
      </w:pPr>
      <w:r w:rsidRPr="005620AA">
        <w:t>3.</w:t>
      </w:r>
      <w:r w:rsidRPr="005620AA">
        <w:tab/>
        <w:t xml:space="preserve">nalaže svojoj predsjednici da ovu Odluku i Rezoluciju, koja je njezin sastavni dio, proslijedi izvršnom direktoru Europskog nadzornog tijela za osiguranje i strukovno mirovinsko osiguranje, Vijeću, Komisiji i Revizorskom sudu te da ih da na objavu u </w:t>
      </w:r>
      <w:r w:rsidRPr="005620AA">
        <w:rPr>
          <w:i/>
        </w:rPr>
        <w:t>Službenom listu Europske unije</w:t>
      </w:r>
      <w:r w:rsidRPr="005620AA">
        <w:t xml:space="preserve"> (serija L).</w:t>
      </w:r>
    </w:p>
    <w:p w:rsidR="00A063F2" w:rsidRPr="005620AA" w:rsidRDefault="00A063F2" w:rsidP="00A063F2"/>
    <w:p w:rsidR="00A063F2" w:rsidRPr="005620AA" w:rsidRDefault="00A063F2" w:rsidP="00A063F2">
      <w:pPr>
        <w:pStyle w:val="PageHeading"/>
        <w:sectPr w:rsidR="00A063F2" w:rsidRPr="005620AA" w:rsidSect="005620AA">
          <w:footerReference w:type="even" r:id="rId9"/>
          <w:footerReference w:type="first" r:id="rId10"/>
          <w:footnotePr>
            <w:numRestart w:val="eachPage"/>
          </w:footnotePr>
          <w:endnotePr>
            <w:numFmt w:val="decimal"/>
          </w:endnotePr>
          <w:pgSz w:w="11906" w:h="16838" w:code="9"/>
          <w:pgMar w:top="1134" w:right="1418" w:bottom="1418" w:left="1418" w:header="1134" w:footer="567" w:gutter="0"/>
          <w:cols w:space="720"/>
          <w:noEndnote/>
          <w:docGrid w:linePitch="326"/>
        </w:sectPr>
      </w:pPr>
    </w:p>
    <w:p w:rsidR="00A063F2" w:rsidRPr="00C458F9" w:rsidRDefault="00C458F9" w:rsidP="00C458F9">
      <w:pPr>
        <w:pStyle w:val="PageHeading"/>
        <w:jc w:val="left"/>
        <w:rPr>
          <w:rFonts w:ascii="Times New Roman" w:hAnsi="Times New Roman" w:cs="Times New Roman"/>
        </w:rPr>
      </w:pPr>
      <w:bookmarkStart w:id="8" w:name="_Toc161928874"/>
      <w:r w:rsidRPr="00C458F9">
        <w:rPr>
          <w:rFonts w:ascii="Times New Roman" w:hAnsi="Times New Roman" w:cs="Times New Roman"/>
        </w:rPr>
        <w:lastRenderedPageBreak/>
        <w:t>2. Odluka Europskog parlamenta</w:t>
      </w:r>
      <w:bookmarkEnd w:id="8"/>
      <w:r w:rsidRPr="00C458F9">
        <w:rPr>
          <w:rFonts w:ascii="Times New Roman" w:hAnsi="Times New Roman" w:cs="Times New Roman"/>
        </w:rPr>
        <w:t xml:space="preserve"> od 11. travnja</w:t>
      </w:r>
      <w:r w:rsidR="00A63E34">
        <w:rPr>
          <w:rFonts w:ascii="Times New Roman" w:hAnsi="Times New Roman" w:cs="Times New Roman"/>
        </w:rPr>
        <w:t xml:space="preserve"> </w:t>
      </w:r>
      <w:r w:rsidRPr="00C458F9">
        <w:rPr>
          <w:rFonts w:ascii="Times New Roman" w:hAnsi="Times New Roman" w:cs="Times New Roman"/>
        </w:rPr>
        <w:t xml:space="preserve">2024. </w:t>
      </w:r>
      <w:r w:rsidR="00A063F2" w:rsidRPr="00C458F9">
        <w:rPr>
          <w:rFonts w:ascii="Times New Roman" w:hAnsi="Times New Roman" w:cs="Times New Roman"/>
        </w:rPr>
        <w:t>o zaključenju poslovnih knjiga Europskog nadzornog tijela za osiguranje i strukovno mirovinsko osiguranje za financijsku godinu 2022.</w:t>
      </w:r>
      <w:r w:rsidRPr="00C458F9">
        <w:rPr>
          <w:rFonts w:ascii="Times New Roman" w:hAnsi="Times New Roman" w:cs="Times New Roman"/>
        </w:rPr>
        <w:t xml:space="preserve"> </w:t>
      </w:r>
      <w:r w:rsidR="00A063F2" w:rsidRPr="00C458F9">
        <w:rPr>
          <w:rFonts w:ascii="Times New Roman" w:hAnsi="Times New Roman" w:cs="Times New Roman"/>
        </w:rPr>
        <w:t>(2023/2153(DEC))</w:t>
      </w:r>
    </w:p>
    <w:p w:rsidR="00A063F2" w:rsidRPr="005620AA" w:rsidRDefault="00A063F2" w:rsidP="00A063F2">
      <w:pPr>
        <w:pStyle w:val="EPComma"/>
      </w:pPr>
      <w:r w:rsidRPr="005620AA">
        <w:rPr>
          <w:i/>
        </w:rPr>
        <w:t>Europski parlament</w:t>
      </w:r>
      <w:r w:rsidRPr="005620AA">
        <w:t>,</w:t>
      </w:r>
    </w:p>
    <w:p w:rsidR="00A063F2" w:rsidRPr="005620AA" w:rsidRDefault="00A063F2" w:rsidP="00A063F2">
      <w:pPr>
        <w:pStyle w:val="NormalHanging12a"/>
      </w:pPr>
      <w:r w:rsidRPr="005620AA">
        <w:t>–</w:t>
      </w:r>
      <w:r w:rsidRPr="005620AA">
        <w:tab/>
        <w:t>uzimajući u obzir završnu godišnju računovodstvenu dokumentaciju Europskog nadzornog tijela za osiguranje i strukovno mirovinsko osiguranje za financijsku godinu 2022.,</w:t>
      </w:r>
    </w:p>
    <w:p w:rsidR="00A063F2" w:rsidRPr="005620AA" w:rsidRDefault="00A063F2" w:rsidP="00A063F2">
      <w:pPr>
        <w:pStyle w:val="NormalHanging12a"/>
      </w:pPr>
      <w:r w:rsidRPr="005620AA">
        <w:t>–</w:t>
      </w:r>
      <w:r w:rsidRPr="005620AA">
        <w:tab/>
        <w:t>uzimajući u obzir godišnje izvješće Revizorskog suda o agencijama EU-a za financijsku godinu 2022., kojemu su priloženi odgovori agencija</w:t>
      </w:r>
      <w:r w:rsidRPr="005620AA">
        <w:rPr>
          <w:rStyle w:val="FootnoteReference"/>
        </w:rPr>
        <w:footnoteReference w:id="6"/>
      </w:r>
      <w:r w:rsidRPr="005620AA">
        <w:t>,</w:t>
      </w:r>
    </w:p>
    <w:p w:rsidR="00A063F2" w:rsidRPr="005620AA" w:rsidRDefault="00A063F2" w:rsidP="00A063F2">
      <w:pPr>
        <w:pStyle w:val="NormalHanging12a"/>
      </w:pPr>
      <w:r w:rsidRPr="005620AA">
        <w:t>–</w:t>
      </w:r>
      <w:r w:rsidRPr="005620AA">
        <w:tab/>
        <w:t>uzimajući u obzir izjavu o jamstvu</w:t>
      </w:r>
      <w:r w:rsidRPr="005620AA">
        <w:rPr>
          <w:rStyle w:val="FootnoteReference"/>
        </w:rPr>
        <w:footnoteReference w:id="7"/>
      </w:r>
      <w:r w:rsidRPr="005620AA">
        <w:t xml:space="preserve"> u pogledu pouzdanosti računovodstvene dokumentacije te zakonitosti i pravilnosti temeljnih transakcija koju je u skladu s člankom 287. Ugovora o funkcioniranju Europske unije Revizorski sud podnio za financijsku godinu 2022.,</w:t>
      </w:r>
    </w:p>
    <w:p w:rsidR="00A063F2" w:rsidRPr="005620AA" w:rsidRDefault="00A063F2" w:rsidP="00A063F2">
      <w:pPr>
        <w:pStyle w:val="NormalHanging12a"/>
      </w:pPr>
      <w:r w:rsidRPr="005620AA">
        <w:t>–</w:t>
      </w:r>
      <w:r w:rsidRPr="005620AA">
        <w:tab/>
        <w:t>uzimajući u obzir preporuku Vijeća od 22. veljače 2024. o razrješnici koju Nadzorno tijelo treba dobiti za izvršenje proračuna za</w:t>
      </w:r>
      <w:r w:rsidR="00C458F9">
        <w:t xml:space="preserve"> financijsku godinu 2022. (06180/2024 – C9</w:t>
      </w:r>
      <w:r w:rsidR="00C458F9">
        <w:noBreakHyphen/>
        <w:t>0091</w:t>
      </w:r>
      <w:r w:rsidRPr="005620AA">
        <w:t>/2024),</w:t>
      </w:r>
    </w:p>
    <w:p w:rsidR="00A063F2" w:rsidRPr="005620AA" w:rsidRDefault="00A063F2" w:rsidP="00A063F2">
      <w:pPr>
        <w:pStyle w:val="NormalHanging12a"/>
      </w:pPr>
      <w:r w:rsidRPr="005620AA">
        <w:t>–</w:t>
      </w:r>
      <w:r w:rsidRPr="005620AA">
        <w:tab/>
        <w:t>uzimajući u obzir članak 319. Ugovora o funkcioniranju Europske unije,</w:t>
      </w:r>
    </w:p>
    <w:p w:rsidR="00A063F2" w:rsidRPr="005620AA" w:rsidRDefault="00A063F2" w:rsidP="00A063F2">
      <w:pPr>
        <w:pStyle w:val="NormalHanging12a"/>
      </w:pPr>
      <w:r w:rsidRPr="005620AA">
        <w:t>–</w:t>
      </w:r>
      <w:r w:rsidRPr="005620AA">
        <w:tab/>
        <w:t>uzimajući u obzir Uredbu (EU, Euratom) 2018/1046 Europskog parlamenta i Vijeća od 18. srpnja 2018. o financijskim pravilima koja se primjenjuju na opći proračun Unije, o izmjeni uredaba (EU) br. 1296/2013, (EU) br. 1301/2013, (EU) br. 1303/2013, (EU) br. 1304/2013, (EU) br. 1309/2013, (EU) br. 1316/2013, (EU) br. 223/2014, (EU) br. 283/2014 i Odluke br. 541/2014/EU te o stavljanju izvan snage Uredbe (EU, Euratom) br. 966/2012</w:t>
      </w:r>
      <w:r w:rsidRPr="005620AA">
        <w:rPr>
          <w:rStyle w:val="FootnoteReference"/>
        </w:rPr>
        <w:footnoteReference w:id="8"/>
      </w:r>
      <w:r w:rsidRPr="005620AA">
        <w:t>, a posebno njezin članak 70.,</w:t>
      </w:r>
    </w:p>
    <w:p w:rsidR="00A063F2" w:rsidRPr="005620AA" w:rsidRDefault="00A063F2" w:rsidP="00A063F2">
      <w:pPr>
        <w:pStyle w:val="NormalHanging12a"/>
      </w:pPr>
      <w:r w:rsidRPr="005620AA">
        <w:t>–</w:t>
      </w:r>
      <w:r w:rsidRPr="005620AA">
        <w:tab/>
        <w:t>uzimajući u obzir Uredbu (EU) br. 1094/2010 Europskog parlamenta i Vijeća od 24. studenoga 2010. o osnivanju Europskog nadzornog tijela (Europskog nadzornog tijela za osiguranje i strukovno mirovinsko osiguranje), o izmjeni Odluke br. 716/2009/EZ i o stavljanju izvan snage Odluke Komisije 2009/79/EZ</w:t>
      </w:r>
      <w:r w:rsidRPr="005620AA">
        <w:rPr>
          <w:rStyle w:val="FootnoteReference"/>
        </w:rPr>
        <w:footnoteReference w:id="9"/>
      </w:r>
      <w:r w:rsidRPr="005620AA">
        <w:t>, a posebno njezin članak 64.,</w:t>
      </w:r>
    </w:p>
    <w:p w:rsidR="00A063F2" w:rsidRPr="005620AA" w:rsidRDefault="00A063F2" w:rsidP="00A063F2">
      <w:pPr>
        <w:pStyle w:val="NormalHanging12a"/>
      </w:pPr>
      <w:r w:rsidRPr="005620AA">
        <w:t>–</w:t>
      </w:r>
      <w:r w:rsidRPr="005620AA">
        <w:tab/>
        <w:t xml:space="preserve">uzimajući u obzir Delegiranu uredbu Komisije (EU) 2019/715 od 18. prosinca 2018. o okvirnoj financijskoj uredbi za tijela osnovana na temelju Ugovora o funkcioniranju Europske unije i Ugovora o </w:t>
      </w:r>
      <w:proofErr w:type="spellStart"/>
      <w:r w:rsidRPr="005620AA">
        <w:t>Euratomu</w:t>
      </w:r>
      <w:proofErr w:type="spellEnd"/>
      <w:r w:rsidRPr="005620AA">
        <w:t xml:space="preserve"> na koja se upućuje u članku 70. Uredbe (EU, Euratom) 2018/1046 Europskog parlamenta i Vijeća</w:t>
      </w:r>
      <w:r w:rsidRPr="005620AA">
        <w:rPr>
          <w:rStyle w:val="FootnoteReference"/>
        </w:rPr>
        <w:footnoteReference w:id="10"/>
      </w:r>
      <w:r w:rsidRPr="005620AA">
        <w:t>, a posebno njezin članak 105.,</w:t>
      </w:r>
    </w:p>
    <w:p w:rsidR="00A063F2" w:rsidRPr="005620AA" w:rsidRDefault="00A063F2" w:rsidP="00A063F2">
      <w:pPr>
        <w:pStyle w:val="NormalHanging12a"/>
      </w:pPr>
      <w:r w:rsidRPr="005620AA">
        <w:t>–</w:t>
      </w:r>
      <w:r w:rsidRPr="005620AA">
        <w:tab/>
        <w:t>uzimajući u obzir članak 100. Poslovnika i Prilog V. Poslovniku,</w:t>
      </w:r>
    </w:p>
    <w:p w:rsidR="00A063F2" w:rsidRPr="005620AA" w:rsidRDefault="00A063F2" w:rsidP="00A063F2">
      <w:pPr>
        <w:pStyle w:val="NormalHanging12a"/>
      </w:pPr>
      <w:r w:rsidRPr="005620AA">
        <w:t>–</w:t>
      </w:r>
      <w:r w:rsidRPr="005620AA">
        <w:tab/>
        <w:t>uzimajući u obzir izvješće Odbora za proračunski nadzor (A9</w:t>
      </w:r>
      <w:r w:rsidRPr="005620AA">
        <w:noBreakHyphen/>
        <w:t>0097/2024),</w:t>
      </w:r>
    </w:p>
    <w:p w:rsidR="00A063F2" w:rsidRPr="005620AA" w:rsidRDefault="00A063F2" w:rsidP="00A063F2">
      <w:pPr>
        <w:pStyle w:val="NormalHanging12a"/>
      </w:pPr>
      <w:r w:rsidRPr="005620AA">
        <w:t>1.</w:t>
      </w:r>
      <w:r w:rsidRPr="005620AA">
        <w:tab/>
        <w:t xml:space="preserve">odobrava zaključenje poslovnih knjiga Europskog nadzornog tijela za osiguranje i </w:t>
      </w:r>
      <w:r w:rsidRPr="005620AA">
        <w:lastRenderedPageBreak/>
        <w:t>strukovno mirovinsko osiguranje za financijsku godinu 2022.</w:t>
      </w:r>
      <w:r w:rsidR="0070745C">
        <w:t>;</w:t>
      </w:r>
    </w:p>
    <w:p w:rsidR="00A063F2" w:rsidRPr="005620AA" w:rsidRDefault="00A063F2" w:rsidP="00A063F2">
      <w:pPr>
        <w:pStyle w:val="NormalHanging12a"/>
      </w:pPr>
      <w:r w:rsidRPr="005620AA">
        <w:t>2.</w:t>
      </w:r>
      <w:r w:rsidRPr="005620AA">
        <w:tab/>
        <w:t xml:space="preserve">nalaže svojoj predsjednici da ovu Odluku proslijedi izvršnom direktoru Europskog nadzornog tijela za osiguranje i strukovno mirovinsko osiguranje, Vijeću, Komisiji i Revizorskom sudu te da je da na objavu u </w:t>
      </w:r>
      <w:r w:rsidRPr="005620AA">
        <w:rPr>
          <w:i/>
        </w:rPr>
        <w:t>Službenom listu Europske unije</w:t>
      </w:r>
      <w:r w:rsidRPr="005620AA">
        <w:t xml:space="preserve"> (serija L).</w:t>
      </w:r>
    </w:p>
    <w:p w:rsidR="00A063F2" w:rsidRPr="005620AA" w:rsidRDefault="00A063F2" w:rsidP="00A063F2"/>
    <w:p w:rsidR="00A063F2" w:rsidRPr="005620AA" w:rsidRDefault="00A063F2" w:rsidP="00A063F2">
      <w:pPr>
        <w:pStyle w:val="PageHeading"/>
        <w:sectPr w:rsidR="00A063F2" w:rsidRPr="005620AA" w:rsidSect="005620AA">
          <w:footnotePr>
            <w:numRestart w:val="eachPage"/>
          </w:footnotePr>
          <w:endnotePr>
            <w:numFmt w:val="decimal"/>
          </w:endnotePr>
          <w:pgSz w:w="11906" w:h="16838" w:code="9"/>
          <w:pgMar w:top="1134" w:right="1418" w:bottom="1418" w:left="1418" w:header="567" w:footer="567" w:gutter="0"/>
          <w:cols w:space="720"/>
          <w:noEndnote/>
          <w:docGrid w:linePitch="326"/>
        </w:sectPr>
      </w:pPr>
    </w:p>
    <w:p w:rsidR="00A063F2" w:rsidRPr="00C458F9" w:rsidRDefault="00C458F9" w:rsidP="00C458F9">
      <w:pPr>
        <w:pStyle w:val="PageHeading"/>
        <w:jc w:val="left"/>
        <w:rPr>
          <w:rFonts w:ascii="Times New Roman" w:hAnsi="Times New Roman" w:cs="Times New Roman"/>
        </w:rPr>
      </w:pPr>
      <w:bookmarkStart w:id="10" w:name="_Toc161928875"/>
      <w:r w:rsidRPr="00C458F9">
        <w:rPr>
          <w:rFonts w:ascii="Times New Roman" w:hAnsi="Times New Roman" w:cs="Times New Roman"/>
        </w:rPr>
        <w:lastRenderedPageBreak/>
        <w:t>3. Rezolucija Europskog parlamenta</w:t>
      </w:r>
      <w:bookmarkEnd w:id="10"/>
      <w:r w:rsidRPr="00C458F9">
        <w:rPr>
          <w:rFonts w:ascii="Times New Roman" w:hAnsi="Times New Roman" w:cs="Times New Roman"/>
        </w:rPr>
        <w:t xml:space="preserve"> od 11. travnja 2024. </w:t>
      </w:r>
      <w:r w:rsidR="00A063F2" w:rsidRPr="00C458F9">
        <w:rPr>
          <w:rFonts w:ascii="Times New Roman" w:hAnsi="Times New Roman" w:cs="Times New Roman"/>
        </w:rPr>
        <w:t>s primjedbama koje su sastavni dio Odluke o razrješnici za izvršenje proračuna Europskog nadzornog tijela za osiguranje i strukovno mirovinsko osiguranje za financijsku godinu 2022.</w:t>
      </w:r>
      <w:r w:rsidRPr="00C458F9">
        <w:rPr>
          <w:rFonts w:ascii="Times New Roman" w:hAnsi="Times New Roman" w:cs="Times New Roman"/>
        </w:rPr>
        <w:t xml:space="preserve"> </w:t>
      </w:r>
      <w:r w:rsidR="00A063F2" w:rsidRPr="00C458F9">
        <w:rPr>
          <w:rFonts w:ascii="Times New Roman" w:hAnsi="Times New Roman" w:cs="Times New Roman"/>
        </w:rPr>
        <w:t>(2023/2153(DEC))</w:t>
      </w:r>
    </w:p>
    <w:p w:rsidR="00A063F2" w:rsidRPr="005620AA" w:rsidRDefault="00A063F2" w:rsidP="00A063F2">
      <w:pPr>
        <w:pStyle w:val="EPComma"/>
      </w:pPr>
      <w:r w:rsidRPr="005620AA">
        <w:rPr>
          <w:i/>
        </w:rPr>
        <w:t>Europski parlament</w:t>
      </w:r>
      <w:r w:rsidRPr="005620AA">
        <w:t>,</w:t>
      </w:r>
    </w:p>
    <w:p w:rsidR="00A063F2" w:rsidRPr="005620AA" w:rsidRDefault="00A063F2" w:rsidP="00A063F2">
      <w:pPr>
        <w:pStyle w:val="NormalHanging12a"/>
      </w:pPr>
      <w:r w:rsidRPr="005620AA">
        <w:t>–</w:t>
      </w:r>
      <w:r w:rsidRPr="005620AA">
        <w:tab/>
        <w:t>uzimajući u obzir svoju Odluku o razrješnici za izvršenje proračuna Europskog nadzornog tijela za osiguranje i strukovno mirovinsko osiguranje za financijsku godinu 2022.,</w:t>
      </w:r>
    </w:p>
    <w:p w:rsidR="00A063F2" w:rsidRPr="005620AA" w:rsidRDefault="00A063F2" w:rsidP="00A063F2">
      <w:pPr>
        <w:pStyle w:val="NormalHanging12a"/>
      </w:pPr>
      <w:r w:rsidRPr="005620AA">
        <w:t>–</w:t>
      </w:r>
      <w:r w:rsidRPr="005620AA">
        <w:tab/>
        <w:t>uzimajući u obzir članak 100. Poslovnika i Prilog V. Poslovniku,</w:t>
      </w:r>
    </w:p>
    <w:p w:rsidR="00A063F2" w:rsidRPr="005620AA" w:rsidRDefault="00A063F2" w:rsidP="00A063F2">
      <w:pPr>
        <w:pStyle w:val="NormalHanging12a"/>
      </w:pPr>
      <w:r w:rsidRPr="005620AA">
        <w:t>–</w:t>
      </w:r>
      <w:r w:rsidRPr="005620AA">
        <w:tab/>
        <w:t>uzimajući u obzir izvješće Odbora za proračunski nadzor (A9</w:t>
      </w:r>
      <w:r w:rsidRPr="005620AA">
        <w:noBreakHyphen/>
        <w:t>0097/2024),</w:t>
      </w:r>
    </w:p>
    <w:p w:rsidR="00A063F2" w:rsidRPr="005620AA" w:rsidRDefault="00A063F2" w:rsidP="00A063F2">
      <w:pPr>
        <w:widowControl/>
        <w:spacing w:after="240"/>
        <w:ind w:left="567" w:hanging="567"/>
        <w:rPr>
          <w:szCs w:val="24"/>
        </w:rPr>
      </w:pPr>
      <w:r w:rsidRPr="005620AA">
        <w:t>A.</w:t>
      </w:r>
      <w:r w:rsidRPr="005620AA">
        <w:tab/>
        <w:t>budući da je prema izvještaju o prihodima i rashodima Europskog nadzornog tijela za osiguranje i strukovno mirovinsko osiguranje</w:t>
      </w:r>
      <w:r w:rsidRPr="005620AA">
        <w:rPr>
          <w:rStyle w:val="FootnoteReference"/>
          <w:szCs w:val="24"/>
        </w:rPr>
        <w:footnoteReference w:id="11"/>
      </w:r>
      <w:r w:rsidRPr="005620AA">
        <w:t xml:space="preserve"> („Nadzorno tijelo”) njegov konačni proračun za financijsku godinu 2022. iznosio 34 571 120 EUR, što je povećanje od 5,27 % u odnosu na 2021. godinu; budući da se Nadzorno tijelo financira iz doprinosa Unije (12 932 000 EUR, što odgovara udjelu od 37,40 %) i doprinosa nacionalnih nadzornih tijela država članica (21 076 120 EUR, što odgovara udjelu od 60,96 %);</w:t>
      </w:r>
    </w:p>
    <w:p w:rsidR="00A063F2" w:rsidRPr="005620AA" w:rsidRDefault="00A063F2" w:rsidP="00A063F2">
      <w:pPr>
        <w:widowControl/>
        <w:spacing w:after="240"/>
        <w:ind w:left="567" w:hanging="567"/>
        <w:rPr>
          <w:szCs w:val="24"/>
        </w:rPr>
      </w:pPr>
      <w:r w:rsidRPr="005620AA">
        <w:t>B.</w:t>
      </w:r>
      <w:r w:rsidRPr="005620AA">
        <w:tab/>
        <w:t>budući da je Revizorski sud u svojem izvješću o godišnjoj računovodstvenoj dokumentaciji Europskog nadzornog tijela za osiguranje i strukovno mirovinsko osiguranje za financijsku godinu 2022. („izvješće Revizorskog suda”) izjavio da je dobio razumno jamstvo da je godišnja računovodstvena dokumentacija Nadzornog tijela pouzdana te da su temeljne transakcije zakonite i pravilne;</w:t>
      </w:r>
    </w:p>
    <w:p w:rsidR="00A063F2" w:rsidRPr="005620AA" w:rsidRDefault="00A063F2" w:rsidP="00A063F2">
      <w:pPr>
        <w:widowControl/>
        <w:spacing w:after="240"/>
        <w:ind w:left="567" w:hanging="567"/>
        <w:rPr>
          <w:b/>
          <w:i/>
          <w:szCs w:val="24"/>
        </w:rPr>
      </w:pPr>
      <w:r w:rsidRPr="005620AA">
        <w:rPr>
          <w:b/>
          <w:i/>
        </w:rPr>
        <w:t>Upravljanje proračunom i financijama</w:t>
      </w:r>
    </w:p>
    <w:p w:rsidR="00A063F2" w:rsidRPr="005620AA" w:rsidRDefault="00A063F2" w:rsidP="00A063F2">
      <w:pPr>
        <w:widowControl/>
        <w:spacing w:after="240"/>
        <w:ind w:left="567" w:hanging="567"/>
        <w:rPr>
          <w:szCs w:val="24"/>
        </w:rPr>
      </w:pPr>
      <w:r w:rsidRPr="005620AA">
        <w:t>1.</w:t>
      </w:r>
      <w:r w:rsidRPr="005620AA">
        <w:tab/>
        <w:t>sa zadovoljstvom konstatira da je praćenje proračuna tijekom financijske godine 2022. rezultiralo stopom izvršenja proračuna od 99,46 %, što je smanjenje od 0,52 % u odnosu na 2021.; međutim primjećuje da je stopa izvršenja odobrenih sredstava za plaćanje iznosila 92,07 %, što je povećanje od 12,95 % u odnosu na 2021.;</w:t>
      </w:r>
    </w:p>
    <w:p w:rsidR="00A063F2" w:rsidRPr="005620AA" w:rsidRDefault="00A063F2" w:rsidP="00A063F2">
      <w:pPr>
        <w:widowControl/>
        <w:spacing w:after="240"/>
        <w:ind w:left="567" w:hanging="567"/>
        <w:rPr>
          <w:szCs w:val="24"/>
        </w:rPr>
      </w:pPr>
      <w:r w:rsidRPr="005620AA">
        <w:rPr>
          <w:b/>
          <w:i/>
        </w:rPr>
        <w:t>Uspješnost</w:t>
      </w:r>
    </w:p>
    <w:p w:rsidR="00A063F2" w:rsidRPr="005620AA" w:rsidRDefault="00A063F2" w:rsidP="00A063F2">
      <w:pPr>
        <w:widowControl/>
        <w:spacing w:after="240"/>
        <w:ind w:left="567" w:hanging="567"/>
        <w:rPr>
          <w:szCs w:val="24"/>
        </w:rPr>
      </w:pPr>
      <w:r w:rsidRPr="005620AA">
        <w:t>2.</w:t>
      </w:r>
      <w:r w:rsidRPr="005620AA">
        <w:tab/>
        <w:t>konstatira da Nadzorno tijelo primjenjuje određene mjere, kao što su ključni pokazatelji uspješnosti, za procjenu dodane vrijednosti svojih aktivnosti te druge mjere za poboljšanje upravljanja proračunom; primjećuje da je Nadzorno tijelo 2022. postavilo 17 strateških ciljnih vrijednosti za uspješnost u sedam glavnih područja rada; sa zadovoljstvom primjećuje da je Nadzorno tijelo postiglo ili premašilo 15 ciljeva, dok se izvješćivanje o druga dva cilja nije smatralo prikladnim zbog toga što ovise o zakonodavnim rokovima Akta o digitalnoj operativnoj otpornosti (DORA) i tehnološkim poremećajima;</w:t>
      </w:r>
    </w:p>
    <w:p w:rsidR="00A063F2" w:rsidRPr="005620AA" w:rsidRDefault="00A063F2" w:rsidP="00A063F2">
      <w:pPr>
        <w:widowControl/>
        <w:spacing w:after="240"/>
        <w:ind w:left="567" w:hanging="567"/>
        <w:rPr>
          <w:szCs w:val="24"/>
        </w:rPr>
      </w:pPr>
      <w:r w:rsidRPr="005620AA">
        <w:t>3.</w:t>
      </w:r>
      <w:r w:rsidRPr="005620AA">
        <w:tab/>
        <w:t xml:space="preserve">primjećuje da su 342 proizvoda i usluga, odnosno 91 % ukupnog broja, isporučena u skladu s planom Nadzornog tijela, pri čemu je za dodatnih 20 proizvoda i usluga došlo do manjih kašnjenja, a 13 proizvoda i usluga nije nastavljeno, često zbog ovisnosti o </w:t>
      </w:r>
      <w:r w:rsidRPr="005620AA">
        <w:lastRenderedPageBreak/>
        <w:t>rokovima za donošenje zakonodavnih odluka kao što je revizija Direktive Solventnost II ili o tehnološkom razvoju na tržištu te zbog drugih prioriteta; pohvaljuje Nadzorno tijelo za povećanje angažmana u predavanjima sa 167 u 2021. na 214 u 2022.;</w:t>
      </w:r>
    </w:p>
    <w:p w:rsidR="00A063F2" w:rsidRPr="005620AA" w:rsidRDefault="00A063F2" w:rsidP="00A063F2">
      <w:pPr>
        <w:widowControl/>
        <w:spacing w:after="240"/>
        <w:ind w:left="567" w:hanging="567"/>
        <w:rPr>
          <w:szCs w:val="24"/>
        </w:rPr>
      </w:pPr>
      <w:r w:rsidRPr="005620AA">
        <w:t>4.</w:t>
      </w:r>
      <w:r w:rsidRPr="005620AA">
        <w:tab/>
        <w:t>uviđa brojna postignuća Nadzornog tijela 2022. koje je u velikoj mjeri ostvarilo svoje ciljeve u područjima konvergencije nadzora, zaštite potrošača i financijske stabilnosti; posebno primjećuje da je Nadzorno tijelo provelo svoje prvo testiranje otpornosti institucija za strukovno mirovinsko osiguranje na klimatske promjene kako bi steklo uvid u učinke okolišnih rizika na europski sektor mirovinskog osiguranja, koje je podvrgnuto provedbenim tehničkim standardima Komisije kojima se utvrđuju zahtjevi za nadzorno izvješćivanje i objavljivanje u skladu s Direktivom Solventnost II, te je objavilo niz dokumenata, izvješća i smjernica o uključivanju rizika za održivost u upravljanje rizicima osiguravatelja, reosiguravatelja i strukovnih mirovinskih fondova i dalo doprinos i tehničke savjete Europskom parlamentu i Vijeću u zakonodavnom postupku u pogledu Akta o umjetnoj inteligenciji i Akta o digitalnoj operativnoj otpornosti (DORA); pohvaljuje Nadzorno tijelo za njegove različite inicijative i mjere u području digitalne transformacije kojima se podupiru ciljevi strategije Unije za digitalne financije, među ostalim doprinosom uspostavi „Akademije EU-a za nadzor digitalnih financija”, zajedno s nekoliko dionika kao što je Europski sveučilišni institut;</w:t>
      </w:r>
    </w:p>
    <w:p w:rsidR="00A063F2" w:rsidRPr="005620AA" w:rsidRDefault="00A063F2" w:rsidP="00A063F2">
      <w:pPr>
        <w:widowControl/>
        <w:spacing w:after="240"/>
        <w:ind w:left="567" w:hanging="567"/>
        <w:rPr>
          <w:szCs w:val="24"/>
        </w:rPr>
      </w:pPr>
      <w:r w:rsidRPr="005620AA">
        <w:t>5.</w:t>
      </w:r>
      <w:r w:rsidRPr="005620AA">
        <w:tab/>
        <w:t>konstatira da je Nadzorno tijelo prvi put iskoristilo niz ovlasti i alata koji su mu dodijeljeni u okviru Uredbe o EIOPA-i; u tom kontekstu konstatira da je Nadzorno tijelo 2022. izdalo preporuku Narodnoj banci Slovačke (NBS) nakon što je zaključilo da kršenje kapitalnih zahtjeva koje je počinilo slovačko osiguravajuće društvo nije riješeno na odgovarajući način iz perspektive nadzora; nadalje sa zabrinutošću primjećuje da je Nadzorno tijelo utvrdilo da je Narodna banka Slovačke prekršila pravo Unije te je stoga Komisija izdala službeno mišljenje u kojem od Narodne banke Slovačke traži da poduzme mjere potrebne za usklađivanje s pravom Unije te je provedena istraga na temelju članka 22. Uredbe o EIOPA-i; poziva Nadzorno tijelo da o daljnjem postupanju i ishodu te istrage obavijesti tijelo nadležno za davanje razrješnice;</w:t>
      </w:r>
    </w:p>
    <w:p w:rsidR="00A063F2" w:rsidRPr="005620AA" w:rsidRDefault="00A063F2" w:rsidP="00A063F2">
      <w:pPr>
        <w:widowControl/>
        <w:spacing w:after="240"/>
        <w:ind w:left="567" w:hanging="567"/>
        <w:rPr>
          <w:szCs w:val="24"/>
        </w:rPr>
      </w:pPr>
      <w:r w:rsidRPr="005620AA">
        <w:t>6.</w:t>
      </w:r>
      <w:r w:rsidRPr="005620AA">
        <w:tab/>
        <w:t xml:space="preserve">prima na znanje da je Nadzorno tijelo doprinijelo osiguravanju financijske stabilnosti i zaštiti potrošača temeljitim praćenjem tržišta i procjenom učinka u novom kontekstu ničim izazvane i nezakonite invazije Rusije na Ukrajinu i postupnog </w:t>
      </w:r>
      <w:proofErr w:type="spellStart"/>
      <w:r w:rsidRPr="005620AA">
        <w:t>pooštravanja</w:t>
      </w:r>
      <w:proofErr w:type="spellEnd"/>
      <w:r w:rsidRPr="005620AA">
        <w:t xml:space="preserve"> monetarne politike kao reakcije na rekordno visoke stope inflacije diljem Europe; pozdravlja pravodobnu objavu nadzornog izvješća o inflaciji 2022. s naglaskom na tome kako inflacija utječe na tehničke pričuve, ulaganja i potrebni solventni kapital;</w:t>
      </w:r>
    </w:p>
    <w:p w:rsidR="00A063F2" w:rsidRPr="005620AA" w:rsidRDefault="00A063F2" w:rsidP="00A063F2">
      <w:pPr>
        <w:pStyle w:val="NormalHanging12a"/>
      </w:pPr>
      <w:r w:rsidRPr="005620AA">
        <w:t>7.</w:t>
      </w:r>
      <w:r w:rsidRPr="005620AA">
        <w:tab/>
        <w:t>konstatira da je Nadzorno tijelo u rujnu 2022. utvrdilo svoju strategiju za razdoblje 2023.  – 2026., u kojoj je odredilo strateške prioritete, uključujući jačanje otpornosti i održivosti sektora osiguranja i mirovinskog sektora te osiguravanje snažne i dosljedne zaštite interesa potrošača diljem Unije;</w:t>
      </w:r>
    </w:p>
    <w:p w:rsidR="00A063F2" w:rsidRPr="005620AA" w:rsidRDefault="00A063F2" w:rsidP="00A063F2">
      <w:pPr>
        <w:widowControl/>
        <w:spacing w:after="240"/>
        <w:ind w:left="567" w:hanging="567"/>
        <w:rPr>
          <w:b/>
          <w:i/>
          <w:szCs w:val="24"/>
        </w:rPr>
      </w:pPr>
      <w:r w:rsidRPr="005620AA">
        <w:rPr>
          <w:b/>
          <w:i/>
        </w:rPr>
        <w:t>Učinkovitost i rezultati</w:t>
      </w:r>
    </w:p>
    <w:p w:rsidR="00A063F2" w:rsidRPr="005620AA" w:rsidRDefault="00A063F2" w:rsidP="00A063F2">
      <w:pPr>
        <w:widowControl/>
        <w:spacing w:after="240"/>
        <w:ind w:left="567" w:hanging="567"/>
        <w:rPr>
          <w:rFonts w:cstheme="minorHAnsi"/>
        </w:rPr>
      </w:pPr>
      <w:r w:rsidRPr="005620AA">
        <w:t>8.</w:t>
      </w:r>
      <w:r w:rsidRPr="005620AA">
        <w:tab/>
        <w:t xml:space="preserve">konstatira da se europska nadzorna tijela međusobno koordiniraju, podupiru i dijele informacije u mnogim područjima, kako u ključnim područjima poslovanja tako i u područjima potpore; pozdravlja činjenicu da su europska nadzorna tijela udružila snage u strateškim inicijativama kao što su razvoj softverskih aplikacija, mrežna infrastruktura i savjetovanje u području IT-a dijeljenjem istih dobavljača; u tom kontekstu konstatira da je Nadzorno tijelo u suradnji s drugim dvama europskim nadzornim tijelima, drugim </w:t>
      </w:r>
      <w:r w:rsidRPr="005620AA">
        <w:lastRenderedPageBreak/>
        <w:t xml:space="preserve">institucijama Unije i nacionalnim nadležnim tijelima izradilo strategiju Nadzornog tijela u oblaku, koja je odobrena 2022., čiji je cilj pružanje autonomnijih, automatiziranijih i </w:t>
      </w:r>
      <w:proofErr w:type="spellStart"/>
      <w:r w:rsidRPr="005620AA">
        <w:t>samoposlužnih</w:t>
      </w:r>
      <w:proofErr w:type="spellEnd"/>
      <w:r w:rsidRPr="005620AA">
        <w:t xml:space="preserve"> proizvoda koji će služiti stručnjacima Nadzornog tijela i nacionalnim nadležnim tijelima;</w:t>
      </w:r>
    </w:p>
    <w:p w:rsidR="00A063F2" w:rsidRPr="005620AA" w:rsidRDefault="00A063F2" w:rsidP="00A063F2">
      <w:pPr>
        <w:widowControl/>
        <w:spacing w:after="240"/>
        <w:ind w:left="567" w:hanging="567"/>
        <w:rPr>
          <w:rFonts w:cstheme="minorHAnsi"/>
        </w:rPr>
      </w:pPr>
      <w:r w:rsidRPr="005620AA">
        <w:t>9.</w:t>
      </w:r>
      <w:r w:rsidRPr="005620AA">
        <w:tab/>
        <w:t>pohvaljuje Nadzorno tijelo za ulaganja i raspodjelu osoblja za projekte u području digitalne transformacije kako bi se, među ostalim, postigle nove razine učinkovitosti automatiziranjem i racionalizacijom poslovnih procesa te poboljšanjem vremena potrebnog za stavljanje na tržište i suradnje unutar funkcija i među njima; u tom kontekstu pozdravlja projekte Nadzornog tijela provedene 2022. i usmjerene na poboljšanje sposobnosti analize podataka kako bi Nadzorno tijelo u potpuno postala digitalna organizacija koja se temelji na podacima;</w:t>
      </w:r>
    </w:p>
    <w:p w:rsidR="00A063F2" w:rsidRPr="005620AA" w:rsidRDefault="00A063F2" w:rsidP="00A063F2">
      <w:pPr>
        <w:pStyle w:val="NormalHanging12a"/>
      </w:pPr>
      <w:r w:rsidRPr="005620AA">
        <w:t>10.</w:t>
      </w:r>
      <w:r w:rsidRPr="005620AA">
        <w:tab/>
        <w:t>konstatira da je u pogledu svakodnevnih poslovnih praksi Nadzorno tijelo provelo niz mjera za povećanje troškovne učinkovitosti, kao što su hibridni model rada, dijeljenje ureda te moderna videokonferencijska rješenja koja su potaknula smanjenje poslovnih putovanja; primjećuje da je Nadzorno tijelo, kako bi se očuvalo institucijsko znanje, stručnost i učinkovitost u izvršavanju osnovnih zadaća, dodatno unaprijedilo svoj integrirani sustav upravljanja talentima koji omogućuje strateški usklađene procese u području ljudskih resursa, bolje pronalaženje kandidata te bolje iskorištavanje znanja i razvoja; poziva Nadzorno tijelo da tijelu nadležnom za davanje razrješnice dostavi podatke i brojke o učinku tog sustava;</w:t>
      </w:r>
    </w:p>
    <w:p w:rsidR="00A063F2" w:rsidRPr="005620AA" w:rsidRDefault="00A063F2" w:rsidP="00A063F2">
      <w:pPr>
        <w:widowControl/>
        <w:spacing w:after="240"/>
        <w:ind w:left="567" w:hanging="567"/>
        <w:rPr>
          <w:rFonts w:cstheme="minorHAnsi"/>
          <w:iCs/>
        </w:rPr>
      </w:pPr>
      <w:r w:rsidRPr="005620AA">
        <w:t>11.</w:t>
      </w:r>
      <w:r w:rsidRPr="005620AA">
        <w:tab/>
        <w:t>na temelju izvješća Revizorskog suda konstatira da je Nadzorno tijelo jedna od agencija koje imaju korporativni plan za poboljšanje energetske učinkovitosti i klimatske neutralnosti svojeg poslovanja te izdaju izjavu o okolišu (npr. o izvješćivanju o ugljičnom otisku) u okviru njihovih godišnjih izvješća o radu; nadalje pohvaljuje Nadzorno tijelo za dobivanje certifikata u sustavu EMAS 2022. (sustav upravljanja okolišem i neovisnog ocjenjivanja Europske unije) u cilju dobivanja službene akreditacije EMAS-a 2023.;</w:t>
      </w:r>
    </w:p>
    <w:p w:rsidR="00A063F2" w:rsidRPr="005620AA" w:rsidRDefault="00A063F2" w:rsidP="00A063F2">
      <w:pPr>
        <w:widowControl/>
        <w:spacing w:after="240"/>
        <w:ind w:left="567" w:hanging="567"/>
        <w:rPr>
          <w:b/>
          <w:i/>
          <w:szCs w:val="24"/>
        </w:rPr>
      </w:pPr>
      <w:r w:rsidRPr="005620AA">
        <w:rPr>
          <w:b/>
          <w:i/>
        </w:rPr>
        <w:t>Kadrovska politika</w:t>
      </w:r>
    </w:p>
    <w:p w:rsidR="00A063F2" w:rsidRPr="005620AA" w:rsidRDefault="00A063F2" w:rsidP="00A063F2">
      <w:pPr>
        <w:widowControl/>
        <w:spacing w:after="240"/>
        <w:ind w:left="567" w:hanging="567"/>
        <w:rPr>
          <w:szCs w:val="24"/>
        </w:rPr>
      </w:pPr>
      <w:r w:rsidRPr="005620AA">
        <w:t>12.</w:t>
      </w:r>
      <w:r w:rsidRPr="005620AA">
        <w:tab/>
        <w:t>konstatira da je 31. prosinca 2022. razina popunjenosti plana radnih mjesta iznosila 99 %, jednako kao i 2021., i da su zaposlena 137 privremena djelatnika od ukupno 138 mjesta odobrenih u okviru proračuna Unije; primjećuje da je, uz to, Nadzorno tijelo 2022. zaposlilo 36 ugovorna djelatnika i 24 upućena nacionalna stručnjaka;</w:t>
      </w:r>
    </w:p>
    <w:p w:rsidR="00A063F2" w:rsidRPr="005620AA" w:rsidRDefault="00A063F2" w:rsidP="00A063F2">
      <w:pPr>
        <w:pStyle w:val="NormalHanging12a"/>
      </w:pPr>
      <w:r w:rsidRPr="005620AA">
        <w:t>13.</w:t>
      </w:r>
      <w:r w:rsidRPr="005620AA">
        <w:tab/>
        <w:t>konstatira da je Nadzorno tijelo u pogledu rodne zastupljenosti za 2022. izvijestilo da je na srednjim i višim rukovodećim položajima te u njegovu Upravnom odboru bilo zaposleno 15 muškaraca (65,20 %) i 8 žena (34,80 %), dok je u ukupnom osoblju Nadzornog tijela bilo zaposleno 104 muškarca (53,60 %) i 90 žena (46,40 %); podsjeća na važnost osiguravanja rodne ravnoteže i poziva Nadzorno tijelo da taj aspekt uzme u obzir kad je riječ o budućem zapošljavanju novog osoblja i imenovanjima na položaje višeg i srednjeg rukovodstva;</w:t>
      </w:r>
    </w:p>
    <w:p w:rsidR="00A063F2" w:rsidRPr="005620AA" w:rsidRDefault="00A063F2" w:rsidP="00A063F2">
      <w:pPr>
        <w:pStyle w:val="NormalHanging12a"/>
      </w:pPr>
      <w:r w:rsidRPr="005620AA">
        <w:t>14.</w:t>
      </w:r>
      <w:r w:rsidRPr="005620AA">
        <w:tab/>
        <w:t xml:space="preserve">pozdravlja činjenicu da je Nadzorno tijelo 2022. nastavilo s provedbom strategije za raznolikost i uključivanje (donesene 2021.) i njezina detaljnog akcijskog plana, u skladu s poveljom EUAN-a o raznolikosti, putem inicijativa koje obuhvaćaju međusektorske mjere kao što su suradnja s drugim institucijama, privlačenje i odabir raznolikije radne snage, sprečavanje diskriminacije, uznemiravanja, svjesne i nesvjesne pristranosti te </w:t>
      </w:r>
      <w:r w:rsidRPr="005620AA">
        <w:lastRenderedPageBreak/>
        <w:t xml:space="preserve">praćenje podataka povezanih s raznolikošću i </w:t>
      </w:r>
      <w:proofErr w:type="spellStart"/>
      <w:r w:rsidRPr="005620AA">
        <w:t>uključivošću</w:t>
      </w:r>
      <w:proofErr w:type="spellEnd"/>
      <w:r w:rsidRPr="005620AA">
        <w:t xml:space="preserve">; konstatira da je 2022. prijavljen jedan slučaj navodnog uznemiravanja, ali da je predmet zaključen bez daljnjih mjera jer, nakon preliminarne procjene, nisu pronađeni dokazi </w:t>
      </w:r>
      <w:r w:rsidRPr="005620AA">
        <w:rPr>
          <w:i/>
          <w:iCs/>
        </w:rPr>
        <w:t>prima </w:t>
      </w:r>
      <w:proofErr w:type="spellStart"/>
      <w:r w:rsidRPr="005620AA">
        <w:rPr>
          <w:i/>
          <w:iCs/>
        </w:rPr>
        <w:t>facie</w:t>
      </w:r>
      <w:proofErr w:type="spellEnd"/>
      <w:r w:rsidRPr="005620AA">
        <w:t>;</w:t>
      </w:r>
    </w:p>
    <w:p w:rsidR="00A063F2" w:rsidRPr="005620AA" w:rsidRDefault="00A063F2" w:rsidP="00A063F2">
      <w:pPr>
        <w:widowControl/>
        <w:spacing w:after="240"/>
        <w:ind w:left="567" w:hanging="567"/>
        <w:rPr>
          <w:szCs w:val="24"/>
        </w:rPr>
      </w:pPr>
      <w:r w:rsidRPr="005620AA">
        <w:t>15.</w:t>
      </w:r>
      <w:r w:rsidRPr="005620AA">
        <w:tab/>
        <w:t xml:space="preserve">pozdravlja činjenicu da je Nadzorno tijelo posvećeno poticanju i pružanju raznolikog i </w:t>
      </w:r>
      <w:proofErr w:type="spellStart"/>
      <w:r w:rsidRPr="005620AA">
        <w:t>uključivog</w:t>
      </w:r>
      <w:proofErr w:type="spellEnd"/>
      <w:r w:rsidRPr="005620AA">
        <w:t xml:space="preserve"> radnog okruženja prilagođenog i potrebama osoba s invaliditetom; u tom kontekstu primjećuje da je 2022. imenovan interni koordinator i ambasador Nadzornog tijela za osobe s invaliditetom kako bi se dodatno ojačalo to konkretno područje i usmjerilo pozornost na njega te je provedena posebna anketa, kao i mjere za podizanja razine informiranosti među osobljem i rukovodstvom;</w:t>
      </w:r>
    </w:p>
    <w:p w:rsidR="00A063F2" w:rsidRPr="005620AA" w:rsidRDefault="00A063F2" w:rsidP="00A063F2">
      <w:pPr>
        <w:pStyle w:val="NormalHanging12a"/>
      </w:pPr>
      <w:r w:rsidRPr="005620AA">
        <w:t>16.</w:t>
      </w:r>
      <w:r w:rsidRPr="005620AA">
        <w:tab/>
        <w:t>sa zadovoljstvom konstatira da je Nadzorno tijelo i dalje duboko predano poboljšanju dobrobiti osoblja i ravnoteže između poslovnog i privatnog života, pri čemu su pozitivni rezultati vidljivi u angažmanu i zadovoljstvu osoblja; primjećuje da ključna područja djelovanja uključuju fleksibilne radne uvjete, rad na daljinu, cjeloživotno usmjeravanje i profesionalni razvoj te programe za dobrobit i podupiruće upravljanje;</w:t>
      </w:r>
    </w:p>
    <w:p w:rsidR="00A063F2" w:rsidRPr="005620AA" w:rsidRDefault="00A063F2" w:rsidP="00A063F2">
      <w:pPr>
        <w:widowControl/>
        <w:spacing w:after="240"/>
        <w:ind w:left="567" w:hanging="567"/>
        <w:rPr>
          <w:b/>
          <w:i/>
          <w:szCs w:val="24"/>
        </w:rPr>
      </w:pPr>
      <w:r w:rsidRPr="005620AA">
        <w:rPr>
          <w:b/>
          <w:i/>
        </w:rPr>
        <w:t>Javna nabava</w:t>
      </w:r>
    </w:p>
    <w:p w:rsidR="00A063F2" w:rsidRPr="005620AA" w:rsidRDefault="00A063F2" w:rsidP="00A063F2">
      <w:pPr>
        <w:widowControl/>
        <w:spacing w:after="240"/>
        <w:ind w:left="567" w:hanging="567"/>
        <w:rPr>
          <w:szCs w:val="24"/>
        </w:rPr>
      </w:pPr>
      <w:r w:rsidRPr="005620AA">
        <w:t>17.</w:t>
      </w:r>
      <w:r w:rsidRPr="005620AA">
        <w:tab/>
        <w:t>na temelju opažanja iz izvješća Revizorskog suda konstatira da je Nadzorno tijelo izvršilo plaćanja u ukupnom iznosu od 25 607 EUR nakon isteka ugovora na temelju kojeg je nabavilo telekomunikacijske usluge za mobilnu telefonsku komunikaciju na razdoblje od četiri godine (2017. – 2021.); na temelju zaključka Revizorskog suda primjećuje da su ta plaćanja bila nepravilna; nadalje, na temelju opažanja Revizorskog suda konstatira da je prilikom potpisivanja izmjene tog ugovora u travnju 2022. povrijeđena točka 1.1. Priloga I. Financijskoj uredbi;</w:t>
      </w:r>
    </w:p>
    <w:p w:rsidR="00A063F2" w:rsidRPr="005620AA" w:rsidRDefault="00A063F2" w:rsidP="00A063F2">
      <w:pPr>
        <w:widowControl/>
        <w:spacing w:after="240"/>
        <w:ind w:left="567" w:hanging="567"/>
        <w:rPr>
          <w:szCs w:val="24"/>
        </w:rPr>
      </w:pPr>
      <w:r w:rsidRPr="005620AA">
        <w:t>18.</w:t>
      </w:r>
      <w:r w:rsidRPr="005620AA">
        <w:tab/>
        <w:t>podsjeća na opažanje iz godišnjeg izvješća Revizorskog suda o agencijama Unije za 2021. o iznosu od 288 125 EUR koji je Nadzorno tijelo nepravilno uplatilo u pogledu ugovora o najmu svojih prostora; u tom kontekstu iz izvješća Nadzornog tijela o mjerama poduzetima u svjetlu preporuka tijela nadležnog za davanje razrješnice (razrješnica za 2021.) primjećuje stajalište Nadzornog tijela o tome da bi zanemarivanje ugovornih obveza imalo negativan pravni učinak te bi utjecalo na ugled Nadzornog tijela; na temelju izvješća Revizorskog suda konstatira da je to opažanje i dalje otvoreno; poziva Nadzorno tijelo da poduzme sve potrebne napore pri pokretanju postupka javne nabave za novi ugovor o najmu kako bi se spriječio bilo kakav sukob između obveza propisanih ugovorom o najmu i relevantnih odredbi Financijske uredbe;</w:t>
      </w:r>
    </w:p>
    <w:p w:rsidR="00A063F2" w:rsidRPr="005620AA" w:rsidRDefault="00A063F2" w:rsidP="00A063F2">
      <w:pPr>
        <w:widowControl/>
        <w:spacing w:after="240"/>
        <w:rPr>
          <w:szCs w:val="24"/>
        </w:rPr>
      </w:pPr>
      <w:r w:rsidRPr="005620AA">
        <w:rPr>
          <w:b/>
          <w:i/>
        </w:rPr>
        <w:t>Postupanje u slučaju sukoba interesa i njihovo sprečavanje te transparentnost</w:t>
      </w:r>
    </w:p>
    <w:p w:rsidR="00A063F2" w:rsidRPr="005620AA" w:rsidRDefault="00A063F2" w:rsidP="00A063F2">
      <w:pPr>
        <w:widowControl/>
        <w:spacing w:after="240"/>
        <w:ind w:left="567" w:hanging="567"/>
        <w:rPr>
          <w:szCs w:val="24"/>
        </w:rPr>
      </w:pPr>
      <w:r w:rsidRPr="005620AA">
        <w:t>19.</w:t>
      </w:r>
      <w:r w:rsidRPr="005620AA">
        <w:tab/>
        <w:t>pozdravlja činjenicu da su, u skladu s pravnim zahtjevima Nadzornog tijela, životopisi članova nadzornog odbora i upravnog odbora Nadzornog tijela, životopis predsjednika i izvršnog direktora Nadzornog tijela te sažeci životopisa voditelja odjela Nadzornog tijela objavljeni na internetskim stranicama Nadzornog tijela; konstatira da su pojedinačne izjave o financijskim interesima i izjava o namjeri javno dostupne svakom članu upravnog odbora, svakom članu nadzornog odbora i višem rukovodstvu Nadzornog tijela; nadalje pozdravlja objavu sastanaka osoblja Nadzornog tijela s lobistima na internetskim stranicama Nadzornog tijela;</w:t>
      </w:r>
    </w:p>
    <w:p w:rsidR="00A063F2" w:rsidRPr="005620AA" w:rsidRDefault="00A063F2" w:rsidP="00A063F2">
      <w:pPr>
        <w:widowControl/>
        <w:spacing w:after="240"/>
        <w:ind w:left="567" w:hanging="567"/>
        <w:rPr>
          <w:szCs w:val="24"/>
        </w:rPr>
      </w:pPr>
      <w:r w:rsidRPr="005620AA">
        <w:t>20.</w:t>
      </w:r>
      <w:r w:rsidRPr="005620AA">
        <w:tab/>
        <w:t xml:space="preserve">pozdravlja činjenicu da je Nadzorno tijelo 2022. postrožilo svoja etička pravila za osoblje i osobe koje nisu članovi osoblja u skladu s opažanjima iz izvješća Revizorskog </w:t>
      </w:r>
      <w:r w:rsidRPr="005620AA">
        <w:lastRenderedPageBreak/>
        <w:t>suda o godišnjoj računovodstvenoj dokumentaciji Nadzornog tijela za 2021. u cilju očuvanja nepristranog, objektivnog i neovisnog donošenja odluka te brzog utvrđivanja i rješavanja svih mogućih sukoba interesa; u tom pogledu prima na znanje reviziju Poslovnika Nadzornog tijela, donošenje politike o neovisnosti i postupcima donošenja odluka kako bi se izbjegli sukobi interesa za osobe koje nisu članovi osoblja, odobrenje revidirane odluke o ocjeni predsjednika i izvršnog direktora te donošenje revizije etičkih pravila Nadzornog tijela za članove osoblja;</w:t>
      </w:r>
    </w:p>
    <w:p w:rsidR="00A063F2" w:rsidRPr="005620AA" w:rsidRDefault="00A063F2" w:rsidP="00A063F2">
      <w:pPr>
        <w:widowControl/>
        <w:spacing w:after="240"/>
        <w:ind w:left="567" w:hanging="567"/>
        <w:rPr>
          <w:szCs w:val="24"/>
        </w:rPr>
      </w:pPr>
      <w:r w:rsidRPr="005620AA">
        <w:t>21.</w:t>
      </w:r>
      <w:r w:rsidRPr="005620AA">
        <w:tab/>
        <w:t>kad je riječ o zviždačima, primjećuje da je 2022. jedan član osoblja izrazio zabrinutost zbog mogućeg slučaja nepravilnosti kojim se bavilo Nadzorno tijelo u skladu s primjenjivim pravilima; u tom kontekstu konstatira da je Europski ured za borbu protiv prijevara (OLAF), koji je Nadzorno tijelo odmah obavijestilo, proveo procjenu te odbacio predmet na temelju činjenice da nije postojala dostatna sumnja za pokretanje istrage;</w:t>
      </w:r>
    </w:p>
    <w:p w:rsidR="00A063F2" w:rsidRPr="005620AA" w:rsidRDefault="00A063F2" w:rsidP="00A063F2">
      <w:pPr>
        <w:spacing w:after="240"/>
        <w:ind w:left="567" w:hanging="567"/>
        <w:rPr>
          <w:sz w:val="22"/>
        </w:rPr>
      </w:pPr>
      <w:r w:rsidRPr="005620AA">
        <w:t>22.</w:t>
      </w:r>
      <w:r w:rsidRPr="005620AA">
        <w:tab/>
        <w:t>pozdravlja činjenicu da je u srpnju 2022. Odbor nadzornika Nadzornog tijela revidirao Poslovnik primijenivši opažanje Revizorskog suda u pogledu prisutnosti članova Odbora nadzornika koji su u sukobu interesa tijekom rasprava i glasovanja; nadalje, konstatira da je upravni odbor Nadzornog tijela u prosincu 2022. odobrio revidiranu odluku o ocjeni predsjednika i izvršnog direktora, u skladu s primjedbama Revizorskog suda;</w:t>
      </w:r>
    </w:p>
    <w:p w:rsidR="00A063F2" w:rsidRPr="005620AA" w:rsidRDefault="00A063F2" w:rsidP="00A063F2">
      <w:pPr>
        <w:widowControl/>
        <w:spacing w:after="240"/>
        <w:ind w:left="567" w:hanging="567"/>
        <w:rPr>
          <w:b/>
          <w:i/>
          <w:szCs w:val="24"/>
        </w:rPr>
      </w:pPr>
      <w:r w:rsidRPr="005620AA">
        <w:rPr>
          <w:b/>
          <w:i/>
        </w:rPr>
        <w:t>Unutarnja kontrola</w:t>
      </w:r>
    </w:p>
    <w:p w:rsidR="00A063F2" w:rsidRPr="005620AA" w:rsidRDefault="00A063F2" w:rsidP="00A063F2">
      <w:pPr>
        <w:widowControl/>
        <w:spacing w:after="240"/>
        <w:ind w:left="567" w:hanging="567"/>
        <w:rPr>
          <w:szCs w:val="24"/>
        </w:rPr>
      </w:pPr>
      <w:r w:rsidRPr="005620AA">
        <w:t>23.</w:t>
      </w:r>
      <w:r w:rsidRPr="005620AA">
        <w:tab/>
        <w:t>primjećuje da je Nadzorno tijelo provelo godišnju procjenu svojeg okvira unutarnje kontrole, zaključivši da se sve komponente i načela provode i funkcioniraju kako je predviđeno, pri čemu su potrebna još neka poboljšanja zbog utvrđenih umjerenih nepravilnosti;</w:t>
      </w:r>
    </w:p>
    <w:p w:rsidR="00A063F2" w:rsidRPr="005620AA" w:rsidRDefault="00A063F2" w:rsidP="00A063F2">
      <w:pPr>
        <w:widowControl/>
        <w:spacing w:after="240"/>
        <w:ind w:left="567" w:hanging="567"/>
        <w:rPr>
          <w:szCs w:val="24"/>
        </w:rPr>
      </w:pPr>
      <w:r w:rsidRPr="005620AA">
        <w:t>24.</w:t>
      </w:r>
      <w:r w:rsidRPr="005620AA">
        <w:tab/>
        <w:t xml:space="preserve">primjećuje da je 2022. Služba za unutarnju reviziju objavila izvješće o reviziji provedenoj 2021. o „intervencijskim mjerama EIOPA-e”, koja je bila usmjerena na nacionalna nadležna tijela i tržišne subjekte u sektorima osiguranja i strukovnog mirovinskog osiguranja Unije; nadalje primjećuje da je Odbor za kontrolu kvalitete Nadzornog tijela objavio izvješće o preispitivanju pod nazivom „Iskustva stečena tijekom suradnje i interakcije između EIOPA-e i nacionalnih nadležnih tijela za vrijeme </w:t>
      </w:r>
      <w:proofErr w:type="spellStart"/>
      <w:r w:rsidRPr="005620AA">
        <w:t>pandemije</w:t>
      </w:r>
      <w:proofErr w:type="spellEnd"/>
      <w:r w:rsidRPr="005620AA">
        <w:t xml:space="preserve"> bolesti COVID-19”; poziva Nadzorno tijelo da tijelo nadležno za davanje razrješnice obavještava o provedbi preporuka koje su izdali Služba za unutarnju reviziju i Odbor za kontrolu kvalitete;</w:t>
      </w:r>
    </w:p>
    <w:p w:rsidR="00A063F2" w:rsidRPr="005620AA" w:rsidRDefault="00A063F2" w:rsidP="00A063F2">
      <w:pPr>
        <w:widowControl/>
        <w:spacing w:after="240"/>
        <w:ind w:left="567" w:hanging="567"/>
      </w:pPr>
      <w:r w:rsidRPr="005620AA">
        <w:t>25.</w:t>
      </w:r>
      <w:r w:rsidRPr="005620AA">
        <w:tab/>
        <w:t xml:space="preserve">sa zadovoljstvom konstatira da je Nadzorno tijelo 2022., uz obavljanje postojećih obveza, utvrdilo, pratilo i poduzelo mjere za ublažavanje učinaka rizika u pogledu nedostatka dostatnih kapaciteta za provedbu novih ovlasti i zadaća, nedostatka kvalificiranog osoblja s potrebnim kompetencijama zbog problema povezanih s privlačnosti i zapošljavanjem te u pogledu </w:t>
      </w:r>
      <w:proofErr w:type="spellStart"/>
      <w:r w:rsidRPr="005620AA">
        <w:t>kibersigurnosnih</w:t>
      </w:r>
      <w:proofErr w:type="spellEnd"/>
      <w:r w:rsidRPr="005620AA">
        <w:t xml:space="preserve"> prijetnji i kontinuiteta poslovanja;</w:t>
      </w:r>
    </w:p>
    <w:p w:rsidR="00A063F2" w:rsidRPr="005620AA" w:rsidRDefault="00A063F2" w:rsidP="00A063F2">
      <w:pPr>
        <w:widowControl/>
        <w:spacing w:after="240"/>
        <w:ind w:left="567" w:hanging="567"/>
      </w:pPr>
      <w:r w:rsidRPr="005620AA">
        <w:t>26.</w:t>
      </w:r>
      <w:r w:rsidRPr="005620AA">
        <w:tab/>
        <w:t>primjećuje da je Nadzorno tijelo 2022. nastavilo rješavati preostale preporuke iz revizije nadzornih alata u području zaštite potrošača (2019. – 2020.); nadalje primjećuje da je ta revizija rezultirala četirima preporukama koje riješene tako da je Služba za unutarnju reviziju službeno zaključila dvije preporuke u studenome 2021., dok su dvije preporuke službeno zaključene u lipnju 2022.;</w:t>
      </w:r>
    </w:p>
    <w:p w:rsidR="00A063F2" w:rsidRPr="005620AA" w:rsidRDefault="00A063F2" w:rsidP="00A063F2">
      <w:pPr>
        <w:widowControl/>
        <w:spacing w:after="240"/>
        <w:ind w:left="567" w:hanging="567"/>
        <w:rPr>
          <w:b/>
          <w:i/>
          <w:szCs w:val="24"/>
        </w:rPr>
      </w:pPr>
      <w:r w:rsidRPr="005620AA">
        <w:rPr>
          <w:b/>
          <w:i/>
        </w:rPr>
        <w:lastRenderedPageBreak/>
        <w:t>Ostale primjedbe</w:t>
      </w:r>
    </w:p>
    <w:p w:rsidR="00A063F2" w:rsidRPr="005620AA" w:rsidRDefault="00A063F2" w:rsidP="00A063F2">
      <w:pPr>
        <w:spacing w:after="240"/>
        <w:ind w:left="567" w:hanging="567"/>
        <w:rPr>
          <w:szCs w:val="24"/>
        </w:rPr>
      </w:pPr>
      <w:r w:rsidRPr="005620AA">
        <w:t>27.</w:t>
      </w:r>
      <w:r w:rsidRPr="005620AA">
        <w:tab/>
        <w:t xml:space="preserve">konstatira da je Nadzorno tijelo 2022., zajedno s drugim europskim nadzornim tijelima, izdalo upozorenja potrošačima u vezi s visokorizičnim i spekulativnim aktivnostima povezanima s mnogim vrstama </w:t>
      </w:r>
      <w:proofErr w:type="spellStart"/>
      <w:r w:rsidRPr="005620AA">
        <w:t>kriptoimovine</w:t>
      </w:r>
      <w:proofErr w:type="spellEnd"/>
      <w:r w:rsidRPr="005620AA">
        <w:t>;</w:t>
      </w:r>
    </w:p>
    <w:p w:rsidR="00A063F2" w:rsidRPr="005620AA" w:rsidRDefault="00A063F2" w:rsidP="00A063F2">
      <w:pPr>
        <w:spacing w:after="240"/>
        <w:ind w:left="567" w:hanging="567"/>
        <w:rPr>
          <w:szCs w:val="24"/>
        </w:rPr>
      </w:pPr>
      <w:r w:rsidRPr="005620AA">
        <w:t>28.</w:t>
      </w:r>
      <w:r w:rsidRPr="005620AA">
        <w:tab/>
        <w:t>na temelju odgovora Nadzornog tijela na pitanja tijela nadležnog za davanje razrješnice konstatira da se Nadzorno tijelo trenutačno koristi alatima Komisije za e-natječaj (e-natječaj, e-podnošenje ponuda, e-fakturiranje) te da je u međuvremenu uveden i alat za upravljanje javnom nabavom (PPMT) (od srpnja 2023.); pozdravlja činjenicu da natječajni postupci EIOPA-e uključuju zahtjeve za kriterije zelene javne nabave, ako je to moguće, i da ponuditelji EIOPA-e moraju potpisati, među ostalim, izjavu o usklađenosti s okolišnim i socijalnim obvezama;</w:t>
      </w:r>
    </w:p>
    <w:p w:rsidR="00A063F2" w:rsidRPr="005620AA" w:rsidRDefault="00A063F2" w:rsidP="00A063F2">
      <w:pPr>
        <w:spacing w:after="240"/>
        <w:ind w:left="567" w:hanging="567"/>
        <w:rPr>
          <w:szCs w:val="24"/>
        </w:rPr>
      </w:pPr>
      <w:r w:rsidRPr="005620AA">
        <w:t>29.</w:t>
      </w:r>
      <w:r w:rsidRPr="005620AA">
        <w:tab/>
        <w:t>primjećuje da je Nadzorno tijelo 2022. na svojim internetskim stranicama i društvenim mrežama objavilo rezultate svojeg rada u obliku izvješća, pri čemu je većina izvješća popraćena priopćenjem za medije; pozdravlja činjenicu da su u nekim slučajevima izvješća popraćena i sažecima, kratkim isječcima na društvenim mrežama ili kratkim razgovorima, kako bi se sadržaj objasnio na jednostavniji način;</w:t>
      </w:r>
    </w:p>
    <w:p w:rsidR="00A063F2" w:rsidRPr="005620AA" w:rsidRDefault="00A063F2" w:rsidP="00A063F2">
      <w:pPr>
        <w:pStyle w:val="NormalCenter12a"/>
      </w:pPr>
      <w:r w:rsidRPr="005620AA">
        <w:t>°</w:t>
      </w:r>
    </w:p>
    <w:p w:rsidR="00A063F2" w:rsidRPr="005620AA" w:rsidRDefault="00A063F2" w:rsidP="00A063F2">
      <w:pPr>
        <w:pStyle w:val="NormalCenter12a"/>
      </w:pPr>
      <w:r w:rsidRPr="005620AA">
        <w:t>°</w:t>
      </w:r>
      <w:r w:rsidRPr="005620AA">
        <w:tab/>
        <w:t>°</w:t>
      </w:r>
    </w:p>
    <w:p w:rsidR="00A063F2" w:rsidRPr="005620AA" w:rsidRDefault="00A063F2" w:rsidP="00A063F2">
      <w:pPr>
        <w:pStyle w:val="NormalHanging12a"/>
      </w:pPr>
      <w:r w:rsidRPr="005620AA">
        <w:t>30.</w:t>
      </w:r>
      <w:r w:rsidRPr="005620AA">
        <w:tab/>
        <w:t>u vezi s drugim primjedbama koje su priložene Odluci o razrješnici i horizontalne su naravi upuć</w:t>
      </w:r>
      <w:r w:rsidR="00C458F9">
        <w:t>uje na svoju Rezoluciju od 11.</w:t>
      </w:r>
      <w:r w:rsidRPr="005620AA">
        <w:t xml:space="preserve"> travnja 2024.</w:t>
      </w:r>
      <w:r w:rsidRPr="005620AA">
        <w:rPr>
          <w:rStyle w:val="FootnoteReference"/>
        </w:rPr>
        <w:footnoteReference w:id="12"/>
      </w:r>
      <w:r w:rsidRPr="005620AA">
        <w:t xml:space="preserve"> o uspješnosti, financijskom upravljanju i nadzoru agencija.</w:t>
      </w:r>
    </w:p>
    <w:p w:rsidR="00E365E1" w:rsidRPr="005620AA" w:rsidRDefault="00E365E1" w:rsidP="00F42F5D">
      <w:bookmarkStart w:id="11" w:name="TextBodyEnd"/>
      <w:bookmarkEnd w:id="11"/>
    </w:p>
    <w:sectPr w:rsidR="00E365E1" w:rsidRPr="005620AA" w:rsidSect="005620AA">
      <w:headerReference w:type="even" r:id="rId11"/>
      <w:headerReference w:type="default" r:id="rId12"/>
      <w:footerReference w:type="even" r:id="rId13"/>
      <w:footerReference w:type="default" r:id="rId14"/>
      <w:headerReference w:type="first" r:id="rId15"/>
      <w:footerReference w:type="first" r:id="rId16"/>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F5D" w:rsidRPr="005620AA" w:rsidRDefault="00F42F5D">
      <w:r w:rsidRPr="005620AA">
        <w:separator/>
      </w:r>
    </w:p>
  </w:endnote>
  <w:endnote w:type="continuationSeparator" w:id="0">
    <w:p w:rsidR="00F42F5D" w:rsidRPr="005620AA" w:rsidRDefault="00F42F5D">
      <w:r w:rsidRPr="005620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3F2" w:rsidRPr="005620AA" w:rsidRDefault="00A063F2" w:rsidP="00AF294F">
    <w:pPr>
      <w:pStyle w:val="EPFooter"/>
    </w:pPr>
    <w:r w:rsidRPr="005620AA">
      <w:t>PE</w:t>
    </w:r>
    <w:r w:rsidRPr="005620AA">
      <w:rPr>
        <w:rStyle w:val="HideTWBExt"/>
      </w:rPr>
      <w:t>&lt;NoPE&gt;</w:t>
    </w:r>
    <w:r w:rsidRPr="005620AA">
      <w:t>753.521</w:t>
    </w:r>
    <w:r w:rsidRPr="005620AA">
      <w:rPr>
        <w:rStyle w:val="HideTWBExt"/>
      </w:rPr>
      <w:t>&lt;/NoPE&gt;&lt;Version&gt;</w:t>
    </w:r>
    <w:r w:rsidRPr="005620AA">
      <w:t>v02-00</w:t>
    </w:r>
    <w:r w:rsidRPr="005620AA">
      <w:rPr>
        <w:rStyle w:val="HideTWBExt"/>
      </w:rPr>
      <w:t>&lt;/Version&gt;</w:t>
    </w:r>
    <w:r w:rsidRPr="005620AA">
      <w:tab/>
    </w:r>
    <w:r w:rsidRPr="005620AA">
      <w:fldChar w:fldCharType="begin"/>
    </w:r>
    <w:r w:rsidRPr="005620AA">
      <w:instrText xml:space="preserve"> PAGE  \* MERGEFORMAT </w:instrText>
    </w:r>
    <w:r w:rsidRPr="005620AA">
      <w:fldChar w:fldCharType="separate"/>
    </w:r>
    <w:r w:rsidRPr="005620AA">
      <w:rPr>
        <w:noProof/>
      </w:rPr>
      <w:t>4</w:t>
    </w:r>
    <w:r w:rsidRPr="005620AA">
      <w:fldChar w:fldCharType="end"/>
    </w:r>
    <w:r w:rsidRPr="005620AA">
      <w:t>/</w:t>
    </w:r>
    <w:r w:rsidR="00506AB9">
      <w:fldChar w:fldCharType="begin"/>
    </w:r>
    <w:r w:rsidR="00506AB9">
      <w:instrText xml:space="preserve"> NUMPAGES  \* MERGEFORMAT </w:instrText>
    </w:r>
    <w:r w:rsidR="00506AB9">
      <w:fldChar w:fldCharType="separate"/>
    </w:r>
    <w:r w:rsidRPr="005620AA">
      <w:rPr>
        <w:noProof/>
      </w:rPr>
      <w:t>4</w:t>
    </w:r>
    <w:r w:rsidR="00506AB9">
      <w:rPr>
        <w:noProof/>
      </w:rPr>
      <w:fldChar w:fldCharType="end"/>
    </w:r>
    <w:r w:rsidRPr="005620AA">
      <w:tab/>
    </w:r>
    <w:r w:rsidRPr="005620AA">
      <w:rPr>
        <w:rStyle w:val="HideTWBExt"/>
      </w:rPr>
      <w:t>&lt;PathFdR&gt;</w:t>
    </w:r>
    <w:r w:rsidRPr="005620AA">
      <w:t>RR\1298747HR.docx</w:t>
    </w:r>
    <w:r w:rsidRPr="005620AA">
      <w:rPr>
        <w:rStyle w:val="HideTWBExt"/>
      </w:rPr>
      <w:t>&lt;/PathFdR&gt;</w:t>
    </w:r>
  </w:p>
  <w:p w:rsidR="00A063F2" w:rsidRPr="005620AA" w:rsidRDefault="00A063F2" w:rsidP="00AF294F">
    <w:pPr>
      <w:pStyle w:val="EPFooter2"/>
    </w:pPr>
    <w:r w:rsidRPr="005620AA">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3F2" w:rsidRPr="005620AA" w:rsidRDefault="00A063F2" w:rsidP="00AF294F">
    <w:pPr>
      <w:pStyle w:val="EPFooter"/>
    </w:pPr>
    <w:r w:rsidRPr="005620AA">
      <w:rPr>
        <w:rStyle w:val="HideTWBExt"/>
      </w:rPr>
      <w:t>&lt;PathFdR&gt;</w:t>
    </w:r>
    <w:r w:rsidRPr="005620AA">
      <w:t>RR\1298747HR.docx</w:t>
    </w:r>
    <w:r w:rsidRPr="005620AA">
      <w:rPr>
        <w:rStyle w:val="HideTWBExt"/>
      </w:rPr>
      <w:t>&lt;/PathFdR&gt;</w:t>
    </w:r>
    <w:r w:rsidRPr="005620AA">
      <w:tab/>
    </w:r>
    <w:r w:rsidRPr="005620AA">
      <w:tab/>
      <w:t>PE</w:t>
    </w:r>
    <w:r w:rsidRPr="005620AA">
      <w:rPr>
        <w:rStyle w:val="HideTWBExt"/>
      </w:rPr>
      <w:t>&lt;NoPE&gt;</w:t>
    </w:r>
    <w:r w:rsidRPr="005620AA">
      <w:t>753.521</w:t>
    </w:r>
    <w:r w:rsidRPr="005620AA">
      <w:rPr>
        <w:rStyle w:val="HideTWBExt"/>
      </w:rPr>
      <w:t>&lt;/NoPE&gt;&lt;Version&gt;</w:t>
    </w:r>
    <w:r w:rsidRPr="005620AA">
      <w:t>v02-00</w:t>
    </w:r>
    <w:r w:rsidRPr="005620AA">
      <w:rPr>
        <w:rStyle w:val="HideTWBExt"/>
      </w:rPr>
      <w:t>&lt;/Version&gt;</w:t>
    </w:r>
  </w:p>
  <w:p w:rsidR="00A063F2" w:rsidRPr="005620AA" w:rsidRDefault="00A063F2" w:rsidP="00AF294F">
    <w:pPr>
      <w:pStyle w:val="EPFooter2"/>
    </w:pPr>
    <w:r w:rsidRPr="005620AA">
      <w:t>HR</w:t>
    </w:r>
    <w:r w:rsidRPr="005620AA">
      <w:tab/>
    </w:r>
    <w:r w:rsidRPr="005620AA">
      <w:rPr>
        <w:b w:val="0"/>
        <w:i/>
        <w:color w:val="C0C0C0"/>
        <w:sz w:val="22"/>
      </w:rPr>
      <w:t>Ujedinjena u raznolikosti</w:t>
    </w:r>
    <w:r w:rsidRPr="005620AA">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5620AA" w:rsidRDefault="00064002"/>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5620AA" w:rsidRDefault="0006400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5620AA"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F5D" w:rsidRPr="005620AA" w:rsidRDefault="00F42F5D">
      <w:r w:rsidRPr="005620AA">
        <w:separator/>
      </w:r>
    </w:p>
  </w:footnote>
  <w:footnote w:type="continuationSeparator" w:id="0">
    <w:p w:rsidR="00F42F5D" w:rsidRPr="005620AA" w:rsidRDefault="00F42F5D">
      <w:r w:rsidRPr="005620AA">
        <w:continuationSeparator/>
      </w:r>
    </w:p>
  </w:footnote>
  <w:footnote w:id="1">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C</w:t>
      </w:r>
      <w:r w:rsidR="00506AB9">
        <w:rPr>
          <w:sz w:val="24"/>
          <w:lang w:val="hr-HR"/>
        </w:rPr>
        <w:t>,</w:t>
      </w:r>
      <w:r w:rsidRPr="005620AA">
        <w:rPr>
          <w:sz w:val="24"/>
          <w:lang w:val="hr-HR"/>
        </w:rPr>
        <w:t xml:space="preserve"> C/2023/594, 27.10.2023.</w:t>
      </w:r>
    </w:p>
  </w:footnote>
  <w:footnote w:id="2">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C</w:t>
      </w:r>
      <w:r w:rsidR="00506AB9">
        <w:rPr>
          <w:sz w:val="24"/>
          <w:lang w:val="hr-HR"/>
        </w:rPr>
        <w:t>,</w:t>
      </w:r>
      <w:r w:rsidRPr="005620AA">
        <w:rPr>
          <w:sz w:val="24"/>
          <w:lang w:val="hr-HR"/>
        </w:rPr>
        <w:t xml:space="preserve"> C/2023/112, 12.10.2023.</w:t>
      </w:r>
    </w:p>
  </w:footnote>
  <w:footnote w:id="3">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L 193, 30.7.2018., str. 1.</w:t>
      </w:r>
    </w:p>
  </w:footnote>
  <w:footnote w:id="4">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L 331, 15.12.2010., str. 48.</w:t>
      </w:r>
    </w:p>
  </w:footnote>
  <w:footnote w:id="5">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L 122, 10.5.2019., str. 1.</w:t>
      </w:r>
    </w:p>
  </w:footnote>
  <w:footnote w:id="6">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C</w:t>
      </w:r>
      <w:r w:rsidR="00506AB9">
        <w:rPr>
          <w:sz w:val="24"/>
          <w:lang w:val="hr-HR"/>
        </w:rPr>
        <w:t>,</w:t>
      </w:r>
      <w:r w:rsidRPr="005620AA">
        <w:rPr>
          <w:sz w:val="24"/>
          <w:lang w:val="hr-HR"/>
        </w:rPr>
        <w:t xml:space="preserve"> C/2023/594, 27.10.2023.</w:t>
      </w:r>
    </w:p>
  </w:footnote>
  <w:footnote w:id="7">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 xml:space="preserve">SL </w:t>
      </w:r>
      <w:r w:rsidRPr="005620AA">
        <w:rPr>
          <w:sz w:val="24"/>
          <w:lang w:val="hr-HR"/>
        </w:rPr>
        <w:t>C</w:t>
      </w:r>
      <w:r w:rsidR="00506AB9">
        <w:rPr>
          <w:sz w:val="24"/>
          <w:lang w:val="hr-HR"/>
        </w:rPr>
        <w:t>,</w:t>
      </w:r>
      <w:bookmarkStart w:id="9" w:name="_GoBack"/>
      <w:bookmarkEnd w:id="9"/>
      <w:r w:rsidRPr="005620AA">
        <w:rPr>
          <w:sz w:val="24"/>
          <w:lang w:val="hr-HR"/>
        </w:rPr>
        <w:t xml:space="preserve"> C/2023/112, 12.10.2023.</w:t>
      </w:r>
    </w:p>
  </w:footnote>
  <w:footnote w:id="8">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L 193, 30.7.2018., str. 1.</w:t>
      </w:r>
    </w:p>
  </w:footnote>
  <w:footnote w:id="9">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L 331, 15.12.2010., str. 48.</w:t>
      </w:r>
    </w:p>
  </w:footnote>
  <w:footnote w:id="10">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L 122, 10.5.2019., str. 1.</w:t>
      </w:r>
    </w:p>
  </w:footnote>
  <w:footnote w:id="11">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SL C 38, 31.1.2023., str. 78.</w:t>
      </w:r>
    </w:p>
  </w:footnote>
  <w:footnote w:id="12">
    <w:p w:rsidR="00A063F2" w:rsidRPr="005620AA" w:rsidRDefault="00A063F2" w:rsidP="005620AA">
      <w:pPr>
        <w:pStyle w:val="FootnoteText"/>
        <w:ind w:left="567" w:hanging="567"/>
        <w:rPr>
          <w:sz w:val="24"/>
          <w:lang w:val="hr-HR"/>
        </w:rPr>
      </w:pPr>
      <w:r w:rsidRPr="005620AA">
        <w:rPr>
          <w:rStyle w:val="FootnoteReference"/>
          <w:sz w:val="24"/>
          <w:lang w:val="hr-HR"/>
        </w:rPr>
        <w:footnoteRef/>
      </w:r>
      <w:r w:rsidR="005620AA" w:rsidRPr="005620AA">
        <w:rPr>
          <w:sz w:val="24"/>
          <w:lang w:val="hr-HR"/>
        </w:rPr>
        <w:t xml:space="preserve"> </w:t>
      </w:r>
      <w:r w:rsidR="005620AA" w:rsidRPr="005620AA">
        <w:rPr>
          <w:sz w:val="24"/>
          <w:lang w:val="hr-HR"/>
        </w:rPr>
        <w:tab/>
      </w:r>
      <w:r w:rsidRPr="005620AA">
        <w:rPr>
          <w:sz w:val="24"/>
          <w:lang w:val="hr-HR"/>
        </w:rPr>
        <w:t>Us</w:t>
      </w:r>
      <w:r w:rsidR="008B7156">
        <w:rPr>
          <w:sz w:val="24"/>
          <w:lang w:val="hr-HR"/>
        </w:rPr>
        <w:t>vojeni tekstovi, P9_TA(2024)0280</w:t>
      </w:r>
      <w:r w:rsidRPr="005620AA">
        <w:rPr>
          <w:sz w:val="24"/>
          <w:lang w:val="hr-H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5620AA" w:rsidRDefault="0006400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5620AA" w:rsidRDefault="000640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5620AA"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A9-0097/2024"/>
    <w:docVar w:name="dvlangue" w:val="HR"/>
    <w:docVar w:name="dvnumam" w:val="0"/>
    <w:docVar w:name="dvpe" w:val="753.521"/>
    <w:docVar w:name="dvrapporteur" w:val="Izvjestitelj: "/>
    <w:docVar w:name="dvtitre" w:val="Odluka Europskog parlamenta od .... 2024. o razrješnici za izvršenje proračuna Europskog nadzornog tijela za osiguranje i strukovno mirovinsko osiguranje za financijsku godinu 2022.(2023/2153(DEC))"/>
  </w:docVars>
  <w:rsids>
    <w:rsidRoot w:val="00F42F5D"/>
    <w:rsid w:val="00002272"/>
    <w:rsid w:val="00064002"/>
    <w:rsid w:val="000677B9"/>
    <w:rsid w:val="000831BA"/>
    <w:rsid w:val="000A42CC"/>
    <w:rsid w:val="000E7DD9"/>
    <w:rsid w:val="0010095E"/>
    <w:rsid w:val="00125B37"/>
    <w:rsid w:val="00187494"/>
    <w:rsid w:val="001F32AE"/>
    <w:rsid w:val="00201B3A"/>
    <w:rsid w:val="002767FF"/>
    <w:rsid w:val="002B18FE"/>
    <w:rsid w:val="002B5493"/>
    <w:rsid w:val="00343214"/>
    <w:rsid w:val="00361C00"/>
    <w:rsid w:val="00395FA1"/>
    <w:rsid w:val="003E15D4"/>
    <w:rsid w:val="00411CCE"/>
    <w:rsid w:val="0041666E"/>
    <w:rsid w:val="00421060"/>
    <w:rsid w:val="00471C19"/>
    <w:rsid w:val="004867E3"/>
    <w:rsid w:val="00494A28"/>
    <w:rsid w:val="004C0004"/>
    <w:rsid w:val="004C5D52"/>
    <w:rsid w:val="0050519A"/>
    <w:rsid w:val="00506AB9"/>
    <w:rsid w:val="005072A1"/>
    <w:rsid w:val="00514517"/>
    <w:rsid w:val="00545827"/>
    <w:rsid w:val="00560270"/>
    <w:rsid w:val="005620AA"/>
    <w:rsid w:val="005C2568"/>
    <w:rsid w:val="006037C0"/>
    <w:rsid w:val="006631B6"/>
    <w:rsid w:val="00680577"/>
    <w:rsid w:val="006F74FA"/>
    <w:rsid w:val="0070745C"/>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B7156"/>
    <w:rsid w:val="008C2AC6"/>
    <w:rsid w:val="00930C23"/>
    <w:rsid w:val="0093193B"/>
    <w:rsid w:val="009509D8"/>
    <w:rsid w:val="00950B64"/>
    <w:rsid w:val="00981893"/>
    <w:rsid w:val="00A063F2"/>
    <w:rsid w:val="00A1687D"/>
    <w:rsid w:val="00A43E52"/>
    <w:rsid w:val="00A4678D"/>
    <w:rsid w:val="00A63E34"/>
    <w:rsid w:val="00A778C7"/>
    <w:rsid w:val="00AB441E"/>
    <w:rsid w:val="00AB6293"/>
    <w:rsid w:val="00AE0928"/>
    <w:rsid w:val="00AF3B82"/>
    <w:rsid w:val="00B12E95"/>
    <w:rsid w:val="00B22876"/>
    <w:rsid w:val="00B558F0"/>
    <w:rsid w:val="00BD48FE"/>
    <w:rsid w:val="00BD7BD8"/>
    <w:rsid w:val="00BE6ADC"/>
    <w:rsid w:val="00C05BFE"/>
    <w:rsid w:val="00C23CD4"/>
    <w:rsid w:val="00C458F9"/>
    <w:rsid w:val="00C61C0C"/>
    <w:rsid w:val="00C941CB"/>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42F5D"/>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zh-CN"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6E4FA"/>
  <w15:chartTrackingRefBased/>
  <w15:docId w15:val="{4C7977BF-01BE-4663-9EF2-037800D5A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hr-HR"/>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Footer2">
    <w:name w:val="EPFooter2"/>
    <w:basedOn w:val="Normal"/>
    <w:next w:val="Normal"/>
    <w:rsid w:val="00A063F2"/>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063F2"/>
    <w:pPr>
      <w:spacing w:before="480" w:after="240"/>
    </w:pPr>
  </w:style>
  <w:style w:type="paragraph" w:customStyle="1" w:styleId="PageHeading">
    <w:name w:val="PageHeading"/>
    <w:basedOn w:val="Normal"/>
    <w:rsid w:val="00A063F2"/>
    <w:pPr>
      <w:keepNext/>
      <w:spacing w:after="480"/>
      <w:jc w:val="center"/>
    </w:pPr>
    <w:rPr>
      <w:rFonts w:ascii="Arial" w:hAnsi="Arial" w:cs="Arial"/>
      <w:b/>
    </w:rPr>
  </w:style>
  <w:style w:type="paragraph" w:customStyle="1" w:styleId="NormalBold">
    <w:name w:val="NormalBold"/>
    <w:basedOn w:val="Normal"/>
    <w:rsid w:val="00A063F2"/>
    <w:rPr>
      <w:b/>
    </w:rPr>
  </w:style>
  <w:style w:type="paragraph" w:customStyle="1" w:styleId="NormalHanging12a">
    <w:name w:val="NormalHanging12a"/>
    <w:basedOn w:val="Normal"/>
    <w:link w:val="NormalHanging12aChar"/>
    <w:rsid w:val="00A063F2"/>
    <w:pPr>
      <w:spacing w:after="240"/>
      <w:ind w:left="567" w:hanging="567"/>
    </w:pPr>
  </w:style>
  <w:style w:type="paragraph" w:customStyle="1" w:styleId="NormalCenter12a">
    <w:name w:val="NormalCenter12a"/>
    <w:basedOn w:val="Normal"/>
    <w:rsid w:val="00A063F2"/>
    <w:pPr>
      <w:spacing w:after="240"/>
      <w:jc w:val="center"/>
    </w:pPr>
  </w:style>
  <w:style w:type="paragraph" w:styleId="Header">
    <w:name w:val="header"/>
    <w:basedOn w:val="Normal"/>
    <w:link w:val="HeaderChar"/>
    <w:rsid w:val="00A063F2"/>
    <w:pPr>
      <w:tabs>
        <w:tab w:val="center" w:pos="4513"/>
        <w:tab w:val="right" w:pos="9026"/>
      </w:tabs>
    </w:pPr>
  </w:style>
  <w:style w:type="character" w:customStyle="1" w:styleId="HeaderChar">
    <w:name w:val="Header Char"/>
    <w:basedOn w:val="DefaultParagraphFont"/>
    <w:link w:val="Header"/>
    <w:rsid w:val="00A063F2"/>
    <w:rPr>
      <w:sz w:val="24"/>
      <w:lang w:val="hr-HR"/>
    </w:rPr>
  </w:style>
  <w:style w:type="paragraph" w:customStyle="1" w:styleId="EPFooter">
    <w:name w:val="EPFooter"/>
    <w:basedOn w:val="Normal"/>
    <w:rsid w:val="00A063F2"/>
    <w:pPr>
      <w:tabs>
        <w:tab w:val="center" w:pos="4535"/>
        <w:tab w:val="right" w:pos="9071"/>
      </w:tabs>
      <w:spacing w:before="240" w:after="240"/>
    </w:pPr>
    <w:rPr>
      <w:color w:val="010000"/>
      <w:sz w:val="22"/>
    </w:rPr>
  </w:style>
  <w:style w:type="character" w:customStyle="1" w:styleId="NormalHanging12aChar">
    <w:name w:val="NormalHanging12a Char"/>
    <w:basedOn w:val="DefaultParagraphFont"/>
    <w:link w:val="NormalHanging12a"/>
    <w:rsid w:val="00A063F2"/>
    <w:rPr>
      <w:sz w:val="24"/>
      <w:lang w:val="hr-HR"/>
    </w:rPr>
  </w:style>
  <w:style w:type="paragraph" w:styleId="Footer">
    <w:name w:val="footer"/>
    <w:basedOn w:val="Normal"/>
    <w:link w:val="FooterChar"/>
    <w:rsid w:val="00201B3A"/>
    <w:pPr>
      <w:tabs>
        <w:tab w:val="center" w:pos="4513"/>
        <w:tab w:val="right" w:pos="9026"/>
      </w:tabs>
    </w:pPr>
  </w:style>
  <w:style w:type="character" w:customStyle="1" w:styleId="FooterChar">
    <w:name w:val="Footer Char"/>
    <w:basedOn w:val="DefaultParagraphFont"/>
    <w:link w:val="Footer"/>
    <w:rsid w:val="00201B3A"/>
    <w:rPr>
      <w:sz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71F2A-F4B3-48B6-B668-77691705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3317</Words>
  <Characters>20425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23695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ZOVKO Jadranka</dc:creator>
  <cp:keywords/>
  <cp:lastModifiedBy>Karina Pesa</cp:lastModifiedBy>
  <cp:revision>3</cp:revision>
  <cp:lastPrinted>2004-11-19T15:42:00Z</cp:lastPrinted>
  <dcterms:created xsi:type="dcterms:W3CDTF">2024-05-23T10:24:00Z</dcterms:created>
  <dcterms:modified xsi:type="dcterms:W3CDTF">2024-10-30T17:11:00Z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P9_TA(2024)0263_</vt:lpwstr>
  </property>
  <property fmtid="{D5CDD505-2E9C-101B-9397-08002B2CF9AE}" pid="4" name="&lt;Type&gt;">
    <vt:lpwstr>RR</vt:lpwstr>
  </property>
</Properties>
</file>