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7888" w:rsidTr="0010095E">
        <w:trPr>
          <w:trHeight w:hRule="exact" w:val="1418"/>
        </w:trPr>
        <w:tc>
          <w:tcPr>
            <w:tcW w:w="6804" w:type="dxa"/>
            <w:shd w:val="clear" w:color="auto" w:fill="auto"/>
            <w:vAlign w:val="center"/>
          </w:tcPr>
          <w:p w:rsidR="00751A4A" w:rsidRPr="00757888" w:rsidRDefault="001F267D" w:rsidP="0010095E">
            <w:pPr>
              <w:pStyle w:val="EPName"/>
            </w:pPr>
            <w:r w:rsidRPr="00757888">
              <w:t>Europos Parlamentas</w:t>
            </w:r>
          </w:p>
          <w:p w:rsidR="00751A4A" w:rsidRPr="00757888" w:rsidRDefault="00817416" w:rsidP="00756632">
            <w:pPr>
              <w:pStyle w:val="EPTerm"/>
              <w:rPr>
                <w:rStyle w:val="HideTWBExt"/>
                <w:noProof w:val="0"/>
                <w:vanish w:val="0"/>
                <w:color w:val="auto"/>
              </w:rPr>
            </w:pPr>
            <w:r w:rsidRPr="00757888">
              <w:t>2019-2024</w:t>
            </w:r>
          </w:p>
        </w:tc>
        <w:tc>
          <w:tcPr>
            <w:tcW w:w="2268" w:type="dxa"/>
            <w:shd w:val="clear" w:color="auto" w:fill="auto"/>
          </w:tcPr>
          <w:p w:rsidR="00751A4A" w:rsidRPr="00757888" w:rsidRDefault="00187494" w:rsidP="0010095E">
            <w:pPr>
              <w:pStyle w:val="EPLogo"/>
            </w:pPr>
            <w:r w:rsidRPr="00757888">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57888" w:rsidRDefault="00D058B8" w:rsidP="004C5D52">
      <w:pPr>
        <w:pStyle w:val="LineTop"/>
      </w:pPr>
    </w:p>
    <w:p w:rsidR="00680577" w:rsidRPr="00757888" w:rsidRDefault="001F267D" w:rsidP="00680577">
      <w:pPr>
        <w:pStyle w:val="EPBodyTA1"/>
      </w:pPr>
      <w:r w:rsidRPr="00757888">
        <w:t>PRIIMTI TEKSTAI</w:t>
      </w:r>
    </w:p>
    <w:p w:rsidR="00D058B8" w:rsidRPr="00757888" w:rsidRDefault="00D058B8" w:rsidP="00D058B8">
      <w:pPr>
        <w:pStyle w:val="LineBottom"/>
      </w:pPr>
    </w:p>
    <w:p w:rsidR="001F267D" w:rsidRPr="00757888" w:rsidRDefault="001F267D" w:rsidP="001F267D">
      <w:pPr>
        <w:pStyle w:val="ATHeading1"/>
      </w:pPr>
      <w:bookmarkStart w:id="0" w:name="TANumber"/>
      <w:r w:rsidRPr="00757888">
        <w:t>P9_TA(2024)0</w:t>
      </w:r>
      <w:r w:rsidR="00636714">
        <w:t>263</w:t>
      </w:r>
      <w:bookmarkEnd w:id="0"/>
    </w:p>
    <w:p w:rsidR="001F267D" w:rsidRPr="00757888" w:rsidRDefault="001F267D" w:rsidP="001F267D">
      <w:pPr>
        <w:pStyle w:val="ATHeading2"/>
      </w:pPr>
      <w:bookmarkStart w:id="1" w:name="title"/>
      <w:r w:rsidRPr="00757888">
        <w:t>2022 m. biudžeto įvykdymo patvirtinimas: Europos draudimo ir profesinių pensijų institucija</w:t>
      </w:r>
      <w:bookmarkEnd w:id="1"/>
    </w:p>
    <w:p w:rsidR="001F267D" w:rsidRPr="00757888" w:rsidRDefault="001F267D" w:rsidP="001F267D">
      <w:pPr>
        <w:rPr>
          <w:i/>
          <w:vanish/>
        </w:rPr>
      </w:pPr>
      <w:r w:rsidRPr="00757888">
        <w:rPr>
          <w:i/>
        </w:rPr>
        <w:fldChar w:fldCharType="begin"/>
      </w:r>
      <w:r w:rsidRPr="00757888">
        <w:rPr>
          <w:i/>
        </w:rPr>
        <w:instrText xml:space="preserve"> TC"(</w:instrText>
      </w:r>
      <w:bookmarkStart w:id="2" w:name="DocNumber"/>
      <w:r w:rsidRPr="00757888">
        <w:rPr>
          <w:i/>
        </w:rPr>
        <w:instrText>A9-0097/2024</w:instrText>
      </w:r>
      <w:bookmarkEnd w:id="2"/>
      <w:r w:rsidRPr="00757888">
        <w:rPr>
          <w:i/>
        </w:rPr>
        <w:instrText xml:space="preserve"> - Pranešėjas: Petri Sarvamaa)"\l3 \n&gt; \* MERGEFORMAT </w:instrText>
      </w:r>
      <w:r w:rsidRPr="00757888">
        <w:rPr>
          <w:i/>
        </w:rPr>
        <w:fldChar w:fldCharType="end"/>
      </w:r>
    </w:p>
    <w:p w:rsidR="001F267D" w:rsidRPr="00757888" w:rsidRDefault="001F267D" w:rsidP="001F267D">
      <w:pPr>
        <w:rPr>
          <w:vanish/>
        </w:rPr>
      </w:pPr>
      <w:bookmarkStart w:id="3" w:name="Commission"/>
      <w:r w:rsidRPr="00757888">
        <w:rPr>
          <w:vanish/>
        </w:rPr>
        <w:t>Biudžeto kontrolės komitetas</w:t>
      </w:r>
      <w:bookmarkEnd w:id="3"/>
    </w:p>
    <w:p w:rsidR="001F267D" w:rsidRPr="00757888" w:rsidRDefault="001F267D" w:rsidP="001F267D">
      <w:pPr>
        <w:rPr>
          <w:vanish/>
        </w:rPr>
      </w:pPr>
      <w:bookmarkStart w:id="4" w:name="PE"/>
      <w:r w:rsidRPr="00757888">
        <w:rPr>
          <w:vanish/>
        </w:rPr>
        <w:t>PE753.521</w:t>
      </w:r>
      <w:bookmarkEnd w:id="4"/>
    </w:p>
    <w:p w:rsidR="001F267D" w:rsidRPr="00757888" w:rsidRDefault="00872FBA" w:rsidP="00872FBA">
      <w:pPr>
        <w:pStyle w:val="ATHeading3"/>
      </w:pPr>
      <w:bookmarkStart w:id="5" w:name="Sujet"/>
      <w:r>
        <w:t xml:space="preserve">1. 2024 m. balandžio 11 d. </w:t>
      </w:r>
      <w:r w:rsidR="001F267D" w:rsidRPr="00757888">
        <w:t>Europos Parlamento sprendimas dėl Europos draudimo ir profesinių pensijų institucijos 2022 finansinių metų biudžeto įvykdymo patvirtinimo</w:t>
      </w:r>
      <w:bookmarkEnd w:id="5"/>
      <w:r w:rsidR="001F267D" w:rsidRPr="00757888">
        <w:t xml:space="preserve"> </w:t>
      </w:r>
      <w:bookmarkStart w:id="6" w:name="References"/>
      <w:r w:rsidR="001F267D" w:rsidRPr="00757888">
        <w:t>(2023/2153(DEC))</w:t>
      </w:r>
      <w:bookmarkEnd w:id="6"/>
    </w:p>
    <w:p w:rsidR="00A855CE" w:rsidRPr="00757888" w:rsidRDefault="00A855CE" w:rsidP="00A855CE">
      <w:pPr>
        <w:pStyle w:val="EPComma"/>
      </w:pPr>
      <w:bookmarkStart w:id="7" w:name="TextBodyBegin"/>
      <w:bookmarkEnd w:id="7"/>
      <w:r w:rsidRPr="00757888">
        <w:rPr>
          <w:i/>
        </w:rPr>
        <w:t>Europos Parlamentas</w:t>
      </w:r>
      <w:r w:rsidRPr="00757888">
        <w:t>,</w:t>
      </w:r>
    </w:p>
    <w:p w:rsidR="00A855CE" w:rsidRPr="00757888" w:rsidRDefault="00A855CE" w:rsidP="00A855CE">
      <w:pPr>
        <w:pStyle w:val="NormalHanging12a"/>
      </w:pPr>
      <w:r w:rsidRPr="00757888">
        <w:t>–</w:t>
      </w:r>
      <w:r w:rsidRPr="00757888">
        <w:tab/>
        <w:t>atsižvelgdamas į Europos draudimo ir profesinių pensijų institucijos 2022 finansinių metų galutines metines ataskaitas,</w:t>
      </w:r>
    </w:p>
    <w:p w:rsidR="00A855CE" w:rsidRPr="00757888" w:rsidRDefault="00A855CE" w:rsidP="00A855CE">
      <w:pPr>
        <w:pStyle w:val="NormalHanging12a"/>
      </w:pPr>
      <w:r w:rsidRPr="00757888">
        <w:t>–</w:t>
      </w:r>
      <w:r w:rsidRPr="00757888">
        <w:tab/>
        <w:t>atsižvelgdamas į Audito Rūmų 2022 finansinių metų metinę ataskaitą dėl ES agentūrų kartu su agentūrų atsakymais</w:t>
      </w:r>
      <w:r w:rsidRPr="00757888">
        <w:rPr>
          <w:rStyle w:val="FootnoteReference"/>
        </w:rPr>
        <w:footnoteReference w:id="1"/>
      </w:r>
      <w:r w:rsidRPr="00757888">
        <w:t>,</w:t>
      </w:r>
    </w:p>
    <w:p w:rsidR="00A855CE" w:rsidRPr="00757888" w:rsidRDefault="00A855CE" w:rsidP="00A855CE">
      <w:pPr>
        <w:pStyle w:val="NormalHanging12a"/>
      </w:pPr>
      <w:r w:rsidRPr="00757888">
        <w:t>–</w:t>
      </w:r>
      <w:r w:rsidRPr="00757888">
        <w:tab/>
        <w:t>atsižvelgdamas į Audito Rūmų pagal Sutarties dėl Europos Sąjungos veikimo 287 straipsnį pateiktą 2022 finansinių metų sąskaitų patikimumo ir pagal jas atliktų operacijų teisėtumo ir tvarkingumo patikinimo pareiškimą</w:t>
      </w:r>
      <w:r w:rsidRPr="00757888">
        <w:rPr>
          <w:rStyle w:val="FootnoteReference"/>
        </w:rPr>
        <w:footnoteReference w:id="2"/>
      </w:r>
      <w:r w:rsidRPr="00757888">
        <w:t>,</w:t>
      </w:r>
    </w:p>
    <w:p w:rsidR="00A855CE" w:rsidRPr="00757888" w:rsidRDefault="00A855CE" w:rsidP="00A855CE">
      <w:pPr>
        <w:pStyle w:val="NormalHanging12a"/>
      </w:pPr>
      <w:r w:rsidRPr="00757888">
        <w:t>–</w:t>
      </w:r>
      <w:r w:rsidRPr="00757888">
        <w:tab/>
        <w:t xml:space="preserve">atsižvelgdamas į 2024 m. vasario 22 d. </w:t>
      </w:r>
      <w:r w:rsidR="00443C8E" w:rsidRPr="00757888">
        <w:t xml:space="preserve">Tarybos </w:t>
      </w:r>
      <w:r w:rsidRPr="00757888">
        <w:t>rekomendaciją dėl patvirtinimo, kad Institucija įvykdė 2022 finansinių metų biudžetą (</w:t>
      </w:r>
      <w:r w:rsidR="00F62FB6">
        <w:t>06180</w:t>
      </w:r>
      <w:r w:rsidRPr="00757888">
        <w:t>/2024 – C9</w:t>
      </w:r>
      <w:r w:rsidRPr="00757888">
        <w:noBreakHyphen/>
        <w:t>00</w:t>
      </w:r>
      <w:r w:rsidR="00F62FB6">
        <w:t>91</w:t>
      </w:r>
      <w:r w:rsidRPr="00757888">
        <w:t>/2024),</w:t>
      </w:r>
    </w:p>
    <w:p w:rsidR="00A855CE" w:rsidRPr="00757888" w:rsidRDefault="00A855CE" w:rsidP="00A855CE">
      <w:pPr>
        <w:pStyle w:val="NormalHanging12a"/>
      </w:pPr>
      <w:r w:rsidRPr="00757888">
        <w:t>–</w:t>
      </w:r>
      <w:r w:rsidRPr="00757888">
        <w:tab/>
        <w:t>atsižvelgdamas į Sutarties dėl Europos Sąjungos veikimo 319 straipsnį,</w:t>
      </w:r>
    </w:p>
    <w:p w:rsidR="00A855CE" w:rsidRPr="00757888" w:rsidRDefault="00A855CE" w:rsidP="00A855CE">
      <w:pPr>
        <w:pStyle w:val="NormalHanging12a"/>
      </w:pPr>
      <w:r w:rsidRPr="00757888">
        <w:t>–</w:t>
      </w:r>
      <w:r w:rsidRPr="00757888">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757888">
        <w:rPr>
          <w:rStyle w:val="FootnoteReference"/>
        </w:rPr>
        <w:footnoteReference w:id="3"/>
      </w:r>
      <w:r w:rsidRPr="00757888">
        <w:t>, ypač į jo 70 straipsnį,</w:t>
      </w:r>
    </w:p>
    <w:p w:rsidR="00A855CE" w:rsidRPr="00757888" w:rsidRDefault="00A855CE" w:rsidP="00A855CE">
      <w:pPr>
        <w:pStyle w:val="NormalHanging12a"/>
      </w:pPr>
      <w:r w:rsidRPr="00757888">
        <w:t>–</w:t>
      </w:r>
      <w:r w:rsidRPr="00757888">
        <w:tab/>
        <w:t xml:space="preserve">atsižvelgdamas į 2010 m. lapkričio 24 d. Europos Parlamento ir Tarybos reglamentą (ES) Nr. 1094/2010, kuriuo įsteigiama Europos priežiūros institucija (Europos draudimo </w:t>
      </w:r>
      <w:r w:rsidRPr="00757888">
        <w:lastRenderedPageBreak/>
        <w:t>ir profesinių pensijų institucija), iš dalies keičiamas Sprendimas Nr. 716/2009/EB ir panaikinamas Komisijos sprendimas 2009/79/EB</w:t>
      </w:r>
      <w:r w:rsidRPr="00757888">
        <w:rPr>
          <w:rStyle w:val="FootnoteReference"/>
        </w:rPr>
        <w:footnoteReference w:id="4"/>
      </w:r>
      <w:r w:rsidRPr="00757888">
        <w:t>, ypač į jo 64 straipsnį,</w:t>
      </w:r>
    </w:p>
    <w:p w:rsidR="00A855CE" w:rsidRPr="00757888" w:rsidRDefault="00A855CE" w:rsidP="00A855CE">
      <w:pPr>
        <w:pStyle w:val="NormalHanging12a"/>
      </w:pPr>
      <w:r w:rsidRPr="00757888">
        <w:t>–</w:t>
      </w:r>
      <w:r w:rsidRPr="00757888">
        <w:tab/>
        <w:t>atsižvelgdamas į 2018 m. gruodžio 18 d. Komisijos deleguotąjį reglamentą (ES) 2019/715 dėl finansinio pagrindų reglamento, taikomo organams, įsteigtiems pagal SESV ir Euratomo sutartį ir nurodytiems Europos Parlamento ir Tarybos reglamento (ES, Euratomas) 2018/1046</w:t>
      </w:r>
      <w:r w:rsidRPr="00757888">
        <w:rPr>
          <w:rStyle w:val="FootnoteReference"/>
        </w:rPr>
        <w:footnoteReference w:id="5"/>
      </w:r>
      <w:r w:rsidRPr="00757888">
        <w:t xml:space="preserve"> 70 straipsnyje, ypač į jo 105 straipsnį,</w:t>
      </w:r>
    </w:p>
    <w:p w:rsidR="00A855CE" w:rsidRPr="00757888" w:rsidRDefault="00A855CE" w:rsidP="00A855CE">
      <w:pPr>
        <w:pStyle w:val="NormalHanging12a"/>
      </w:pPr>
      <w:r w:rsidRPr="00757888">
        <w:t>–</w:t>
      </w:r>
      <w:r w:rsidRPr="00757888">
        <w:tab/>
        <w:t>atsižvelgdamas į Darbo tvarkos taisyklių 100 straipsnį ir V priedą,</w:t>
      </w:r>
    </w:p>
    <w:p w:rsidR="00A855CE" w:rsidRPr="00757888" w:rsidRDefault="00A855CE" w:rsidP="00A855CE">
      <w:pPr>
        <w:pStyle w:val="NormalHanging12a"/>
      </w:pPr>
      <w:r w:rsidRPr="00757888">
        <w:t>–</w:t>
      </w:r>
      <w:r w:rsidRPr="00757888">
        <w:tab/>
        <w:t>atsižvelgdamas į Biudžeto kontrolės komiteto pranešimą (A9-0097/2024),</w:t>
      </w:r>
    </w:p>
    <w:p w:rsidR="00A855CE" w:rsidRPr="00757888" w:rsidRDefault="00A855CE" w:rsidP="00A855CE">
      <w:pPr>
        <w:pStyle w:val="NormalHanging12a"/>
      </w:pPr>
      <w:r w:rsidRPr="00757888">
        <w:t>1.</w:t>
      </w:r>
      <w:r w:rsidRPr="00757888">
        <w:tab/>
        <w:t>patvirtina Europos draudimo ir profesinių pensijų institucijos vykdomajam direktoriui, kad Institucijos 2022 finansinių metų biudžetas įvykdytas;</w:t>
      </w:r>
    </w:p>
    <w:p w:rsidR="00A855CE" w:rsidRPr="00757888" w:rsidRDefault="00A855CE" w:rsidP="00A855CE">
      <w:pPr>
        <w:pStyle w:val="NormalHanging12a"/>
      </w:pPr>
      <w:r w:rsidRPr="00757888">
        <w:t>2.</w:t>
      </w:r>
      <w:r w:rsidRPr="00757888">
        <w:tab/>
        <w:t>išdėsto savo pastabas toliau pateikiamoje rezoliucijoje;</w:t>
      </w:r>
    </w:p>
    <w:p w:rsidR="00A855CE" w:rsidRPr="00757888" w:rsidRDefault="00A855CE" w:rsidP="00A855CE">
      <w:pPr>
        <w:pStyle w:val="NormalHanging12a"/>
      </w:pPr>
      <w:r w:rsidRPr="00757888">
        <w:t>3.</w:t>
      </w:r>
      <w:r w:rsidRPr="00757888">
        <w:tab/>
        <w:t xml:space="preserve">paveda Pirmininkei perduoti šį sprendimą ir rezoliuciją, kuri yra neatskiriama jo dalis, Europos draudimo ir profesinių pensijų institucijos vykdomajam direktoriui, Tarybai, Komisijai ir Audito Rūmams ir pasirūpinti, kad jie būtų paskelbti </w:t>
      </w:r>
      <w:r w:rsidRPr="00757888">
        <w:rPr>
          <w:i/>
        </w:rPr>
        <w:t>Europos Sąjungos oficialiajame leidinyje</w:t>
      </w:r>
      <w:r w:rsidRPr="00757888">
        <w:t xml:space="preserve"> (L serijoje).</w:t>
      </w:r>
    </w:p>
    <w:p w:rsidR="00A855CE" w:rsidRPr="00757888" w:rsidRDefault="00A855CE" w:rsidP="00A855CE"/>
    <w:p w:rsidR="00A855CE" w:rsidRPr="00757888" w:rsidRDefault="00A855CE" w:rsidP="00A855CE">
      <w:pPr>
        <w:widowControl/>
        <w:rPr>
          <w:rFonts w:ascii="Arial" w:hAnsi="Arial" w:cs="Arial"/>
          <w:b/>
        </w:rPr>
        <w:sectPr w:rsidR="00A855CE" w:rsidRPr="00757888" w:rsidSect="00757888">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A855CE" w:rsidRPr="00757888" w:rsidRDefault="00872FBA" w:rsidP="00872FBA">
      <w:pPr>
        <w:pStyle w:val="ATHeading3"/>
      </w:pPr>
      <w:r>
        <w:lastRenderedPageBreak/>
        <w:t xml:space="preserve">2. 2024 m. balandžio 11 d. </w:t>
      </w:r>
      <w:r w:rsidRPr="00757888">
        <w:t xml:space="preserve">Europos Parlamento sprendimas </w:t>
      </w:r>
      <w:r w:rsidR="00A855CE" w:rsidRPr="00757888">
        <w:t>dėl Europos draudimo ir profesinių pensijų institucijos 2022 finansinių metų sąskaitų uždarymo</w:t>
      </w:r>
      <w:r>
        <w:t xml:space="preserve"> </w:t>
      </w:r>
      <w:r w:rsidR="00A855CE" w:rsidRPr="00757888">
        <w:t>(2023/2153(DEC))</w:t>
      </w:r>
    </w:p>
    <w:p w:rsidR="00A855CE" w:rsidRPr="00757888" w:rsidRDefault="00A855CE" w:rsidP="00A855CE">
      <w:pPr>
        <w:pStyle w:val="EPComma"/>
      </w:pPr>
      <w:r w:rsidRPr="00757888">
        <w:rPr>
          <w:i/>
          <w:iCs/>
        </w:rPr>
        <w:t>Europos Parlamentas</w:t>
      </w:r>
      <w:r w:rsidRPr="00757888">
        <w:t>,</w:t>
      </w:r>
    </w:p>
    <w:p w:rsidR="00A855CE" w:rsidRPr="00757888" w:rsidRDefault="00A855CE" w:rsidP="00A855CE">
      <w:pPr>
        <w:pStyle w:val="NormalHanging12a"/>
      </w:pPr>
      <w:r w:rsidRPr="00757888">
        <w:t>–</w:t>
      </w:r>
      <w:r w:rsidRPr="00757888">
        <w:tab/>
        <w:t>atsižvelgdamas į Europos draudimo ir profesinių pensijų institucijos 2022 finansinių metų galutines metines ataskaitas,</w:t>
      </w:r>
    </w:p>
    <w:p w:rsidR="00A855CE" w:rsidRPr="00757888" w:rsidRDefault="00A855CE" w:rsidP="00A855CE">
      <w:pPr>
        <w:pStyle w:val="NormalHanging12a"/>
      </w:pPr>
      <w:r w:rsidRPr="00757888">
        <w:t>–</w:t>
      </w:r>
      <w:r w:rsidRPr="00757888">
        <w:tab/>
        <w:t>atsižvelgdamas į Audito Rūmų 2022 finansinių metų metinę ataskaitą dėl ES agentūrų kartu su agentūrų atsakymais</w:t>
      </w:r>
      <w:r w:rsidRPr="00757888">
        <w:rPr>
          <w:rStyle w:val="FootnoteReference"/>
        </w:rPr>
        <w:footnoteReference w:id="6"/>
      </w:r>
      <w:r w:rsidRPr="00757888">
        <w:t>,</w:t>
      </w:r>
    </w:p>
    <w:p w:rsidR="00A855CE" w:rsidRPr="00757888" w:rsidRDefault="00A855CE" w:rsidP="00A855CE">
      <w:pPr>
        <w:pStyle w:val="NormalHanging12a"/>
      </w:pPr>
      <w:r w:rsidRPr="00757888">
        <w:t>–</w:t>
      </w:r>
      <w:r w:rsidRPr="00757888">
        <w:tab/>
        <w:t>atsižvelgdamas į Audito Rūmų pagal Sutarties dėl Europos Sąjungos veikimo 287 straipsnį pateiktą 2022 finansinių metų sąskaitų patikimumo ir pagal jas atliktų operacijų teisėtumo ir tvarkingumo patikinimo pareiškimą</w:t>
      </w:r>
      <w:r w:rsidRPr="00757888">
        <w:rPr>
          <w:rStyle w:val="FootnoteReference"/>
        </w:rPr>
        <w:footnoteReference w:id="7"/>
      </w:r>
      <w:r w:rsidRPr="00757888">
        <w:t>,</w:t>
      </w:r>
    </w:p>
    <w:p w:rsidR="00A855CE" w:rsidRPr="00757888" w:rsidRDefault="00A855CE" w:rsidP="00A855CE">
      <w:pPr>
        <w:pStyle w:val="NormalHanging12a"/>
      </w:pPr>
      <w:r w:rsidRPr="00757888">
        <w:t>–</w:t>
      </w:r>
      <w:r w:rsidRPr="00757888">
        <w:tab/>
        <w:t xml:space="preserve">atsižvelgdamas į 2024 m. vasario 22 d. </w:t>
      </w:r>
      <w:r w:rsidR="00443C8E" w:rsidRPr="00757888">
        <w:t xml:space="preserve">Tarybos </w:t>
      </w:r>
      <w:r w:rsidRPr="00757888">
        <w:t>rekomendaciją dėl patvirtinimo, kad Institucija įvykdė 2022 finansinių metų biudžetą (</w:t>
      </w:r>
      <w:r w:rsidR="00F62FB6">
        <w:t>06180</w:t>
      </w:r>
      <w:r w:rsidRPr="00757888">
        <w:t>/2024 – C9</w:t>
      </w:r>
      <w:r w:rsidRPr="00757888">
        <w:noBreakHyphen/>
        <w:t>00</w:t>
      </w:r>
      <w:r w:rsidR="00F62FB6">
        <w:t>91</w:t>
      </w:r>
      <w:r w:rsidRPr="00757888">
        <w:t>/2024),</w:t>
      </w:r>
    </w:p>
    <w:p w:rsidR="00A855CE" w:rsidRPr="00757888" w:rsidRDefault="00A855CE" w:rsidP="00A855CE">
      <w:pPr>
        <w:pStyle w:val="NormalHanging12a"/>
      </w:pPr>
      <w:r w:rsidRPr="00757888">
        <w:t>–</w:t>
      </w:r>
      <w:r w:rsidRPr="00757888">
        <w:tab/>
        <w:t>atsižvelgdamas į Sutarties dėl Europos Sąjungos veikimo 319 straipsnį,</w:t>
      </w:r>
    </w:p>
    <w:p w:rsidR="00A855CE" w:rsidRPr="00757888" w:rsidRDefault="00A855CE" w:rsidP="00A855CE">
      <w:pPr>
        <w:pStyle w:val="NormalHanging12a"/>
      </w:pPr>
      <w:r w:rsidRPr="00757888">
        <w:t>–</w:t>
      </w:r>
      <w:r w:rsidRPr="00757888">
        <w:tab/>
        <w:t>atsižvelgdamas į 2018 m. liepos 1</w:t>
      </w:r>
      <w:r w:rsidR="005D03AE">
        <w:t>8</w:t>
      </w:r>
      <w:r w:rsidRPr="00757888">
        <w:t>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757888">
        <w:rPr>
          <w:rStyle w:val="FootnoteReference"/>
        </w:rPr>
        <w:footnoteReference w:id="8"/>
      </w:r>
      <w:r w:rsidRPr="00757888">
        <w:t>, ypač į jo 70 straipsnį,</w:t>
      </w:r>
    </w:p>
    <w:p w:rsidR="00A855CE" w:rsidRPr="00757888" w:rsidRDefault="00A855CE" w:rsidP="00A855CE">
      <w:pPr>
        <w:pStyle w:val="NormalHanging12a"/>
      </w:pPr>
      <w:r w:rsidRPr="00757888">
        <w:t>–</w:t>
      </w:r>
      <w:r w:rsidRPr="00757888">
        <w:tab/>
        <w:t>atsižvelgdamas į 2010 m. lapkričio 24 d. Europos Parlamento ir Tarybos reglamentą (ES) Nr. 1094/2010, kuriuo įsteigiama Europos priežiūros institucija (Europos draudimo ir profesinių pensijų institucija), iš dalies keičiamas Sprendimas Nr. 716/2009/EB ir panaikinamas Komisijos sprendimas 2009/79/EB</w:t>
      </w:r>
      <w:r w:rsidRPr="00757888">
        <w:rPr>
          <w:rStyle w:val="FootnoteReference"/>
        </w:rPr>
        <w:footnoteReference w:id="9"/>
      </w:r>
      <w:r w:rsidRPr="00757888">
        <w:t>, ypač į jo 64 straipsnį,</w:t>
      </w:r>
    </w:p>
    <w:p w:rsidR="00A855CE" w:rsidRPr="00757888" w:rsidRDefault="00A855CE" w:rsidP="00A855CE">
      <w:pPr>
        <w:pStyle w:val="NormalHanging12a"/>
      </w:pPr>
      <w:r w:rsidRPr="00757888">
        <w:t>–</w:t>
      </w:r>
      <w:r w:rsidRPr="00757888">
        <w:tab/>
        <w:t>atsižvelgdamas į 2018 m. gruodžio 18 d. Komisijos deleguotąjį reglamentą (ES) 2019/715 dėl finansinio pagrindų reglamento, taikomo organams, įsteigtiems pagal SESV ir Euratomo sutartį ir nurodyti</w:t>
      </w:r>
      <w:bookmarkStart w:id="8" w:name="_GoBack"/>
      <w:bookmarkEnd w:id="8"/>
      <w:r w:rsidRPr="00757888">
        <w:t>ems Europos Parlamento ir Tarybos reglamento (ES, Euratomas) 2018/1046</w:t>
      </w:r>
      <w:r w:rsidRPr="00757888">
        <w:rPr>
          <w:rStyle w:val="FootnoteReference"/>
        </w:rPr>
        <w:footnoteReference w:id="10"/>
      </w:r>
      <w:r w:rsidRPr="00757888">
        <w:t xml:space="preserve"> 70 straipsnyje, ypač į jo 105 straipsnį,</w:t>
      </w:r>
    </w:p>
    <w:p w:rsidR="00A855CE" w:rsidRPr="00757888" w:rsidRDefault="00A855CE" w:rsidP="00A855CE">
      <w:pPr>
        <w:pStyle w:val="NormalHanging12a"/>
      </w:pPr>
      <w:r w:rsidRPr="00757888">
        <w:t>–</w:t>
      </w:r>
      <w:r w:rsidRPr="00757888">
        <w:tab/>
        <w:t>atsižvelgdamas į Darbo tvarkos taisyklių 100 straipsnį ir V priedą,</w:t>
      </w:r>
    </w:p>
    <w:p w:rsidR="00A855CE" w:rsidRPr="00757888" w:rsidRDefault="00A855CE" w:rsidP="00A855CE">
      <w:pPr>
        <w:pStyle w:val="NormalHanging12a"/>
      </w:pPr>
      <w:r w:rsidRPr="00757888">
        <w:t>–</w:t>
      </w:r>
      <w:r w:rsidRPr="00757888">
        <w:tab/>
        <w:t>atsižvelgdamas į Biudžeto kontrolės komiteto pranešimą (A9-0097/2024),</w:t>
      </w:r>
    </w:p>
    <w:p w:rsidR="00A855CE" w:rsidRPr="00757888" w:rsidRDefault="00A855CE" w:rsidP="00A855CE">
      <w:pPr>
        <w:pStyle w:val="NormalHanging12a"/>
      </w:pPr>
      <w:r w:rsidRPr="00757888">
        <w:t>1.</w:t>
      </w:r>
      <w:r w:rsidRPr="00757888">
        <w:tab/>
        <w:t>pritaria Europos draudimo ir profesinių pensijų institucijos 2022 finansinių metų sąskaitų uždarymui;</w:t>
      </w:r>
    </w:p>
    <w:p w:rsidR="00A855CE" w:rsidRPr="00757888" w:rsidRDefault="00A855CE" w:rsidP="00A855CE">
      <w:pPr>
        <w:pStyle w:val="NormalHanging12a"/>
      </w:pPr>
      <w:r w:rsidRPr="00757888">
        <w:t>2.</w:t>
      </w:r>
      <w:r w:rsidRPr="00757888">
        <w:tab/>
        <w:t xml:space="preserve">paveda Pirmininkei perduoti šį sprendimą Europos draudimo ir profesinių pensijų </w:t>
      </w:r>
      <w:r w:rsidRPr="00757888">
        <w:lastRenderedPageBreak/>
        <w:t xml:space="preserve">institucijos vykdomajam direktoriui, Tarybai, Komisijai ir Audito Rūmams ir pasirūpinti, kad jie būtų paskelbti </w:t>
      </w:r>
      <w:r w:rsidRPr="00757888">
        <w:rPr>
          <w:i/>
        </w:rPr>
        <w:t>Europos Sąjungos oficialiajame leidinyje</w:t>
      </w:r>
      <w:r w:rsidRPr="00757888">
        <w:t xml:space="preserve"> (L serijoje).</w:t>
      </w:r>
    </w:p>
    <w:p w:rsidR="00A855CE" w:rsidRPr="00757888" w:rsidRDefault="00A855CE" w:rsidP="00A855CE"/>
    <w:p w:rsidR="00A855CE" w:rsidRPr="00757888" w:rsidRDefault="00A855CE" w:rsidP="00A855CE">
      <w:pPr>
        <w:widowControl/>
        <w:rPr>
          <w:rFonts w:ascii="Arial" w:hAnsi="Arial" w:cs="Arial"/>
          <w:b/>
        </w:rPr>
        <w:sectPr w:rsidR="00A855CE" w:rsidRPr="00757888" w:rsidSect="00757888">
          <w:footnotePr>
            <w:numRestart w:val="eachPage"/>
          </w:footnotePr>
          <w:endnotePr>
            <w:numFmt w:val="decimal"/>
          </w:endnotePr>
          <w:pgSz w:w="11906" w:h="16838"/>
          <w:pgMar w:top="1134" w:right="1418" w:bottom="1418" w:left="1418" w:header="567" w:footer="567" w:gutter="0"/>
          <w:cols w:space="720"/>
          <w:docGrid w:linePitch="326"/>
        </w:sectPr>
      </w:pPr>
    </w:p>
    <w:p w:rsidR="00A855CE" w:rsidRPr="00757888" w:rsidRDefault="00872FBA" w:rsidP="00872FBA">
      <w:pPr>
        <w:pStyle w:val="ATHeading3"/>
      </w:pPr>
      <w:r>
        <w:lastRenderedPageBreak/>
        <w:t xml:space="preserve">3. 2024 m. balandžio 11 d. </w:t>
      </w:r>
      <w:r w:rsidRPr="00757888">
        <w:t xml:space="preserve">Europos Parlamento </w:t>
      </w:r>
      <w:r>
        <w:t>rezoliucija</w:t>
      </w:r>
      <w:r w:rsidRPr="00757888">
        <w:t xml:space="preserve"> </w:t>
      </w:r>
      <w:r w:rsidR="00A855CE" w:rsidRPr="00757888">
        <w:t>su pastabomis, sudarančiomis neatskiriamą sprendimo dėl Europos draudimo ir profesinių pensijų institucijos 2022 finansinių metų biudžeto įvykdymo patvirtinimo dalį</w:t>
      </w:r>
      <w:r>
        <w:t xml:space="preserve"> </w:t>
      </w:r>
      <w:r w:rsidR="00A855CE" w:rsidRPr="00757888">
        <w:t>(2023/2153(DEC))</w:t>
      </w:r>
    </w:p>
    <w:p w:rsidR="00A855CE" w:rsidRPr="00757888" w:rsidRDefault="00A855CE" w:rsidP="00A855CE">
      <w:pPr>
        <w:pStyle w:val="EPComma"/>
      </w:pPr>
      <w:r w:rsidRPr="00757888">
        <w:rPr>
          <w:i/>
          <w:iCs/>
        </w:rPr>
        <w:t>Europos Parlamentas</w:t>
      </w:r>
      <w:r w:rsidRPr="00757888">
        <w:t>,</w:t>
      </w:r>
    </w:p>
    <w:p w:rsidR="00A855CE" w:rsidRPr="00757888" w:rsidRDefault="00A855CE" w:rsidP="00A855CE">
      <w:pPr>
        <w:pStyle w:val="NormalHanging12a"/>
      </w:pPr>
      <w:r w:rsidRPr="00757888">
        <w:t>–</w:t>
      </w:r>
      <w:r w:rsidRPr="00757888">
        <w:tab/>
        <w:t>atsižvelgdamas į savo sprendimą dėl Europos draudimo ir profesinių pensijų institucijos 2022 finansinių metų biudžeto įvykdymo patvirtinimo,</w:t>
      </w:r>
    </w:p>
    <w:p w:rsidR="00A855CE" w:rsidRPr="00757888" w:rsidRDefault="00A855CE" w:rsidP="00A855CE">
      <w:pPr>
        <w:pStyle w:val="NormalHanging12a"/>
      </w:pPr>
      <w:r w:rsidRPr="00757888">
        <w:t>–</w:t>
      </w:r>
      <w:r w:rsidRPr="00757888">
        <w:tab/>
        <w:t>atsižvelgdamas į Darbo tvarkos taisyklių 100 straipsnį ir V priedą,</w:t>
      </w:r>
    </w:p>
    <w:p w:rsidR="00A855CE" w:rsidRPr="00757888" w:rsidRDefault="00A855CE" w:rsidP="00A855CE">
      <w:pPr>
        <w:pStyle w:val="NormalHanging12a"/>
      </w:pPr>
      <w:r w:rsidRPr="00757888">
        <w:t>–</w:t>
      </w:r>
      <w:r w:rsidRPr="00757888">
        <w:tab/>
        <w:t>atsižvelgdamas į Biudžeto kontrolės komiteto pranešimą (A9-0097/2024),</w:t>
      </w:r>
    </w:p>
    <w:p w:rsidR="00A855CE" w:rsidRPr="00757888" w:rsidRDefault="00A855CE" w:rsidP="00A855CE">
      <w:pPr>
        <w:widowControl/>
        <w:spacing w:after="240"/>
        <w:ind w:left="567" w:hanging="567"/>
        <w:rPr>
          <w:szCs w:val="24"/>
        </w:rPr>
      </w:pPr>
      <w:r w:rsidRPr="00757888">
        <w:t>A.</w:t>
      </w:r>
      <w:r w:rsidRPr="00757888">
        <w:tab/>
        <w:t>kadangi, remiantis Europos draudimo ir profesinių pensijų institucijos (toliau – Institucija) pajamų ir išlaidų suvestine</w:t>
      </w:r>
      <w:r w:rsidRPr="00757888">
        <w:rPr>
          <w:rStyle w:val="FootnoteReference"/>
          <w:szCs w:val="24"/>
        </w:rPr>
        <w:footnoteReference w:id="11"/>
      </w:r>
      <w:r w:rsidRPr="00757888">
        <w:t>, jos galutinis 2022 finansinių metų biudžetas buvo 34 571 120 EUR, t. y. 5,27 proc. didesnis nei 2021 m.; kadangi Institucija yra finansuojama Sąjungos įnašu (12 932 000 EUR, t. y. 37,40 proc.) ir valstybių narių nacionalinių priežiūros institucijų įnašais (21 076 120 EUR, t. y. 60,96 proc.);</w:t>
      </w:r>
    </w:p>
    <w:p w:rsidR="00A855CE" w:rsidRPr="00757888" w:rsidRDefault="00A855CE" w:rsidP="00A855CE">
      <w:pPr>
        <w:widowControl/>
        <w:spacing w:after="240"/>
        <w:ind w:left="567" w:hanging="567"/>
        <w:rPr>
          <w:szCs w:val="24"/>
        </w:rPr>
      </w:pPr>
      <w:r w:rsidRPr="00757888">
        <w:t>B.</w:t>
      </w:r>
      <w:r w:rsidRPr="00757888">
        <w:tab/>
        <w:t>kadangi Audito Rūmai savo ataskaitoje dėl Europos draudimo ir profesinių pensijų institucijos 2022 finansinių metų metinių ataskaitų (toliau – Audito Rūmų ataskaita) nurodo, kad gavo pagrįstą patikinimą, jog Institucijos metinės ataskaitos yra patikimos ir jose nurodytos operacijos yra teisėtos ir tvarkingos;</w:t>
      </w:r>
    </w:p>
    <w:p w:rsidR="00A855CE" w:rsidRPr="00757888" w:rsidRDefault="00A855CE" w:rsidP="00A855CE">
      <w:pPr>
        <w:widowControl/>
        <w:spacing w:after="240"/>
        <w:ind w:left="567" w:hanging="567"/>
        <w:rPr>
          <w:b/>
          <w:i/>
          <w:szCs w:val="24"/>
        </w:rPr>
      </w:pPr>
      <w:r w:rsidRPr="00757888">
        <w:rPr>
          <w:b/>
          <w:i/>
        </w:rPr>
        <w:t>Biudžeto ir finansų valdymas</w:t>
      </w:r>
    </w:p>
    <w:p w:rsidR="00A855CE" w:rsidRPr="00757888" w:rsidRDefault="00A855CE" w:rsidP="00A855CE">
      <w:pPr>
        <w:widowControl/>
        <w:spacing w:after="240"/>
        <w:ind w:left="567" w:hanging="567"/>
        <w:rPr>
          <w:szCs w:val="24"/>
        </w:rPr>
      </w:pPr>
      <w:r w:rsidRPr="00757888">
        <w:t>1.</w:t>
      </w:r>
      <w:r w:rsidRPr="00757888">
        <w:tab/>
        <w:t>džiaugdamasis pažymi, kad dėl 2022 finansiniais metais vykdytos biudžeto stebėsenos biudžeto įvykdymo lygis buvo 99,46 proc., t. y. 0,52 proc. mažesnis, palyginti su 2021 m.; tačiau pažymi, kad mokėjimų asignavimų įvykdymo lygis buvo 92,07 proc., t. y.12,95 proc. didesnis, palyginti su 2021 m.;</w:t>
      </w:r>
    </w:p>
    <w:p w:rsidR="00A855CE" w:rsidRPr="00757888" w:rsidRDefault="00A855CE" w:rsidP="00A855CE">
      <w:pPr>
        <w:widowControl/>
        <w:spacing w:after="240"/>
        <w:ind w:left="567" w:hanging="567"/>
        <w:rPr>
          <w:szCs w:val="24"/>
        </w:rPr>
      </w:pPr>
      <w:r w:rsidRPr="00757888">
        <w:rPr>
          <w:b/>
          <w:i/>
        </w:rPr>
        <w:t>Veikla</w:t>
      </w:r>
    </w:p>
    <w:p w:rsidR="00A855CE" w:rsidRPr="00757888" w:rsidRDefault="00A855CE" w:rsidP="00A855CE">
      <w:pPr>
        <w:widowControl/>
        <w:spacing w:after="240"/>
        <w:ind w:left="567" w:hanging="567"/>
        <w:rPr>
          <w:szCs w:val="24"/>
        </w:rPr>
      </w:pPr>
      <w:r w:rsidRPr="00757888">
        <w:t>2.</w:t>
      </w:r>
      <w:r w:rsidRPr="00757888">
        <w:tab/>
        <w:t>pažymi, kad Institucija naudoja konkrečias priemones, pvz., pagrindinius veiklos rezultatų rodiklius, savo veiklos teikiamai pridėtinei vertei įvertinti ir kitas priemones savo biudžeto valdymui pagerinti; pažymi, kad 2022 m. Institucija užsibrėžė 17 strateginio lygmens veiklos tikslų septyniose pagrindinėse darbo srityse; džiaugdamasis pažymi, kad Institucija pasiekė arba viršijo 15 iš tų tikslų, o kiti du tikslai laikyti netaikytinais, nes yra priklausomi nuo Skaitmeninės veiklos atsparumo akto (SVAA) teisėkūros terminų ir technologinių sutrikimų;</w:t>
      </w:r>
    </w:p>
    <w:p w:rsidR="00A855CE" w:rsidRPr="00757888" w:rsidRDefault="00A855CE" w:rsidP="00A855CE">
      <w:pPr>
        <w:widowControl/>
        <w:spacing w:after="240"/>
        <w:ind w:left="567" w:hanging="567"/>
        <w:rPr>
          <w:szCs w:val="24"/>
        </w:rPr>
      </w:pPr>
      <w:r w:rsidRPr="00757888">
        <w:t>3.</w:t>
      </w:r>
      <w:r w:rsidRPr="00757888">
        <w:tab/>
        <w:t>pažymi, kad 342 produktai ir paslaugos, t. y. 91 proc. visų produktų ir paslaugų, buvo suteikti, kaip planavo Institucija, dar 20 produktų ir paslaugų atveju būta nedidelių vėlavimų, o 13 produktų ir paslaugų nebuvo suteikti, dauguma atvejų taip nutiko dėl priklausomybės nuo teisėkūros sprendimų priėmimo terminų, pvz., direktyvos „Mokumas II“ peržiūra, arba nuo technologinių pokyčių rinkoje ir konkuruojančių prioritetų; giria Instituciją, nes išaugo jos pranešimų skaičius – nuo 167 2021 m. iki 214 2022 m.;</w:t>
      </w:r>
    </w:p>
    <w:p w:rsidR="00A855CE" w:rsidRPr="00757888" w:rsidRDefault="00A855CE" w:rsidP="00A855CE">
      <w:pPr>
        <w:widowControl/>
        <w:spacing w:after="240"/>
        <w:ind w:left="567" w:hanging="567"/>
        <w:rPr>
          <w:szCs w:val="24"/>
        </w:rPr>
      </w:pPr>
      <w:r w:rsidRPr="00757888">
        <w:lastRenderedPageBreak/>
        <w:t>4.</w:t>
      </w:r>
      <w:r w:rsidRPr="00757888">
        <w:tab/>
        <w:t xml:space="preserve">pripažįsta daugybę 2022 m. Institucijos laimėjimų, kurie didele dalimi prisidėjo įgyvendinant jos tikslus priežiūros konvergencijos, vartotojų apsaugos ir finansinio stabilumo srityse; atkreipia ypatingą dėmesį į tai, kad Institucija atliko savo pirmąjį PPĮ testavimą nepalankiausiomis klimato sąlygomis, kad sužinotų apie rizikos aplinkai poveikį Europos profesinių pensijų sektoriui, pateikė Komisijai techninius įgyvendinimo standartus, kuriais nustatomi priežiūros ataskaitų teikimo ir informacijos atskleidimo reikalavimai pagal direktyvą „Mokumas II“, paskelbė keletą dokumentų, ataskaitų ir gairių dėl tvarumo rizikos integravimo į draudikų, </w:t>
      </w:r>
      <w:proofErr w:type="spellStart"/>
      <w:r w:rsidRPr="00757888">
        <w:t>perdraudikų</w:t>
      </w:r>
      <w:proofErr w:type="spellEnd"/>
      <w:r w:rsidRPr="00757888">
        <w:t xml:space="preserve"> ir profesinių pensijų fondų rizikos valdymą ir teikė informaciją bei technines konsultacijas Europos Parlamentui ir Tarybai per visą teisėkūros procesą, susijusį su Dirbtinio intelekto aktu ir Skaitmeninės veiklos atsparumo aktu; giria Instituciją už įvairias jos iniciatyvas ir veiksmus skaitmeninės transformacijos srityje, remiant Sąjungos skaitmeninių finansų strategijos tikslus, be kita ko, kartu su keliais suinteresuotaisiais subjektais, pvz., Europos universitetiniu institutu, prisidedant prie ES skaitmeninių finansų priežiūros akademijos steigimo;</w:t>
      </w:r>
    </w:p>
    <w:p w:rsidR="00A855CE" w:rsidRPr="00757888" w:rsidRDefault="00A855CE" w:rsidP="00A855CE">
      <w:pPr>
        <w:widowControl/>
        <w:spacing w:after="240"/>
        <w:ind w:left="567" w:hanging="567"/>
        <w:rPr>
          <w:szCs w:val="24"/>
        </w:rPr>
      </w:pPr>
      <w:r w:rsidRPr="00757888">
        <w:t>5.</w:t>
      </w:r>
      <w:r w:rsidRPr="00757888">
        <w:tab/>
        <w:t>pažymi, kad Institucija pirmą kartą pasinaudojo tam tikrais įgaliojimais ir priemonėmis, kurie jai suteikti pagal EIOPA reglamentą; atsižvelgdamas į tai, pažymi, kad 2022 m. Institucija Slovakijos nacionaliniam bankui pateikė rekomendaciją po to, kai Institucija padarė išvadas, kad priežiūros požiūriu nebuvo tinkamai sprendžiamas kapitalo reikalavimų pažeidimo, kurį įvykdė Slovakijos draudimo bendrovė, klausimas; taip pat susirūpinęs pažymi, kad Institucija nustatė, jog Slovakijos nacionalinis bankas pažeidė Sąjungos teisę, todėl Komisija paskelbė oficialią nuomonę, kurioje reikalaujama, kad jis imtųsi veiksmų, būtinų siekiant užtikrinti atitiktį Sąjungos teisei, ir pagal EIOPA reglamento 22 straipsnį buvo atliktas tyrimas; ragina Instituciją nuolat informuoti biudžeto įvykdymą tvirtinančią instituciją apie tolesnius veiksmus ir šio tyrimo rezultatus;</w:t>
      </w:r>
    </w:p>
    <w:p w:rsidR="00A855CE" w:rsidRPr="00757888" w:rsidRDefault="00A855CE" w:rsidP="00A855CE">
      <w:pPr>
        <w:widowControl/>
        <w:spacing w:after="240"/>
        <w:ind w:left="567" w:hanging="567"/>
        <w:rPr>
          <w:szCs w:val="24"/>
        </w:rPr>
      </w:pPr>
      <w:r w:rsidRPr="00757888">
        <w:t>6.</w:t>
      </w:r>
      <w:r w:rsidRPr="00757888">
        <w:tab/>
        <w:t xml:space="preserve">pažymi, kad Institucija prisidėjo prie finansinio stabilumo užtikrinimo ir vartotojų apsaugos atidžiai stebėdama rinkas ir vertindama poveikį naujomis aplinkybėmis, susiklosčiusiomis dėl Rusijos neišprovokuotos ir neteisėtos invazijos į Ukrainą ir laipsniško pinigų politikos griežtinimo reaguojant į rekordiškai aukštą infliacijos lygį visoje Europoje; palankiai vertina tai, kad 2022 m. laiku paskelbtas priežiūros pareiškimas dėl infliacijos, kuriame daugiausia dėmesio skirta tam, kokį poveikį infliacija daro techniniams </w:t>
      </w:r>
      <w:proofErr w:type="spellStart"/>
      <w:r w:rsidRPr="00757888">
        <w:t>atidėjiniams</w:t>
      </w:r>
      <w:proofErr w:type="spellEnd"/>
      <w:r w:rsidRPr="00757888">
        <w:t>, investicijoms ir mokumo kapitalo reikalavimams;</w:t>
      </w:r>
    </w:p>
    <w:p w:rsidR="00A855CE" w:rsidRPr="00757888" w:rsidRDefault="00A855CE" w:rsidP="00A855CE">
      <w:pPr>
        <w:pStyle w:val="NormalHanging12a"/>
      </w:pPr>
      <w:r w:rsidRPr="00757888">
        <w:t>7.</w:t>
      </w:r>
      <w:r w:rsidRPr="00757888">
        <w:tab/>
        <w:t>pažymi, kad 2022 m. rugsėjo mėn. Institucija parengė savo 2023–2026 m. laikotarpio strategiją, kurioje nustatė strateginius prioritetus, įskaitant draudimo ir pensijų sektorių atsparumo ir tvarumo stiprinimą ir tvirtos bei nuoseklios vartotojų interesų apsaugos visoje Sąjungoje užtikrinimą;</w:t>
      </w:r>
    </w:p>
    <w:p w:rsidR="00A855CE" w:rsidRPr="00757888" w:rsidRDefault="00A855CE" w:rsidP="00A855CE">
      <w:pPr>
        <w:widowControl/>
        <w:spacing w:after="240"/>
        <w:ind w:left="567" w:hanging="567"/>
        <w:rPr>
          <w:b/>
          <w:i/>
          <w:szCs w:val="24"/>
        </w:rPr>
      </w:pPr>
      <w:r w:rsidRPr="00757888">
        <w:rPr>
          <w:b/>
          <w:i/>
        </w:rPr>
        <w:t>Veiksmingumas ir nauda</w:t>
      </w:r>
    </w:p>
    <w:p w:rsidR="00A855CE" w:rsidRPr="00757888" w:rsidRDefault="00A855CE" w:rsidP="00A855CE">
      <w:pPr>
        <w:widowControl/>
        <w:spacing w:after="240"/>
        <w:ind w:left="567" w:hanging="567"/>
        <w:rPr>
          <w:rFonts w:cstheme="minorHAnsi"/>
        </w:rPr>
      </w:pPr>
      <w:r w:rsidRPr="00757888">
        <w:t>8.</w:t>
      </w:r>
      <w:r w:rsidRPr="00757888">
        <w:tab/>
        <w:t xml:space="preserve">pažymi, kad Europos priežiūros institucijos (EPI) koordinuoja veiksmus, dalijasi ir remia viena kitą daugelyje sričių, tiek pagrindinėse veiklos, tiek paramos srityse; palankiai vertina tai, kad EPI suvienijo jėgas įgyvendinant strategines iniciatyvas, pvz., programinės įrangos kūrimą, tinklų infrastruktūrą ir IT konsultacijas, pvz., dalydamosi tais pačiais tiekėjais; atsižvelgdamas į tai, atkreipia dėmesį į 2022 m. patvirtintą Institucijos </w:t>
      </w:r>
      <w:proofErr w:type="spellStart"/>
      <w:r w:rsidRPr="00757888">
        <w:t>debesijos</w:t>
      </w:r>
      <w:proofErr w:type="spellEnd"/>
      <w:r w:rsidRPr="00757888">
        <w:t xml:space="preserve"> strategiją, kurią Institucija parengė kartu su kitomis dviem EPI, kitomis Sąjungos institucijomis ir nacionalinėmis kompetentingomis institucijomis ir </w:t>
      </w:r>
      <w:r w:rsidRPr="00757888">
        <w:lastRenderedPageBreak/>
        <w:t xml:space="preserve">kuria siekiama teikti </w:t>
      </w:r>
      <w:proofErr w:type="spellStart"/>
      <w:r w:rsidRPr="00757888">
        <w:t>autonomiškesnius</w:t>
      </w:r>
      <w:proofErr w:type="spellEnd"/>
      <w:r w:rsidRPr="00757888">
        <w:t>, automatizuotus produktus ir savitarnos produktus, skirtus Institucijos ekspertams ir nacionalinėms kompetentingoms institucijoms;</w:t>
      </w:r>
    </w:p>
    <w:p w:rsidR="00A855CE" w:rsidRPr="00757888" w:rsidRDefault="00A855CE" w:rsidP="00A855CE">
      <w:pPr>
        <w:widowControl/>
        <w:spacing w:after="240"/>
        <w:ind w:left="567" w:hanging="567"/>
        <w:rPr>
          <w:rFonts w:cstheme="minorHAnsi"/>
        </w:rPr>
      </w:pPr>
      <w:r w:rsidRPr="00757888">
        <w:t>9.</w:t>
      </w:r>
      <w:r w:rsidRPr="00757888">
        <w:tab/>
        <w:t xml:space="preserve">giria Instituciją už investicijas į skaitmeninės transformacijos srities projektus ir darbuotojų paskirstymą, kad būtų pasiektas naujas veiksmingumo lygis automatizuojant ir racionalizuojant darbo procesus ir gerinant laikotarpį prieš pateikimą rinkai ir vidaus ir horizontalųjį bendradarbiavimą pagal įvairias funkcijas; atsižvelgdamas į tai, palankiai vertina 2022 m. įgyvendintus Institucijos projektus, kuriuose daug dėmesio skirta duomenų analizės </w:t>
      </w:r>
      <w:proofErr w:type="spellStart"/>
      <w:r w:rsidRPr="00757888">
        <w:t>pajėgumų</w:t>
      </w:r>
      <w:proofErr w:type="spellEnd"/>
      <w:r w:rsidRPr="00757888">
        <w:t xml:space="preserve"> gerinimui, kad būtų pasiektas tikslas paversti Instituciją visiškai skaitmenine, duomenimis grindžiama organizacija;</w:t>
      </w:r>
    </w:p>
    <w:p w:rsidR="00A855CE" w:rsidRPr="00757888" w:rsidRDefault="00A855CE" w:rsidP="00A855CE">
      <w:pPr>
        <w:pStyle w:val="NormalHanging12a"/>
      </w:pPr>
      <w:r w:rsidRPr="00757888">
        <w:t>10.</w:t>
      </w:r>
      <w:r w:rsidRPr="00757888">
        <w:tab/>
        <w:t xml:space="preserve">pažymi, kad, kalbant apie kasdienę darbo praktiką, Institucija įgyvendino įvairias ekonominio efektyvumo didinimo priemones, pvz., mišrų darbą, dalijimąsi biurais, taip pat modernius vaizdo konferencijų sprendimus, ir dėl to sumažėjo dalykinių kelionių skaičius; pažymi, kad, siekdama išsaugoti institucines žinias, kompetenciją ir veiksmingumą vykdant pagrindines užduotis, Institucija toliau stiprino savo integruotą talentų valdymo sistemą, kuri leidžia strategiškai suderinti žmogiškųjų išteklių valdymo procesus, gerinti kandidatų atranką ir didinti mokymo bei </w:t>
      </w:r>
      <w:proofErr w:type="spellStart"/>
      <w:r w:rsidRPr="00757888">
        <w:t>tobulinimosi</w:t>
      </w:r>
      <w:proofErr w:type="spellEnd"/>
      <w:r w:rsidRPr="00757888">
        <w:t xml:space="preserve"> veiksmingumą; ragina Instituciją pateikti biudžeto įvykdymą tvirtinančiai institucijai duomenis ir skaičius, susijusius su šios sistemos poveikiu;</w:t>
      </w:r>
    </w:p>
    <w:p w:rsidR="00A855CE" w:rsidRPr="00757888" w:rsidRDefault="00A855CE" w:rsidP="00A855CE">
      <w:pPr>
        <w:widowControl/>
        <w:spacing w:after="240"/>
        <w:ind w:left="567" w:hanging="567"/>
        <w:rPr>
          <w:rFonts w:cstheme="minorHAnsi"/>
          <w:iCs/>
        </w:rPr>
      </w:pPr>
      <w:r w:rsidRPr="00757888">
        <w:t>11.</w:t>
      </w:r>
      <w:r w:rsidRPr="00757888">
        <w:tab/>
        <w:t>remdamasis Audito Rūmų ataskaita pažymi, kad Institucija yra viena iš agentūrų, kurios turi bendrą planą, kaip pagerinti energijos vartojimo efektyvumą ir poveikio klimatui neutralumą vykdant veiklą, ir kurios skelbia aplinkosaugos ataskaitą (pvz., anglies pėdsako ataskaitas), įtraukiamą į metines veiklos ataskaitas; taip pat giria Instituciją už tai, kad 2022 m. ji buvo sertifikuota EMAS (Europos Sąjungos aplinkosaugos vadybos ir audito sistema) siekiant 2023 m. gauti oficialią EMAS akreditaciją;</w:t>
      </w:r>
    </w:p>
    <w:p w:rsidR="00A855CE" w:rsidRPr="00757888" w:rsidRDefault="00A855CE" w:rsidP="00A855CE">
      <w:pPr>
        <w:widowControl/>
        <w:spacing w:after="240"/>
        <w:ind w:left="567" w:hanging="567"/>
        <w:rPr>
          <w:b/>
          <w:i/>
          <w:szCs w:val="24"/>
        </w:rPr>
      </w:pPr>
      <w:r w:rsidRPr="00757888">
        <w:rPr>
          <w:b/>
          <w:i/>
        </w:rPr>
        <w:t>Personalo politika</w:t>
      </w:r>
    </w:p>
    <w:p w:rsidR="00A855CE" w:rsidRPr="00757888" w:rsidRDefault="00A855CE" w:rsidP="00A855CE">
      <w:pPr>
        <w:widowControl/>
        <w:spacing w:after="240"/>
        <w:ind w:left="567" w:hanging="567"/>
        <w:rPr>
          <w:szCs w:val="24"/>
        </w:rPr>
      </w:pPr>
      <w:r w:rsidRPr="00757888">
        <w:t>12.</w:t>
      </w:r>
      <w:r w:rsidRPr="00757888">
        <w:tab/>
        <w:t>pažymi, kad 2022 m. gruodžio 31 d. etatų planas buvo įvykdytas 99 proc. (kaip ir 2021 m.): iš 138 laikinųjų darbuotojų, kurių etatai patvirtinti pagal Sąjungos biudžetą, paskirti 137 laikinieji darbuotojai; pažymi, kad 2022 m. Institucijoje taip pat dirbo 36 sutartininkai ir 24 deleguotieji nacionaliniai ekspertai;</w:t>
      </w:r>
    </w:p>
    <w:p w:rsidR="00A855CE" w:rsidRPr="00757888" w:rsidRDefault="00A855CE" w:rsidP="00A855CE">
      <w:pPr>
        <w:pStyle w:val="NormalHanging12a"/>
      </w:pPr>
      <w:r w:rsidRPr="00757888">
        <w:t>13.</w:t>
      </w:r>
      <w:r w:rsidRPr="00757888">
        <w:tab/>
        <w:t>pažymi, kad 2022 m. pranešta apie tokį Institucijos darbuotojų pasiskirstymą pagal lytį: vidurinės grandies vadovų ir vyresniosios vadovybės pareigose ir administracinėje valdyboje – 15 vyrų (65,20 proc.) ir aštuonios moterys (34,80 proc.), o kalbant apie visą personalą – 104 vyrai (53,60 proc.) ir 90 moterų (46,40 proc.); primena, kad svarbu užtikrinti lyčių pusiausvyrą, ir ragina Instituciją atsižvelgti į tai ateityje įdarbinant darbuotojus ir skiriant vyresniuosius ir vidurinės grandies vadovus;</w:t>
      </w:r>
    </w:p>
    <w:p w:rsidR="00A855CE" w:rsidRPr="00757888" w:rsidRDefault="00A855CE" w:rsidP="00A855CE">
      <w:pPr>
        <w:pStyle w:val="NormalHanging12a"/>
      </w:pPr>
      <w:r w:rsidRPr="00757888">
        <w:t>14.</w:t>
      </w:r>
      <w:r w:rsidRPr="00757888">
        <w:tab/>
        <w:t xml:space="preserve">palankiai vertina tai, kad 2022 m. Institucija toliau įgyvendino įvairovės ir </w:t>
      </w:r>
      <w:proofErr w:type="spellStart"/>
      <w:r w:rsidRPr="00757888">
        <w:t>įtraukties</w:t>
      </w:r>
      <w:proofErr w:type="spellEnd"/>
      <w:r w:rsidRPr="00757888">
        <w:t xml:space="preserve"> strategiją (priimta 2021 m.) ir jos išsamų veiksmų planą pagal ES agentūrų tinklo įvairovės ir </w:t>
      </w:r>
      <w:proofErr w:type="spellStart"/>
      <w:r w:rsidRPr="00757888">
        <w:t>įtraukties</w:t>
      </w:r>
      <w:proofErr w:type="spellEnd"/>
      <w:r w:rsidRPr="00757888">
        <w:t xml:space="preserve"> chartiją, imdamasi iniciatyvų, apimančių kompleksines priemones, pvz., vykdė bendradarbiavimą su kitomis institucijomis, įvairesnės darbo jėgos pritraukimą ir atranką, diskriminacijos, priekabiavimo, sąmoningo ir nesąmoningo šališkumo prevenciją ir su įvairove bei </w:t>
      </w:r>
      <w:proofErr w:type="spellStart"/>
      <w:r w:rsidRPr="00757888">
        <w:t>įtrauktimi</w:t>
      </w:r>
      <w:proofErr w:type="spellEnd"/>
      <w:r w:rsidRPr="00757888">
        <w:t xml:space="preserve"> susijusių duomenų stebėseną; pažymi, kad 2022 m. buvo pranešta apie vieną įtariamo priekabiavimo atvejį, tačiau byla buvo baigta nesiimant tolesnių veiksmų, nes atlikus preliminarų vertinimą nebuvo rasta </w:t>
      </w:r>
      <w:r w:rsidRPr="00757888">
        <w:lastRenderedPageBreak/>
        <w:t xml:space="preserve">įrodymų </w:t>
      </w:r>
      <w:r w:rsidRPr="00757888">
        <w:rPr>
          <w:i/>
          <w:iCs/>
        </w:rPr>
        <w:t xml:space="preserve">prima </w:t>
      </w:r>
      <w:proofErr w:type="spellStart"/>
      <w:r w:rsidRPr="00757888">
        <w:rPr>
          <w:i/>
          <w:iCs/>
        </w:rPr>
        <w:t>faciae</w:t>
      </w:r>
      <w:proofErr w:type="spellEnd"/>
      <w:r w:rsidRPr="00757888">
        <w:t>;</w:t>
      </w:r>
    </w:p>
    <w:p w:rsidR="00A855CE" w:rsidRPr="00757888" w:rsidRDefault="00A855CE" w:rsidP="00A855CE">
      <w:pPr>
        <w:widowControl/>
        <w:spacing w:after="240"/>
        <w:ind w:left="567" w:hanging="567"/>
        <w:rPr>
          <w:szCs w:val="24"/>
        </w:rPr>
      </w:pPr>
      <w:r w:rsidRPr="00757888">
        <w:t>15.</w:t>
      </w:r>
      <w:r w:rsidRPr="00757888">
        <w:tab/>
        <w:t>palankiai vertina tai, kad Institucija siekia puoselėti ir užtikrinti įvairią ir įtraukią darbo aplinką, kuri taip pat būtų pritaikyta prie asmenų su negalia poreikių; atsižvelgdamas į tai pažymi, kad 2022 m. buvo paskirtas Institucijos neįgalumo vidaus koordinatorius ir ambasadorius siekiant toliau stiprinti tą konkrečią sritį ir skirti jai daugiau dėmesio, buvo vykdyta speciali darbuotojų ir vadovybės apklausa ir įgyvendinti informuotumo didinimo veiksmai;</w:t>
      </w:r>
    </w:p>
    <w:p w:rsidR="00A855CE" w:rsidRPr="00757888" w:rsidRDefault="00A855CE" w:rsidP="00A855CE">
      <w:pPr>
        <w:pStyle w:val="NormalHanging12a"/>
      </w:pPr>
      <w:r w:rsidRPr="00757888">
        <w:t>16.</w:t>
      </w:r>
      <w:r w:rsidRPr="00757888">
        <w:tab/>
        <w:t>džiaugdamasis pažymi, kad Institucija ir toliau buvo tvirtai įsipareigojusi gerinti darbuotojų gerovę ir profesinio bei asmeninio gyvenimo pusiausvyrą, o darbuotojų dalyvavimo ir pasitenkinimo rezultatai buvo teigiami; pažymi, kad pagrindinės prioritetinės sritys apėmė lanksčias darbo sąlygas, nuotolinį darbą, orientavimą visą gyvenimą ir karjeros raidą, sveikatingumo programas ir pagalbinį valdymą;</w:t>
      </w:r>
    </w:p>
    <w:p w:rsidR="00A855CE" w:rsidRPr="00757888" w:rsidRDefault="00A855CE" w:rsidP="00A855CE">
      <w:pPr>
        <w:widowControl/>
        <w:spacing w:after="240"/>
        <w:ind w:left="567" w:hanging="567"/>
        <w:rPr>
          <w:b/>
          <w:i/>
          <w:szCs w:val="24"/>
        </w:rPr>
      </w:pPr>
      <w:r w:rsidRPr="00757888">
        <w:rPr>
          <w:b/>
          <w:i/>
        </w:rPr>
        <w:t>Viešieji pirkimai</w:t>
      </w:r>
    </w:p>
    <w:p w:rsidR="00A855CE" w:rsidRPr="00757888" w:rsidRDefault="00A855CE" w:rsidP="00A855CE">
      <w:pPr>
        <w:widowControl/>
        <w:spacing w:after="240"/>
        <w:ind w:left="567" w:hanging="567"/>
        <w:rPr>
          <w:szCs w:val="24"/>
        </w:rPr>
      </w:pPr>
      <w:r w:rsidRPr="00757888">
        <w:t>17.</w:t>
      </w:r>
      <w:r w:rsidRPr="00757888">
        <w:tab/>
        <w:t xml:space="preserve">atkreipia dėmesį į Audito Rūmų ataskaitoje pateiktą pastabą, kad Institucija atliko </w:t>
      </w:r>
      <w:proofErr w:type="spellStart"/>
      <w:r w:rsidRPr="00757888">
        <w:t>mokėjimus</w:t>
      </w:r>
      <w:proofErr w:type="spellEnd"/>
      <w:r w:rsidRPr="00757888">
        <w:t>, kurių bendra suma – 25 607 EUR, baigus galioti sutarčiai, pagal kurią Institucija ketverius metus (2017–2021 m.) pirko judriojo telefono ryšio telekomunikacijų paslaugas; atkreipia dėmesį į Audito Rūmų išvadą, kad šie mokėjimai buvo netvarkingi; taip pat atkreipia dėmesį į Audito Rūmų pastabą, kad 2022 m. balandžio mėn. pasirašytas tos sutarties pakeitimas buvo padarytas pažeidžiant Finansinio reglamento I priedo 1.1 punktą;</w:t>
      </w:r>
    </w:p>
    <w:p w:rsidR="00A855CE" w:rsidRPr="00757888" w:rsidRDefault="00A855CE" w:rsidP="00A855CE">
      <w:pPr>
        <w:widowControl/>
        <w:spacing w:after="240"/>
        <w:ind w:left="567" w:hanging="567"/>
        <w:rPr>
          <w:szCs w:val="24"/>
        </w:rPr>
      </w:pPr>
      <w:r w:rsidRPr="00757888">
        <w:t>18.</w:t>
      </w:r>
      <w:r w:rsidRPr="00757888">
        <w:tab/>
        <w:t>primena Audito Rūmų 2021 m. metinėje ataskaitoje dėl Sąjungos agentūrų pateiktą pastabą dėl Institucijos netvarkingai sumokėtos 288 125 EUR sumos pagal patalpų nuomos sutartį; šiomis aplinkybėmis, remdamasis Institucijos ataskaita dėl priemonių, kurių imtasi atsižvelgiant į biudžeto įvykdymą tvirtinančios institucijos rekomendacijas (2021 m. biudžeto įvykdymo patvirtinimas), pažymi, kad Institucija mano, kad sutartinių įsipareigojimų nesilaikymas būtų turėjęs neigiamą teisinį poveikį ir poveikį Institucijos reputacijai; pažymi, remdamasis Audito Rūmų ataskaitoje nurodyta pastabos būkle, kad ji yra dar įgyvendinama; ragina Instituciją, pradedant naujos nuomos sutarties viešųjų pirkimų procedūrą, dėti visas būtinas pastangas, kad būtų išvengta bet kokio nesuderinamumo tarp įsipareigojimų, nustatytų nuomos sutartyje, ir atitinkamų Finansinio reglamento nuostatų;</w:t>
      </w:r>
    </w:p>
    <w:p w:rsidR="00A855CE" w:rsidRPr="00757888" w:rsidRDefault="00A855CE" w:rsidP="00A855CE">
      <w:pPr>
        <w:widowControl/>
        <w:spacing w:after="240"/>
        <w:rPr>
          <w:szCs w:val="24"/>
        </w:rPr>
      </w:pPr>
      <w:r w:rsidRPr="00757888">
        <w:rPr>
          <w:b/>
          <w:i/>
        </w:rPr>
        <w:t>Interesų konfliktų prevencija ir valdymas, taip pat skaidrumas</w:t>
      </w:r>
    </w:p>
    <w:p w:rsidR="00A855CE" w:rsidRPr="00757888" w:rsidRDefault="00A855CE" w:rsidP="00A855CE">
      <w:pPr>
        <w:widowControl/>
        <w:spacing w:after="240"/>
        <w:ind w:left="567" w:hanging="567"/>
        <w:rPr>
          <w:szCs w:val="24"/>
        </w:rPr>
      </w:pPr>
      <w:r w:rsidRPr="00757888">
        <w:t>19.</w:t>
      </w:r>
      <w:r w:rsidRPr="00757888">
        <w:tab/>
        <w:t>palankiai vertina tai, kad pagal Institucijos teisinius reikalavimus Institucijos interneto svetainėje skelbiami Institucijos priežiūros tarybos ir administracinės valdybos narių gyvenimo aprašymai, Institucijos pirmininko ir vykdomojo direktoriaus gyvenimo aprašymai ir trumpi Institucijos skyrių vadovų gyvenimo aprašymai; pažymi, kad Institucijos kiekvieno administracinės valdybos nario, kiekvieno priežiūros tarybos nario ir vyresniosios vadovybės interesų deklaracijos ir ketinimų deklaracijos yra viešai prieinamos; taip pat palankiai vertina tai, kad Institucijos interneto svetainėje paskelbti Institucijos darbuotojų susitikimai su lobistais;</w:t>
      </w:r>
    </w:p>
    <w:p w:rsidR="00A855CE" w:rsidRPr="00757888" w:rsidRDefault="00A855CE" w:rsidP="00A855CE">
      <w:pPr>
        <w:widowControl/>
        <w:spacing w:after="240"/>
        <w:ind w:left="567" w:hanging="567"/>
        <w:rPr>
          <w:szCs w:val="24"/>
        </w:rPr>
      </w:pPr>
      <w:r w:rsidRPr="00757888">
        <w:t>20.</w:t>
      </w:r>
      <w:r w:rsidRPr="00757888">
        <w:tab/>
        <w:t xml:space="preserve">palankiai vertina tai, kad 2022 m. Institucija sugriežtino savo etikos taisykles, taikomas darbuotojams ir ne darbuotojams, taip atsižvelgdama į Audito Rūmų pastabas, pateiktas Audito Rūmų ataskaitoje dėl Institucijos 2021 m. metinių finansinių ataskaitų, ir </w:t>
      </w:r>
      <w:r w:rsidRPr="00757888">
        <w:lastRenderedPageBreak/>
        <w:t>siekdama išsaugoti nešališką, objektyvų ir nepriklausomą sprendimų priėmimą ir greitai nustatyti ir valdyti visus galimus interesų konfliktus; atsižvelgdamas į tai, atkreipia dėmesį į Institucijos darbo tvarkos taisyklių peržiūrą, nepriklausomumo politikos ir sprendimų priėmimo procesų, kuriais siekiama išvengti ne darbuotojų interesų konfliktų, patvirtinimą, peržiūrėto sprendimo dėl pirmininko ir vykdomojo direktoriaus vertinimo patvirtinimą ir peržiūrėtų Institucijos darbuotojų etikos taisyklių priėmimą;</w:t>
      </w:r>
    </w:p>
    <w:p w:rsidR="00A855CE" w:rsidRPr="00757888" w:rsidRDefault="00A855CE" w:rsidP="00A855CE">
      <w:pPr>
        <w:widowControl/>
        <w:spacing w:after="240"/>
        <w:ind w:left="567" w:hanging="567"/>
        <w:rPr>
          <w:szCs w:val="24"/>
        </w:rPr>
      </w:pPr>
      <w:r w:rsidRPr="00757888">
        <w:t>21.</w:t>
      </w:r>
      <w:r w:rsidRPr="00757888">
        <w:tab/>
        <w:t>dėl informavimo apie pažeidimus pažymi, kad 2022 m. vienas darbuotojas išreiškė susirūpinimą dėl galimo pažeidimų atvejo, ir kad reaguodama į tą susirūpinimą Institucija ėmėsi veiksmų pagal taikytinas taisykles; atsižvelgdamas į tai pažymi, kad Institucija nedelsdama apie tai informavo Europos kovos su sukčiavimu tarnybą (OLAF) ir kad OLAF atliko vertinimą ir atmetė bylą remdamasis tuo, kad nebuvo pakankamai įtarimų pradėti tyrimą;</w:t>
      </w:r>
    </w:p>
    <w:p w:rsidR="00A855CE" w:rsidRPr="00757888" w:rsidRDefault="00A855CE" w:rsidP="00A855CE">
      <w:pPr>
        <w:spacing w:after="240"/>
        <w:ind w:left="567" w:hanging="567"/>
        <w:rPr>
          <w:sz w:val="22"/>
        </w:rPr>
      </w:pPr>
      <w:r w:rsidRPr="00757888">
        <w:t>22.</w:t>
      </w:r>
      <w:r w:rsidRPr="00757888">
        <w:tab/>
        <w:t>palankiai vertina tai, kad 2022 m. liepos mėn. priežiūros taryba peržiūrėjo savo darbo tvarkos taisykles, įgyvendindama Audito Rūmų pastabą dėl priežiūros tarybos narių, kuriems kyla interesų konfliktas, dalyvavimo diskusijose ir balsuojant; taip pat pažymi, kad 2022 m. gruodžio mėn. Institucijos administracinė valdyba, atsižvelgdama į Audito Rūmų pastabas, patvirtino peržiūrėtą sprendimą dėl pirmininko ir vykdomojo direktoriaus vertinimo;</w:t>
      </w:r>
    </w:p>
    <w:p w:rsidR="00A855CE" w:rsidRPr="00757888" w:rsidRDefault="00A855CE" w:rsidP="00A855CE">
      <w:pPr>
        <w:widowControl/>
        <w:spacing w:after="240"/>
        <w:ind w:left="567" w:hanging="567"/>
        <w:rPr>
          <w:b/>
          <w:i/>
          <w:szCs w:val="24"/>
        </w:rPr>
      </w:pPr>
      <w:r w:rsidRPr="00757888">
        <w:rPr>
          <w:b/>
          <w:i/>
        </w:rPr>
        <w:t>Vidaus kontrolė</w:t>
      </w:r>
    </w:p>
    <w:p w:rsidR="00A855CE" w:rsidRPr="00757888" w:rsidRDefault="00A855CE" w:rsidP="00A855CE">
      <w:pPr>
        <w:widowControl/>
        <w:spacing w:after="240"/>
        <w:ind w:left="567" w:hanging="567"/>
        <w:rPr>
          <w:szCs w:val="24"/>
        </w:rPr>
      </w:pPr>
      <w:r w:rsidRPr="00757888">
        <w:t>23.</w:t>
      </w:r>
      <w:r w:rsidRPr="00757888">
        <w:tab/>
        <w:t>pažymi, kad 2022 m. Institucija atliko metinį savo vidaus kontrolės sistemos vertinimą ir padaryta išvada, kad visi elementai ir principai įgyvendinami ir veikia taip, kaip numatyta, ir kad reikia atlikti keletą patobulinimų;</w:t>
      </w:r>
    </w:p>
    <w:p w:rsidR="00A855CE" w:rsidRPr="00757888" w:rsidRDefault="00A855CE" w:rsidP="00A855CE">
      <w:pPr>
        <w:widowControl/>
        <w:spacing w:after="240"/>
        <w:ind w:left="567" w:hanging="567"/>
        <w:rPr>
          <w:szCs w:val="24"/>
        </w:rPr>
      </w:pPr>
      <w:r w:rsidRPr="00757888">
        <w:t>24.</w:t>
      </w:r>
      <w:r w:rsidRPr="00757888">
        <w:tab/>
        <w:t>pažymi, kad 2022 m. Vidaus audito tarnyba paskelbė ataskaitą dėl 2021 m. atlikto audito, susijusio su EIOPA intervencinėmis priemonėmis, skirtomis nacionalinėms kompetentingoms institucijoms ir rinkos dalyviams Sąjungos draudimo ir profesinių pensijų sektoriuose; taip pat pažymi, kad Institucijos Kokybės kontrolės komitetas paskelbė peržiūros ataskaitą, skirtą patirčiai, įgytai per COVID-19 pandemiją EIOPA ir nacionalinėms kompetentingoms institucijoms bendradarbiaujant ir plėtojant sąveiką; ragina Instituciją nuolat informuoti biudžeto įvykdymą tvirtinančią instituciją apie Vidaus audito tarnybos ir Kokybės kontrolės komiteto pateiktų rekomendacijų įgyvendinimą;</w:t>
      </w:r>
    </w:p>
    <w:p w:rsidR="00A855CE" w:rsidRPr="00757888" w:rsidRDefault="00A855CE" w:rsidP="00A855CE">
      <w:pPr>
        <w:widowControl/>
        <w:spacing w:after="240"/>
        <w:ind w:left="567" w:hanging="567"/>
      </w:pPr>
      <w:r w:rsidRPr="00757888">
        <w:t>25.</w:t>
      </w:r>
      <w:r w:rsidRPr="00757888">
        <w:tab/>
        <w:t>džiaugdamasis pažymi, kad 2022 m. Institucija nustatė ir stebėjo riziką, susijusią su nepakankamu pajėgumu įgyvendinti naujus įgaliojimus ir užduotis, kai kartu vykdomi esami įpareigojimai, kvalifikuotų darbuotojų, turinčių reikiamą kompetenciją, trūkumu dėl su patrauklumu ir įdarbinimu siejamų problemų, taip pat kibernetinio saugumo grėsmėmis ir veiklos tęstinumu, ir ėmėsi priemonių, kad sumažintų šios rizikos poveikį;</w:t>
      </w:r>
    </w:p>
    <w:p w:rsidR="00A855CE" w:rsidRPr="00757888" w:rsidRDefault="00A855CE" w:rsidP="00A855CE">
      <w:pPr>
        <w:widowControl/>
        <w:spacing w:after="240"/>
        <w:ind w:left="567" w:hanging="567"/>
      </w:pPr>
      <w:r w:rsidRPr="00757888">
        <w:t>26.</w:t>
      </w:r>
      <w:r w:rsidRPr="00757888">
        <w:tab/>
        <w:t>pažymi, kad 2022 m. Institucija toliau ėmėsi veiksmų dėl dar neįgyvendintų rekomendacijų, pateiktų atlikus vartotojų apsaugos srities priežiūros priemonių auditą (2019–2020 m.); taip pat pažymi, kad atlikus minėtą auditą buvo pateiktos keturios rekomendacijos ir į jas buvo atsižvelgta, taigi 2021 m. lapkričio mėn. IAS oficialiai nurodė, kad dvi rekomendacijos buvo įgyvendintos 2021 m. lapkričio mėn. ir dvi rekomendacijos – 2022 m. birželio mėn.;</w:t>
      </w:r>
    </w:p>
    <w:p w:rsidR="00A855CE" w:rsidRPr="00757888" w:rsidRDefault="00A855CE" w:rsidP="00A855CE">
      <w:pPr>
        <w:widowControl/>
        <w:spacing w:after="240"/>
        <w:ind w:left="567" w:hanging="567"/>
        <w:rPr>
          <w:b/>
          <w:i/>
          <w:szCs w:val="24"/>
        </w:rPr>
      </w:pPr>
      <w:r w:rsidRPr="00757888">
        <w:rPr>
          <w:b/>
          <w:i/>
        </w:rPr>
        <w:t>Kitos pastabos</w:t>
      </w:r>
    </w:p>
    <w:p w:rsidR="00A855CE" w:rsidRPr="00757888" w:rsidRDefault="00A855CE" w:rsidP="00A855CE">
      <w:pPr>
        <w:spacing w:after="240"/>
        <w:ind w:left="567" w:hanging="567"/>
        <w:rPr>
          <w:szCs w:val="24"/>
        </w:rPr>
      </w:pPr>
      <w:r w:rsidRPr="00757888">
        <w:lastRenderedPageBreak/>
        <w:t>27.</w:t>
      </w:r>
      <w:r w:rsidRPr="00757888">
        <w:tab/>
        <w:t xml:space="preserve">pažymi, kad 2022 m. Institucija kartu su kitomis EPI paskelbė įspėjimų vartotojams dėl didelės rizikos ir spekuliacinės veiklos, susijusios su daugelio rūšių </w:t>
      </w:r>
      <w:proofErr w:type="spellStart"/>
      <w:r w:rsidRPr="00757888">
        <w:t>kriptoturtu</w:t>
      </w:r>
      <w:proofErr w:type="spellEnd"/>
      <w:r w:rsidRPr="00757888">
        <w:t>;</w:t>
      </w:r>
    </w:p>
    <w:p w:rsidR="00A855CE" w:rsidRPr="00757888" w:rsidRDefault="00A855CE" w:rsidP="00A855CE">
      <w:pPr>
        <w:spacing w:after="240"/>
        <w:ind w:left="567" w:hanging="567"/>
        <w:rPr>
          <w:szCs w:val="24"/>
        </w:rPr>
      </w:pPr>
      <w:r w:rsidRPr="00757888">
        <w:t>28.</w:t>
      </w:r>
      <w:r w:rsidRPr="00757888">
        <w:tab/>
        <w:t>remdamasis Institucijos atsakymais į biudžeto įvykdymą tvirtinančios institucijos klausimus, pažymi, kad Institucija šiuo metu naudojasi Komisijos e. konkursų priemonėmis (e. konkursas, e. pasiūlymų teikimas, e. sąskaitų faktūrų išrašymas) ir viešųjų pirkimų valdymo priemone (PPMT) (nuo 2023 m. liepos mėn.); palankiai vertina tai, kad į EIOPA konkursų procedūras, kai įmanoma, įtraukiami žaliųjų viešųjų pirkimų kriterijų reikalavimai, o EIOPA konkurso dalyviai turi, be kita ko, pasirašyti garbės pareiškimą dėl aplinkos apsaugos, socialinės ir darbo teisės įpareigojimų laikymosi;</w:t>
      </w:r>
    </w:p>
    <w:p w:rsidR="00A855CE" w:rsidRPr="00757888" w:rsidRDefault="00A855CE" w:rsidP="00A855CE">
      <w:pPr>
        <w:spacing w:after="240"/>
        <w:ind w:left="567" w:hanging="567"/>
        <w:rPr>
          <w:szCs w:val="24"/>
        </w:rPr>
      </w:pPr>
      <w:r w:rsidRPr="00757888">
        <w:t>29.</w:t>
      </w:r>
      <w:r w:rsidRPr="00757888">
        <w:tab/>
        <w:t>pažymi, kad 2022 m. Institucija savo darbo rezultatus paskelbė ataskaitų forma savo interneto svetainėje ir socialiniuose tinkluose, o prie daugumos ataskaitų buvo pridėtas pranešimas spaudai; palankiai vertina tai, kad kai kuriais atvejais prie ataskaitų taip pat pridedamos santraukos, trumpi įrašai socialiniuose tinkluose arba trumpi interviu, kuriais siekiama paprasčiau paaiškinti turinį;</w:t>
      </w:r>
    </w:p>
    <w:p w:rsidR="00A855CE" w:rsidRPr="00757888" w:rsidRDefault="00A855CE" w:rsidP="00A855CE">
      <w:pPr>
        <w:pStyle w:val="NormalCenter12a"/>
      </w:pPr>
      <w:r w:rsidRPr="00757888">
        <w:t>°</w:t>
      </w:r>
    </w:p>
    <w:p w:rsidR="00A855CE" w:rsidRPr="00757888" w:rsidRDefault="00A855CE" w:rsidP="00A855CE">
      <w:pPr>
        <w:pStyle w:val="NormalCenter12a"/>
      </w:pPr>
      <w:r w:rsidRPr="00757888">
        <w:t>°</w:t>
      </w:r>
      <w:r w:rsidRPr="00757888">
        <w:tab/>
        <w:t>°</w:t>
      </w:r>
    </w:p>
    <w:p w:rsidR="00E365E1" w:rsidRPr="00757888" w:rsidRDefault="00A855CE" w:rsidP="00872FBA">
      <w:pPr>
        <w:pStyle w:val="NormalHanging12a"/>
      </w:pPr>
      <w:r w:rsidRPr="00757888">
        <w:t>30.</w:t>
      </w:r>
      <w:r w:rsidRPr="00757888">
        <w:tab/>
        <w:t xml:space="preserve">pažymi, kad kitos su sprendimu dėl biudžeto įvykdymo patvirtinimo susijusios pastabos, kurios yra horizontaliojo pobūdžio, pateikiamos </w:t>
      </w:r>
      <w:r w:rsidR="00F62FB6">
        <w:t>jo</w:t>
      </w:r>
      <w:r w:rsidR="00F62FB6" w:rsidRPr="00757888">
        <w:t xml:space="preserve"> </w:t>
      </w:r>
      <w:r w:rsidRPr="00757888">
        <w:t>2024 m. balandžio </w:t>
      </w:r>
      <w:r w:rsidR="00872FBA">
        <w:t>11</w:t>
      </w:r>
      <w:r w:rsidRPr="00757888">
        <w:t> d. rezoliucijoje</w:t>
      </w:r>
      <w:r w:rsidRPr="00757888">
        <w:rPr>
          <w:rStyle w:val="FootnoteReference"/>
        </w:rPr>
        <w:footnoteReference w:id="12"/>
      </w:r>
      <w:r w:rsidRPr="00757888">
        <w:t xml:space="preserve"> dėl agentūrų veiklos, finansų valdymo ir kontrolės.</w:t>
      </w:r>
      <w:bookmarkStart w:id="9" w:name="TextBodyEnd"/>
      <w:bookmarkEnd w:id="9"/>
    </w:p>
    <w:sectPr w:rsidR="00E365E1" w:rsidRPr="00757888" w:rsidSect="0075788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67D" w:rsidRPr="00757888" w:rsidRDefault="001F267D">
      <w:r w:rsidRPr="00757888">
        <w:separator/>
      </w:r>
    </w:p>
  </w:endnote>
  <w:endnote w:type="continuationSeparator" w:id="0">
    <w:p w:rsidR="001F267D" w:rsidRPr="00757888" w:rsidRDefault="001F267D">
      <w:r w:rsidRPr="007578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5CE" w:rsidRPr="00757888" w:rsidRDefault="00A855CE" w:rsidP="00906329">
    <w:pPr>
      <w:pStyle w:val="EPFooter"/>
    </w:pPr>
    <w:r w:rsidRPr="00757888">
      <w:t>PE</w:t>
    </w:r>
    <w:r w:rsidRPr="00757888">
      <w:rPr>
        <w:rStyle w:val="HideTWBExt"/>
      </w:rPr>
      <w:t>&lt;NoPE&gt;</w:t>
    </w:r>
    <w:r w:rsidRPr="00757888">
      <w:t>753.521</w:t>
    </w:r>
    <w:r w:rsidRPr="00757888">
      <w:rPr>
        <w:rStyle w:val="HideTWBExt"/>
      </w:rPr>
      <w:t>&lt;/NoPE&gt;&lt;Version&gt;</w:t>
    </w:r>
    <w:r w:rsidRPr="00757888">
      <w:t>v02-00</w:t>
    </w:r>
    <w:r w:rsidRPr="00757888">
      <w:rPr>
        <w:rStyle w:val="HideTWBExt"/>
      </w:rPr>
      <w:t>&lt;/Version&gt;</w:t>
    </w:r>
    <w:r w:rsidRPr="00757888">
      <w:tab/>
    </w:r>
    <w:r w:rsidRPr="00757888">
      <w:fldChar w:fldCharType="begin"/>
    </w:r>
    <w:r w:rsidRPr="00757888">
      <w:instrText xml:space="preserve"> PAGE  \* MERGEFORMAT </w:instrText>
    </w:r>
    <w:r w:rsidRPr="00757888">
      <w:fldChar w:fldCharType="separate"/>
    </w:r>
    <w:r w:rsidRPr="00757888">
      <w:rPr>
        <w:noProof/>
      </w:rPr>
      <w:t>4</w:t>
    </w:r>
    <w:r w:rsidRPr="00757888">
      <w:fldChar w:fldCharType="end"/>
    </w:r>
    <w:r w:rsidRPr="00757888">
      <w:t>/</w:t>
    </w:r>
    <w:fldSimple w:instr=" NUMPAGES  \* MERGEFORMAT ">
      <w:r w:rsidRPr="00757888">
        <w:rPr>
          <w:noProof/>
        </w:rPr>
        <w:t>4</w:t>
      </w:r>
    </w:fldSimple>
    <w:r w:rsidRPr="00757888">
      <w:tab/>
    </w:r>
    <w:r w:rsidRPr="00757888">
      <w:rPr>
        <w:rStyle w:val="HideTWBExt"/>
      </w:rPr>
      <w:t>&lt;PathFdR&gt;</w:t>
    </w:r>
    <w:r w:rsidRPr="00757888">
      <w:t>RR\1298747LT.docx</w:t>
    </w:r>
    <w:r w:rsidRPr="00757888">
      <w:rPr>
        <w:rStyle w:val="HideTWBExt"/>
      </w:rPr>
      <w:t>&lt;/PathFdR&gt;</w:t>
    </w:r>
  </w:p>
  <w:p w:rsidR="00A855CE" w:rsidRPr="00757888" w:rsidRDefault="00A855CE" w:rsidP="00906329">
    <w:pPr>
      <w:pStyle w:val="EPFooter2"/>
    </w:pPr>
    <w:r w:rsidRPr="00757888">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5CE" w:rsidRPr="00757888" w:rsidRDefault="00A855CE" w:rsidP="00906329">
    <w:pPr>
      <w:pStyle w:val="EPFooter"/>
    </w:pPr>
    <w:r w:rsidRPr="00757888">
      <w:rPr>
        <w:rStyle w:val="HideTWBExt"/>
      </w:rPr>
      <w:t>&lt;PathFdR&gt;</w:t>
    </w:r>
    <w:r w:rsidRPr="00757888">
      <w:t>RR\1298747LT.docx</w:t>
    </w:r>
    <w:r w:rsidRPr="00757888">
      <w:rPr>
        <w:rStyle w:val="HideTWBExt"/>
      </w:rPr>
      <w:t>&lt;/PathFdR&gt;</w:t>
    </w:r>
    <w:r w:rsidRPr="00757888">
      <w:tab/>
    </w:r>
    <w:r w:rsidRPr="00757888">
      <w:tab/>
      <w:t>PE</w:t>
    </w:r>
    <w:r w:rsidRPr="00757888">
      <w:rPr>
        <w:rStyle w:val="HideTWBExt"/>
      </w:rPr>
      <w:t>&lt;NoPE&gt;</w:t>
    </w:r>
    <w:r w:rsidRPr="00757888">
      <w:t>753.521</w:t>
    </w:r>
    <w:r w:rsidRPr="00757888">
      <w:rPr>
        <w:rStyle w:val="HideTWBExt"/>
      </w:rPr>
      <w:t>&lt;/NoPE&gt;&lt;Version&gt;</w:t>
    </w:r>
    <w:r w:rsidRPr="00757888">
      <w:t>v02-00</w:t>
    </w:r>
    <w:r w:rsidRPr="00757888">
      <w:rPr>
        <w:rStyle w:val="HideTWBExt"/>
      </w:rPr>
      <w:t>&lt;/Version&gt;</w:t>
    </w:r>
  </w:p>
  <w:p w:rsidR="00A855CE" w:rsidRPr="00757888" w:rsidRDefault="00A855CE" w:rsidP="00906329">
    <w:pPr>
      <w:pStyle w:val="EPFooter2"/>
    </w:pPr>
    <w:r w:rsidRPr="00757888">
      <w:t>LT</w:t>
    </w:r>
    <w:r w:rsidRPr="00757888">
      <w:tab/>
    </w:r>
    <w:r w:rsidRPr="00757888">
      <w:rPr>
        <w:b w:val="0"/>
        <w:i/>
        <w:color w:val="C0C0C0"/>
        <w:sz w:val="22"/>
      </w:rPr>
      <w:t>Suvienijusi įvairovę</w:t>
    </w:r>
    <w:r w:rsidRPr="00757888">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788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788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78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67D" w:rsidRPr="00757888" w:rsidRDefault="001F267D">
      <w:r w:rsidRPr="00757888">
        <w:separator/>
      </w:r>
    </w:p>
  </w:footnote>
  <w:footnote w:type="continuationSeparator" w:id="0">
    <w:p w:rsidR="001F267D" w:rsidRPr="00757888" w:rsidRDefault="001F267D">
      <w:r w:rsidRPr="00757888">
        <w:continuationSeparator/>
      </w:r>
    </w:p>
  </w:footnote>
  <w:footnote w:id="1">
    <w:p w:rsidR="00A855CE" w:rsidRPr="00757888" w:rsidRDefault="00A855CE" w:rsidP="00757888">
      <w:pPr>
        <w:pStyle w:val="FootnoteText"/>
        <w:ind w:left="567" w:hanging="567"/>
        <w:rPr>
          <w:sz w:val="24"/>
          <w:lang w:val="lt-LT"/>
        </w:rPr>
      </w:pPr>
      <w:r w:rsidRPr="00757888">
        <w:rPr>
          <w:rStyle w:val="FootnoteReference"/>
          <w:sz w:val="24"/>
          <w:lang w:val="lt-LT"/>
        </w:rPr>
        <w:footnoteRef/>
      </w:r>
      <w:r w:rsidR="00757888" w:rsidRPr="00757888">
        <w:rPr>
          <w:sz w:val="24"/>
          <w:lang w:val="lt-LT"/>
        </w:rPr>
        <w:t xml:space="preserve"> </w:t>
      </w:r>
      <w:r w:rsidR="00757888" w:rsidRPr="00757888">
        <w:rPr>
          <w:sz w:val="24"/>
          <w:lang w:val="lt-LT"/>
        </w:rPr>
        <w:tab/>
      </w:r>
      <w:r w:rsidRPr="00757888">
        <w:rPr>
          <w:sz w:val="24"/>
          <w:lang w:val="lt-LT"/>
        </w:rPr>
        <w:t>OL C, C/2023/594, 2023 10 27.</w:t>
      </w:r>
    </w:p>
  </w:footnote>
  <w:footnote w:id="2">
    <w:p w:rsidR="00A855CE" w:rsidRPr="00757888" w:rsidRDefault="00A855CE" w:rsidP="00757888">
      <w:pPr>
        <w:pStyle w:val="FootnoteText"/>
        <w:ind w:left="567" w:hanging="567"/>
        <w:rPr>
          <w:sz w:val="24"/>
          <w:lang w:val="lt-LT"/>
        </w:rPr>
      </w:pPr>
      <w:r w:rsidRPr="00757888">
        <w:rPr>
          <w:rStyle w:val="FootnoteReference"/>
          <w:sz w:val="24"/>
          <w:lang w:val="lt-LT"/>
        </w:rPr>
        <w:footnoteRef/>
      </w:r>
      <w:r w:rsidR="00757888" w:rsidRPr="00757888">
        <w:rPr>
          <w:sz w:val="24"/>
          <w:lang w:val="lt-LT"/>
        </w:rPr>
        <w:t xml:space="preserve"> </w:t>
      </w:r>
      <w:r w:rsidR="00757888" w:rsidRPr="00757888">
        <w:rPr>
          <w:sz w:val="24"/>
          <w:lang w:val="lt-LT"/>
        </w:rPr>
        <w:tab/>
      </w:r>
      <w:r w:rsidRPr="00757888">
        <w:rPr>
          <w:sz w:val="24"/>
          <w:lang w:val="lt-LT"/>
        </w:rPr>
        <w:t>OL C, C/2023/112, 2023 10 12.</w:t>
      </w:r>
    </w:p>
  </w:footnote>
  <w:footnote w:id="3">
    <w:p w:rsidR="00A855CE" w:rsidRPr="00757888" w:rsidRDefault="00A855CE" w:rsidP="00757888">
      <w:pPr>
        <w:pStyle w:val="FootnoteText"/>
        <w:ind w:left="567" w:hanging="567"/>
        <w:rPr>
          <w:sz w:val="24"/>
          <w:lang w:val="lt-LT"/>
        </w:rPr>
      </w:pPr>
      <w:r w:rsidRPr="00757888">
        <w:rPr>
          <w:rStyle w:val="FootnoteReference"/>
          <w:sz w:val="24"/>
          <w:lang w:val="lt-LT"/>
        </w:rPr>
        <w:footnoteRef/>
      </w:r>
      <w:r w:rsidR="00757888" w:rsidRPr="00757888">
        <w:rPr>
          <w:sz w:val="24"/>
          <w:lang w:val="lt-LT"/>
        </w:rPr>
        <w:t xml:space="preserve"> </w:t>
      </w:r>
      <w:r w:rsidR="00757888" w:rsidRPr="00757888">
        <w:rPr>
          <w:sz w:val="24"/>
          <w:lang w:val="lt-LT"/>
        </w:rPr>
        <w:tab/>
      </w:r>
      <w:r w:rsidRPr="00757888">
        <w:rPr>
          <w:sz w:val="24"/>
          <w:lang w:val="lt-LT"/>
        </w:rPr>
        <w:t>OL L 193, 2018 7 30, p. 1.</w:t>
      </w:r>
    </w:p>
  </w:footnote>
  <w:footnote w:id="4">
    <w:p w:rsidR="00A855CE" w:rsidRPr="00757888" w:rsidRDefault="00A855CE" w:rsidP="00757888">
      <w:pPr>
        <w:pStyle w:val="FootnoteText"/>
        <w:ind w:left="567" w:hanging="567"/>
        <w:rPr>
          <w:sz w:val="24"/>
          <w:lang w:val="lt-LT"/>
        </w:rPr>
      </w:pPr>
      <w:r w:rsidRPr="00757888">
        <w:rPr>
          <w:rStyle w:val="FootnoteReference"/>
          <w:sz w:val="24"/>
          <w:lang w:val="lt-LT"/>
        </w:rPr>
        <w:footnoteRef/>
      </w:r>
      <w:r w:rsidR="00757888" w:rsidRPr="00757888">
        <w:rPr>
          <w:sz w:val="24"/>
          <w:lang w:val="lt-LT"/>
        </w:rPr>
        <w:t xml:space="preserve"> </w:t>
      </w:r>
      <w:r w:rsidR="00757888" w:rsidRPr="00757888">
        <w:rPr>
          <w:sz w:val="24"/>
          <w:lang w:val="lt-LT"/>
        </w:rPr>
        <w:tab/>
      </w:r>
      <w:r w:rsidRPr="00757888">
        <w:rPr>
          <w:sz w:val="24"/>
          <w:lang w:val="lt-LT"/>
        </w:rPr>
        <w:t>OL L 331, 2010 12 15, p. 48.</w:t>
      </w:r>
    </w:p>
  </w:footnote>
  <w:footnote w:id="5">
    <w:p w:rsidR="00A855CE" w:rsidRPr="00757888" w:rsidRDefault="00A855CE" w:rsidP="00757888">
      <w:pPr>
        <w:pStyle w:val="FootnoteText"/>
        <w:ind w:left="567" w:hanging="567"/>
        <w:rPr>
          <w:sz w:val="24"/>
          <w:szCs w:val="24"/>
          <w:lang w:val="lt-LT"/>
        </w:rPr>
      </w:pPr>
      <w:r w:rsidRPr="00757888">
        <w:rPr>
          <w:rStyle w:val="FootnoteReference"/>
          <w:sz w:val="24"/>
          <w:lang w:val="lt-LT"/>
        </w:rPr>
        <w:footnoteRef/>
      </w:r>
      <w:r w:rsidR="00757888" w:rsidRPr="00757888">
        <w:rPr>
          <w:sz w:val="24"/>
          <w:lang w:val="lt-LT"/>
        </w:rPr>
        <w:t xml:space="preserve"> </w:t>
      </w:r>
      <w:r w:rsidR="00757888" w:rsidRPr="00757888">
        <w:rPr>
          <w:sz w:val="24"/>
          <w:lang w:val="lt-LT"/>
        </w:rPr>
        <w:tab/>
      </w:r>
      <w:r w:rsidRPr="00757888">
        <w:rPr>
          <w:sz w:val="24"/>
          <w:lang w:val="lt-LT"/>
        </w:rPr>
        <w:t>OL L 122, 2019 5 10, p. 1</w:t>
      </w:r>
    </w:p>
  </w:footnote>
  <w:footnote w:id="6">
    <w:p w:rsidR="00A855CE" w:rsidRPr="00757888" w:rsidRDefault="00A855CE" w:rsidP="00757888">
      <w:pPr>
        <w:pStyle w:val="FootnoteText"/>
        <w:ind w:left="567" w:hanging="567"/>
        <w:rPr>
          <w:sz w:val="24"/>
          <w:lang w:val="lt-LT"/>
        </w:rPr>
      </w:pPr>
      <w:r w:rsidRPr="00757888">
        <w:rPr>
          <w:rStyle w:val="FootnoteReference"/>
          <w:sz w:val="24"/>
          <w:lang w:val="lt-LT"/>
        </w:rPr>
        <w:footnoteRef/>
      </w:r>
      <w:r w:rsidR="00757888" w:rsidRPr="00757888">
        <w:rPr>
          <w:sz w:val="24"/>
          <w:lang w:val="lt-LT"/>
        </w:rPr>
        <w:t xml:space="preserve"> </w:t>
      </w:r>
      <w:r w:rsidR="00757888" w:rsidRPr="00757888">
        <w:rPr>
          <w:sz w:val="24"/>
          <w:lang w:val="lt-LT"/>
        </w:rPr>
        <w:tab/>
      </w:r>
      <w:r w:rsidRPr="00757888">
        <w:rPr>
          <w:sz w:val="24"/>
          <w:lang w:val="lt-LT"/>
        </w:rPr>
        <w:t>OL C, C/2023/594, 2023 10 27.</w:t>
      </w:r>
    </w:p>
  </w:footnote>
  <w:footnote w:id="7">
    <w:p w:rsidR="00A855CE" w:rsidRPr="00757888" w:rsidRDefault="00A855CE" w:rsidP="00757888">
      <w:pPr>
        <w:pStyle w:val="FootnoteText"/>
        <w:ind w:left="567" w:hanging="567"/>
        <w:rPr>
          <w:sz w:val="24"/>
          <w:lang w:val="lt-LT"/>
        </w:rPr>
      </w:pPr>
      <w:r w:rsidRPr="00757888">
        <w:rPr>
          <w:rStyle w:val="FootnoteReference"/>
          <w:sz w:val="24"/>
          <w:lang w:val="lt-LT"/>
        </w:rPr>
        <w:footnoteRef/>
      </w:r>
      <w:r w:rsidR="00757888" w:rsidRPr="00757888">
        <w:rPr>
          <w:sz w:val="24"/>
          <w:lang w:val="lt-LT"/>
        </w:rPr>
        <w:t xml:space="preserve"> </w:t>
      </w:r>
      <w:r w:rsidR="00757888" w:rsidRPr="00757888">
        <w:rPr>
          <w:sz w:val="24"/>
          <w:lang w:val="lt-LT"/>
        </w:rPr>
        <w:tab/>
      </w:r>
      <w:r w:rsidRPr="00757888">
        <w:rPr>
          <w:sz w:val="24"/>
          <w:lang w:val="lt-LT"/>
        </w:rPr>
        <w:t>OL C, C/2023/112, 2023 10 12.</w:t>
      </w:r>
    </w:p>
  </w:footnote>
  <w:footnote w:id="8">
    <w:p w:rsidR="00A855CE" w:rsidRPr="00757888" w:rsidRDefault="00A855CE" w:rsidP="00757888">
      <w:pPr>
        <w:pStyle w:val="FootnoteText"/>
        <w:ind w:left="567" w:hanging="567"/>
        <w:rPr>
          <w:sz w:val="24"/>
          <w:lang w:val="lt-LT"/>
        </w:rPr>
      </w:pPr>
      <w:r w:rsidRPr="00757888">
        <w:rPr>
          <w:rStyle w:val="FootnoteReference"/>
          <w:sz w:val="24"/>
          <w:lang w:val="lt-LT"/>
        </w:rPr>
        <w:footnoteRef/>
      </w:r>
      <w:r w:rsidR="00757888" w:rsidRPr="00757888">
        <w:rPr>
          <w:sz w:val="24"/>
          <w:lang w:val="lt-LT"/>
        </w:rPr>
        <w:t xml:space="preserve"> </w:t>
      </w:r>
      <w:r w:rsidR="00757888" w:rsidRPr="00757888">
        <w:rPr>
          <w:sz w:val="24"/>
          <w:lang w:val="lt-LT"/>
        </w:rPr>
        <w:tab/>
      </w:r>
      <w:r w:rsidRPr="00757888">
        <w:rPr>
          <w:sz w:val="24"/>
          <w:lang w:val="lt-LT"/>
        </w:rPr>
        <w:t>OL L 193, 2018 7 30, p. 1.</w:t>
      </w:r>
    </w:p>
  </w:footnote>
  <w:footnote w:id="9">
    <w:p w:rsidR="00A855CE" w:rsidRPr="00757888" w:rsidRDefault="00A855CE" w:rsidP="00757888">
      <w:pPr>
        <w:pStyle w:val="FootnoteText"/>
        <w:ind w:left="567" w:hanging="567"/>
        <w:rPr>
          <w:sz w:val="24"/>
          <w:lang w:val="lt-LT"/>
        </w:rPr>
      </w:pPr>
      <w:r w:rsidRPr="00757888">
        <w:rPr>
          <w:rStyle w:val="FootnoteReference"/>
          <w:sz w:val="24"/>
          <w:lang w:val="lt-LT"/>
        </w:rPr>
        <w:footnoteRef/>
      </w:r>
      <w:r w:rsidR="00757888" w:rsidRPr="00757888">
        <w:rPr>
          <w:sz w:val="24"/>
          <w:lang w:val="lt-LT"/>
        </w:rPr>
        <w:t xml:space="preserve"> </w:t>
      </w:r>
      <w:r w:rsidR="00757888" w:rsidRPr="00757888">
        <w:rPr>
          <w:sz w:val="24"/>
          <w:lang w:val="lt-LT"/>
        </w:rPr>
        <w:tab/>
      </w:r>
      <w:r w:rsidRPr="00757888">
        <w:rPr>
          <w:sz w:val="24"/>
          <w:lang w:val="lt-LT"/>
        </w:rPr>
        <w:t>OL L 331, 2010 12 15, p. 48.</w:t>
      </w:r>
    </w:p>
  </w:footnote>
  <w:footnote w:id="10">
    <w:p w:rsidR="00A855CE" w:rsidRPr="00757888" w:rsidRDefault="00A855CE" w:rsidP="00757888">
      <w:pPr>
        <w:pStyle w:val="FootnoteText"/>
        <w:ind w:left="567" w:hanging="567"/>
        <w:rPr>
          <w:sz w:val="24"/>
          <w:szCs w:val="24"/>
          <w:lang w:val="lt-LT"/>
        </w:rPr>
      </w:pPr>
      <w:r w:rsidRPr="00757888">
        <w:rPr>
          <w:rStyle w:val="FootnoteReference"/>
          <w:sz w:val="24"/>
          <w:lang w:val="lt-LT"/>
        </w:rPr>
        <w:footnoteRef/>
      </w:r>
      <w:r w:rsidR="00757888" w:rsidRPr="00757888">
        <w:rPr>
          <w:sz w:val="24"/>
          <w:lang w:val="lt-LT"/>
        </w:rPr>
        <w:t xml:space="preserve"> </w:t>
      </w:r>
      <w:r w:rsidR="00757888" w:rsidRPr="00757888">
        <w:rPr>
          <w:sz w:val="24"/>
          <w:lang w:val="lt-LT"/>
        </w:rPr>
        <w:tab/>
      </w:r>
      <w:r w:rsidRPr="00757888">
        <w:rPr>
          <w:sz w:val="24"/>
          <w:lang w:val="lt-LT"/>
        </w:rPr>
        <w:t>OL L 122, 2019 5 10, p. 1</w:t>
      </w:r>
    </w:p>
  </w:footnote>
  <w:footnote w:id="11">
    <w:p w:rsidR="00A855CE" w:rsidRPr="00757888" w:rsidRDefault="00A855CE" w:rsidP="00757888">
      <w:pPr>
        <w:pStyle w:val="FootnoteText"/>
        <w:ind w:left="567" w:hanging="567"/>
        <w:rPr>
          <w:sz w:val="24"/>
          <w:lang w:val="lt-LT"/>
        </w:rPr>
      </w:pPr>
      <w:r w:rsidRPr="00757888">
        <w:rPr>
          <w:rStyle w:val="FootnoteReference"/>
          <w:sz w:val="24"/>
          <w:lang w:val="lt-LT"/>
        </w:rPr>
        <w:footnoteRef/>
      </w:r>
      <w:r w:rsidR="00757888" w:rsidRPr="00757888">
        <w:rPr>
          <w:sz w:val="24"/>
          <w:lang w:val="lt-LT"/>
        </w:rPr>
        <w:t xml:space="preserve"> </w:t>
      </w:r>
      <w:r w:rsidR="00757888" w:rsidRPr="00757888">
        <w:rPr>
          <w:sz w:val="24"/>
          <w:lang w:val="lt-LT"/>
        </w:rPr>
        <w:tab/>
      </w:r>
      <w:r w:rsidRPr="00757888">
        <w:rPr>
          <w:sz w:val="24"/>
          <w:lang w:val="lt-LT"/>
        </w:rPr>
        <w:t>OL C 38, 2023 1 31, p. 78.</w:t>
      </w:r>
    </w:p>
  </w:footnote>
  <w:footnote w:id="12">
    <w:p w:rsidR="00A855CE" w:rsidRPr="00757888" w:rsidRDefault="00A855CE" w:rsidP="00757888">
      <w:pPr>
        <w:pStyle w:val="FootnoteText"/>
        <w:ind w:left="567" w:hanging="567"/>
        <w:rPr>
          <w:sz w:val="24"/>
          <w:lang w:val="lt-LT"/>
        </w:rPr>
      </w:pPr>
      <w:r w:rsidRPr="00757888">
        <w:rPr>
          <w:rStyle w:val="FootnoteReference"/>
          <w:sz w:val="24"/>
          <w:lang w:val="lt-LT"/>
        </w:rPr>
        <w:footnoteRef/>
      </w:r>
      <w:r w:rsidR="00757888" w:rsidRPr="00757888">
        <w:rPr>
          <w:sz w:val="24"/>
          <w:lang w:val="lt-LT"/>
        </w:rPr>
        <w:t xml:space="preserve"> </w:t>
      </w:r>
      <w:r w:rsidR="00757888" w:rsidRPr="00757888">
        <w:rPr>
          <w:sz w:val="24"/>
          <w:lang w:val="lt-LT"/>
        </w:rPr>
        <w:tab/>
      </w:r>
      <w:r w:rsidRPr="00757888">
        <w:rPr>
          <w:sz w:val="24"/>
          <w:lang w:val="lt-LT"/>
        </w:rPr>
        <w:t>Priimti tekstai, P9_TA(2024)0</w:t>
      </w:r>
      <w:r w:rsidR="000B29D6">
        <w:rPr>
          <w:sz w:val="24"/>
          <w:lang w:val="lt-LT"/>
        </w:rPr>
        <w:t>28</w:t>
      </w:r>
      <w:r w:rsidR="002277E2">
        <w:rPr>
          <w:sz w:val="24"/>
          <w:lang w:val="lt-LT"/>
        </w:rPr>
        <w:t>0</w:t>
      </w:r>
      <w:r w:rsidRPr="00757888">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788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788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78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7/2024"/>
    <w:docVar w:name="dvlangue" w:val="LT"/>
    <w:docVar w:name="dvnumam" w:val="0"/>
    <w:docVar w:name="dvpe" w:val="753.521"/>
    <w:docVar w:name="dvrapporteur" w:val="Pranešėjas: "/>
    <w:docVar w:name="dvtitre" w:val="Europos Parlamento sprendimas dėl Europos draudimo ir profesinių pensijų institucijos 2022 finansinių metų biudžeto įvykdymo patvirtinimo(2023/2153(DEC))"/>
  </w:docVars>
  <w:rsids>
    <w:rsidRoot w:val="001F267D"/>
    <w:rsid w:val="00002272"/>
    <w:rsid w:val="00064002"/>
    <w:rsid w:val="000677B9"/>
    <w:rsid w:val="000831BA"/>
    <w:rsid w:val="000A42CC"/>
    <w:rsid w:val="000B29D6"/>
    <w:rsid w:val="000E7DD9"/>
    <w:rsid w:val="0010095E"/>
    <w:rsid w:val="00125B37"/>
    <w:rsid w:val="00187494"/>
    <w:rsid w:val="001F267D"/>
    <w:rsid w:val="001F32AE"/>
    <w:rsid w:val="002277E2"/>
    <w:rsid w:val="002767FF"/>
    <w:rsid w:val="002B18FE"/>
    <w:rsid w:val="002B5493"/>
    <w:rsid w:val="00343214"/>
    <w:rsid w:val="00361C00"/>
    <w:rsid w:val="00395FA1"/>
    <w:rsid w:val="003E15D4"/>
    <w:rsid w:val="00411CCE"/>
    <w:rsid w:val="0041666E"/>
    <w:rsid w:val="00421060"/>
    <w:rsid w:val="00443C8E"/>
    <w:rsid w:val="00471C19"/>
    <w:rsid w:val="004867E3"/>
    <w:rsid w:val="00494A28"/>
    <w:rsid w:val="004C0004"/>
    <w:rsid w:val="004C5D52"/>
    <w:rsid w:val="0050519A"/>
    <w:rsid w:val="005072A1"/>
    <w:rsid w:val="00514517"/>
    <w:rsid w:val="00545827"/>
    <w:rsid w:val="00560270"/>
    <w:rsid w:val="005C2568"/>
    <w:rsid w:val="005D03AE"/>
    <w:rsid w:val="006037C0"/>
    <w:rsid w:val="00636714"/>
    <w:rsid w:val="006631B6"/>
    <w:rsid w:val="00680577"/>
    <w:rsid w:val="006F74FA"/>
    <w:rsid w:val="00731ADD"/>
    <w:rsid w:val="00734777"/>
    <w:rsid w:val="00747932"/>
    <w:rsid w:val="00751A4A"/>
    <w:rsid w:val="00756632"/>
    <w:rsid w:val="00757888"/>
    <w:rsid w:val="00762C74"/>
    <w:rsid w:val="00786EC0"/>
    <w:rsid w:val="007D1690"/>
    <w:rsid w:val="007E22AD"/>
    <w:rsid w:val="00817416"/>
    <w:rsid w:val="00842779"/>
    <w:rsid w:val="00865F67"/>
    <w:rsid w:val="00872FBA"/>
    <w:rsid w:val="00881A7B"/>
    <w:rsid w:val="008840E5"/>
    <w:rsid w:val="00887B3E"/>
    <w:rsid w:val="008C2AC6"/>
    <w:rsid w:val="00930C23"/>
    <w:rsid w:val="0093193B"/>
    <w:rsid w:val="009509D8"/>
    <w:rsid w:val="00950B64"/>
    <w:rsid w:val="00981893"/>
    <w:rsid w:val="009A3395"/>
    <w:rsid w:val="00A1687D"/>
    <w:rsid w:val="00A43E52"/>
    <w:rsid w:val="00A4678D"/>
    <w:rsid w:val="00A778C7"/>
    <w:rsid w:val="00A855CE"/>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2FB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4BAE1C"/>
  <w15:chartTrackingRefBased/>
  <w15:docId w15:val="{62E7130F-1C10-4A99-A4C3-82C8CCF42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855C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855CE"/>
    <w:pPr>
      <w:spacing w:before="480" w:after="240"/>
    </w:pPr>
  </w:style>
  <w:style w:type="paragraph" w:customStyle="1" w:styleId="PageHeading">
    <w:name w:val="PageHeading"/>
    <w:basedOn w:val="Normal"/>
    <w:rsid w:val="00A855CE"/>
    <w:pPr>
      <w:keepNext/>
      <w:spacing w:after="480"/>
      <w:jc w:val="center"/>
    </w:pPr>
    <w:rPr>
      <w:rFonts w:ascii="Arial" w:hAnsi="Arial" w:cs="Arial"/>
      <w:b/>
    </w:rPr>
  </w:style>
  <w:style w:type="paragraph" w:customStyle="1" w:styleId="NormalBold">
    <w:name w:val="NormalBold"/>
    <w:basedOn w:val="Normal"/>
    <w:rsid w:val="00A855CE"/>
    <w:rPr>
      <w:b/>
    </w:rPr>
  </w:style>
  <w:style w:type="paragraph" w:customStyle="1" w:styleId="NormalHanging12a">
    <w:name w:val="NormalHanging12a"/>
    <w:basedOn w:val="Normal"/>
    <w:link w:val="NormalHanging12aChar"/>
    <w:rsid w:val="00A855CE"/>
    <w:pPr>
      <w:spacing w:after="240"/>
      <w:ind w:left="567" w:hanging="567"/>
    </w:pPr>
  </w:style>
  <w:style w:type="paragraph" w:customStyle="1" w:styleId="NormalCenter12a">
    <w:name w:val="NormalCenter12a"/>
    <w:basedOn w:val="Normal"/>
    <w:rsid w:val="00A855CE"/>
    <w:pPr>
      <w:spacing w:after="240"/>
      <w:jc w:val="center"/>
    </w:pPr>
  </w:style>
  <w:style w:type="paragraph" w:styleId="Header">
    <w:name w:val="header"/>
    <w:basedOn w:val="Normal"/>
    <w:link w:val="HeaderChar"/>
    <w:rsid w:val="00A855CE"/>
    <w:pPr>
      <w:tabs>
        <w:tab w:val="center" w:pos="4513"/>
        <w:tab w:val="right" w:pos="9026"/>
      </w:tabs>
    </w:pPr>
  </w:style>
  <w:style w:type="character" w:customStyle="1" w:styleId="HeaderChar">
    <w:name w:val="Header Char"/>
    <w:basedOn w:val="DefaultParagraphFont"/>
    <w:link w:val="Header"/>
    <w:rsid w:val="00A855CE"/>
    <w:rPr>
      <w:sz w:val="24"/>
      <w:lang w:val="lt-LT"/>
    </w:rPr>
  </w:style>
  <w:style w:type="paragraph" w:customStyle="1" w:styleId="EPFooter">
    <w:name w:val="EPFooter"/>
    <w:basedOn w:val="Normal"/>
    <w:rsid w:val="00A855C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A855CE"/>
    <w:rPr>
      <w:sz w:val="24"/>
      <w:lang w:val="lt-LT"/>
    </w:rPr>
  </w:style>
  <w:style w:type="paragraph" w:styleId="Footer">
    <w:name w:val="footer"/>
    <w:basedOn w:val="Normal"/>
    <w:link w:val="FooterChar"/>
    <w:rsid w:val="00872FBA"/>
    <w:pPr>
      <w:tabs>
        <w:tab w:val="center" w:pos="4513"/>
        <w:tab w:val="right" w:pos="9026"/>
      </w:tabs>
    </w:pPr>
  </w:style>
  <w:style w:type="character" w:customStyle="1" w:styleId="FooterChar">
    <w:name w:val="Footer Char"/>
    <w:basedOn w:val="DefaultParagraphFont"/>
    <w:link w:val="Footer"/>
    <w:rsid w:val="00872FBA"/>
    <w:rPr>
      <w:sz w:val="24"/>
      <w:lang w:val="lt-LT"/>
    </w:rPr>
  </w:style>
  <w:style w:type="paragraph" w:styleId="BalloonText">
    <w:name w:val="Balloon Text"/>
    <w:basedOn w:val="Normal"/>
    <w:link w:val="BalloonTextChar"/>
    <w:rsid w:val="00F62FB6"/>
    <w:rPr>
      <w:rFonts w:ascii="Segoe UI" w:hAnsi="Segoe UI" w:cs="Segoe UI"/>
      <w:sz w:val="18"/>
      <w:szCs w:val="18"/>
    </w:rPr>
  </w:style>
  <w:style w:type="character" w:customStyle="1" w:styleId="BalloonTextChar">
    <w:name w:val="Balloon Text Char"/>
    <w:basedOn w:val="DefaultParagraphFont"/>
    <w:link w:val="BalloonText"/>
    <w:rsid w:val="00F62FB6"/>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95924-FAC1-4DEB-AEAD-26338401F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2934</Words>
  <Characters>20244</Characters>
  <Application>Microsoft Office Word</Application>
  <DocSecurity>0</DocSecurity>
  <Lines>168</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2024-05-14T20:56:00Z</dcterms:created>
  <dcterms:modified xsi:type="dcterms:W3CDTF">2024-05-14T20:56:00Z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P9_TA(2024)0263_</vt:lpwstr>
  </property>
  <property fmtid="{D5CDD505-2E9C-101B-9397-08002B2CF9AE}" pid="4" name="&lt;Type&gt;">
    <vt:lpwstr>RR</vt:lpwstr>
  </property>
</Properties>
</file>