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6713" w:rsidTr="0010095E">
        <w:trPr>
          <w:trHeight w:hRule="exact" w:val="1418"/>
        </w:trPr>
        <w:tc>
          <w:tcPr>
            <w:tcW w:w="6804" w:type="dxa"/>
            <w:shd w:val="clear" w:color="auto" w:fill="auto"/>
            <w:vAlign w:val="center"/>
          </w:tcPr>
          <w:p w:rsidR="00751A4A" w:rsidRPr="00276713" w:rsidRDefault="00830412" w:rsidP="0010095E">
            <w:pPr>
              <w:pStyle w:val="EPName"/>
            </w:pPr>
            <w:r w:rsidRPr="00276713">
              <w:t>Eiropas Parlaments</w:t>
            </w:r>
          </w:p>
          <w:p w:rsidR="00751A4A" w:rsidRPr="00276713" w:rsidRDefault="00817416" w:rsidP="00756632">
            <w:pPr>
              <w:pStyle w:val="EPTerm"/>
              <w:rPr>
                <w:rStyle w:val="HideTWBExt"/>
                <w:noProof w:val="0"/>
                <w:vanish w:val="0"/>
                <w:color w:val="auto"/>
              </w:rPr>
            </w:pPr>
            <w:r w:rsidRPr="00276713">
              <w:t>2019-2024</w:t>
            </w:r>
          </w:p>
        </w:tc>
        <w:tc>
          <w:tcPr>
            <w:tcW w:w="2268" w:type="dxa"/>
            <w:shd w:val="clear" w:color="auto" w:fill="auto"/>
          </w:tcPr>
          <w:p w:rsidR="00751A4A" w:rsidRPr="00276713" w:rsidRDefault="00187494" w:rsidP="0010095E">
            <w:pPr>
              <w:pStyle w:val="EPLogo"/>
            </w:pPr>
            <w:r w:rsidRPr="002767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6713" w:rsidRDefault="00D058B8" w:rsidP="004C5D52">
      <w:pPr>
        <w:pStyle w:val="LineTop"/>
      </w:pPr>
    </w:p>
    <w:p w:rsidR="00680577" w:rsidRPr="00276713" w:rsidRDefault="00830412" w:rsidP="00680577">
      <w:pPr>
        <w:pStyle w:val="EPBodyTA1"/>
      </w:pPr>
      <w:r w:rsidRPr="00276713">
        <w:t>PIEŅEMTIE TEKSTI</w:t>
      </w:r>
    </w:p>
    <w:p w:rsidR="00D058B8" w:rsidRPr="00276713" w:rsidRDefault="00D058B8" w:rsidP="00D058B8">
      <w:pPr>
        <w:pStyle w:val="LineBottom"/>
      </w:pPr>
    </w:p>
    <w:p w:rsidR="00830412" w:rsidRPr="00276713" w:rsidRDefault="00830412" w:rsidP="00830412">
      <w:pPr>
        <w:pStyle w:val="ATHeading1"/>
      </w:pPr>
      <w:bookmarkStart w:id="0" w:name="TANumber"/>
      <w:r w:rsidRPr="00276713">
        <w:t>P9_TA(2024)0</w:t>
      </w:r>
      <w:bookmarkEnd w:id="0"/>
      <w:r w:rsidR="00276713" w:rsidRPr="00276713">
        <w:t>263</w:t>
      </w:r>
    </w:p>
    <w:p w:rsidR="00830412" w:rsidRPr="00276713" w:rsidRDefault="00830412" w:rsidP="00830412">
      <w:pPr>
        <w:pStyle w:val="ATHeading2"/>
      </w:pPr>
      <w:bookmarkStart w:id="1" w:name="title"/>
      <w:r w:rsidRPr="00276713">
        <w:t>2022. finanšu gada budžeta izpildes apstiprināšana: Eiropas Apdrošināšanas un aroda pensiju iestāde</w:t>
      </w:r>
      <w:bookmarkEnd w:id="1"/>
    </w:p>
    <w:p w:rsidR="00830412" w:rsidRPr="00276713" w:rsidRDefault="00830412" w:rsidP="00830412">
      <w:pPr>
        <w:rPr>
          <w:i/>
          <w:vanish/>
        </w:rPr>
      </w:pPr>
      <w:r w:rsidRPr="00276713">
        <w:rPr>
          <w:i/>
        </w:rPr>
        <w:fldChar w:fldCharType="begin"/>
      </w:r>
      <w:r w:rsidRPr="00276713">
        <w:rPr>
          <w:i/>
        </w:rPr>
        <w:instrText xml:space="preserve"> TC"(</w:instrText>
      </w:r>
      <w:bookmarkStart w:id="2" w:name="DocNumber"/>
      <w:r w:rsidRPr="00276713">
        <w:rPr>
          <w:i/>
        </w:rPr>
        <w:instrText>A9-0097/2024</w:instrText>
      </w:r>
      <w:bookmarkEnd w:id="2"/>
      <w:r w:rsidRPr="00276713">
        <w:rPr>
          <w:i/>
        </w:rPr>
        <w:instrText xml:space="preserve"> - Referents: Petri </w:instrText>
      </w:r>
      <w:proofErr w:type="spellStart"/>
      <w:r w:rsidRPr="00276713">
        <w:rPr>
          <w:i/>
        </w:rPr>
        <w:instrText>Sarvamaa</w:instrText>
      </w:r>
      <w:proofErr w:type="spellEnd"/>
      <w:r w:rsidRPr="00276713">
        <w:rPr>
          <w:i/>
        </w:rPr>
        <w:instrText xml:space="preserve">)"\l3 \n&gt; \* MERGEFORMAT </w:instrText>
      </w:r>
      <w:r w:rsidRPr="00276713">
        <w:rPr>
          <w:i/>
        </w:rPr>
        <w:fldChar w:fldCharType="end"/>
      </w:r>
    </w:p>
    <w:p w:rsidR="00830412" w:rsidRPr="00276713" w:rsidRDefault="00830412" w:rsidP="00830412">
      <w:pPr>
        <w:rPr>
          <w:vanish/>
        </w:rPr>
      </w:pPr>
      <w:bookmarkStart w:id="3" w:name="Commission"/>
      <w:r w:rsidRPr="00276713">
        <w:rPr>
          <w:vanish/>
        </w:rPr>
        <w:t>Budžeta kontroles komiteja</w:t>
      </w:r>
      <w:bookmarkEnd w:id="3"/>
    </w:p>
    <w:p w:rsidR="00830412" w:rsidRPr="00276713" w:rsidRDefault="00830412" w:rsidP="00830412">
      <w:pPr>
        <w:rPr>
          <w:vanish/>
        </w:rPr>
      </w:pPr>
      <w:bookmarkStart w:id="4" w:name="PE"/>
      <w:r w:rsidRPr="00276713">
        <w:rPr>
          <w:vanish/>
        </w:rPr>
        <w:t>PE753.521</w:t>
      </w:r>
      <w:bookmarkEnd w:id="4"/>
    </w:p>
    <w:p w:rsidR="004918C5" w:rsidRPr="00276713" w:rsidRDefault="0000521A" w:rsidP="0000521A">
      <w:pPr>
        <w:pStyle w:val="ATHeading3"/>
      </w:pPr>
      <w:bookmarkStart w:id="5" w:name="Sujet"/>
      <w:r w:rsidRPr="00276713">
        <w:t xml:space="preserve">1. </w:t>
      </w:r>
      <w:r w:rsidR="00830412" w:rsidRPr="00276713">
        <w:t xml:space="preserve">Eiropas Parlamenta 2024. gada </w:t>
      </w:r>
      <w:r w:rsidRPr="00276713">
        <w:t>11</w:t>
      </w:r>
      <w:r w:rsidR="00830412" w:rsidRPr="00276713">
        <w:t xml:space="preserve">. </w:t>
      </w:r>
      <w:r w:rsidRPr="00276713">
        <w:t>aprīļa</w:t>
      </w:r>
      <w:r w:rsidR="00830412" w:rsidRPr="00276713">
        <w:t xml:space="preserve"> lēmums par Eiropas Apdrošināšanas un aroda pensiju iestādes 2022. finanšu gada budžeta izpildes apstiprināšanu</w:t>
      </w:r>
      <w:bookmarkEnd w:id="5"/>
      <w:r w:rsidR="00830412" w:rsidRPr="00276713">
        <w:t xml:space="preserve"> </w:t>
      </w:r>
      <w:bookmarkStart w:id="6" w:name="References"/>
      <w:r w:rsidR="00830412" w:rsidRPr="00276713">
        <w:t>(2023/2153(DEC))</w:t>
      </w:r>
      <w:bookmarkStart w:id="7" w:name="TextBodyBegin"/>
      <w:bookmarkEnd w:id="6"/>
      <w:bookmarkEnd w:id="7"/>
    </w:p>
    <w:p w:rsidR="004918C5" w:rsidRPr="00276713" w:rsidRDefault="004918C5" w:rsidP="004918C5">
      <w:pPr>
        <w:pStyle w:val="EPComma"/>
      </w:pPr>
      <w:r w:rsidRPr="00276713">
        <w:rPr>
          <w:i/>
        </w:rPr>
        <w:t>Eiropas Parlaments</w:t>
      </w:r>
      <w:r w:rsidRPr="00276713">
        <w:t>,</w:t>
      </w:r>
    </w:p>
    <w:p w:rsidR="004918C5" w:rsidRPr="00276713" w:rsidRDefault="004918C5" w:rsidP="004918C5">
      <w:pPr>
        <w:pStyle w:val="NormalHanging12a"/>
      </w:pPr>
      <w:r w:rsidRPr="00276713">
        <w:t>–</w:t>
      </w:r>
      <w:r w:rsidRPr="00276713">
        <w:tab/>
        <w:t>ņemot vērā Eiropas Apdrošināšanas un aroda pensiju iestādes 2022. finanšu gada galīgos pārskatus,</w:t>
      </w:r>
    </w:p>
    <w:p w:rsidR="004918C5" w:rsidRPr="00276713" w:rsidRDefault="004918C5" w:rsidP="004918C5">
      <w:pPr>
        <w:pStyle w:val="NormalHanging12a"/>
      </w:pPr>
      <w:r w:rsidRPr="00276713">
        <w:t>–</w:t>
      </w:r>
      <w:r w:rsidRPr="00276713">
        <w:tab/>
        <w:t>ņemot vērā Revīzijas palātas gada ziņojumu par ES aģentūrām attiecībā uz 2022. finanšu gadu ar aģentūru atbildēm</w:t>
      </w:r>
      <w:r w:rsidRPr="00276713">
        <w:rPr>
          <w:rStyle w:val="FootnoteReference"/>
        </w:rPr>
        <w:footnoteReference w:id="1"/>
      </w:r>
      <w:r w:rsidRPr="00276713">
        <w:t>,</w:t>
      </w:r>
    </w:p>
    <w:p w:rsidR="004918C5" w:rsidRPr="00276713" w:rsidRDefault="004918C5" w:rsidP="004918C5">
      <w:pPr>
        <w:pStyle w:val="NormalHanging12a"/>
      </w:pPr>
      <w:r w:rsidRPr="00276713">
        <w:t>–</w:t>
      </w:r>
      <w:r w:rsidRPr="00276713">
        <w:tab/>
        <w:t>ņemot vērā deklarāciju</w:t>
      </w:r>
      <w:r w:rsidRPr="00276713">
        <w:rPr>
          <w:rStyle w:val="FootnoteReference"/>
        </w:rPr>
        <w:footnoteReference w:id="2"/>
      </w:r>
      <w:r w:rsidRPr="00276713">
        <w:t xml:space="preserve"> par pārskatu ticamību, kā arī par pakārtoto darījumu likumību un pareizību, kuru Revīzijas palāta sniegusi par 2022. finanšu gadu saskaņā ar Līguma par Eiropas Savienības darbību 287. pantu,</w:t>
      </w:r>
    </w:p>
    <w:p w:rsidR="004918C5" w:rsidRPr="00276713" w:rsidRDefault="004918C5" w:rsidP="004918C5">
      <w:pPr>
        <w:pStyle w:val="NormalHanging12a"/>
      </w:pPr>
      <w:r w:rsidRPr="00276713">
        <w:t>–</w:t>
      </w:r>
      <w:r w:rsidRPr="00276713">
        <w:tab/>
        <w:t>ņemot vērā Padomes 2024. gada 22. februāra ieteikumu par apstiprinājumu, ko sniedz Iestādei par 2022. finanšu gada budžeta izpildi (</w:t>
      </w:r>
      <w:r w:rsidR="0000521A" w:rsidRPr="00276713">
        <w:t>06180/2024 – C9</w:t>
      </w:r>
      <w:r w:rsidR="0029545B">
        <w:rPr>
          <w:sz w:val="20"/>
        </w:rPr>
        <w:t>-</w:t>
      </w:r>
      <w:r w:rsidR="0000521A" w:rsidRPr="00276713">
        <w:t>0091/2024</w:t>
      </w:r>
      <w:r w:rsidRPr="00276713">
        <w:t>),</w:t>
      </w:r>
    </w:p>
    <w:p w:rsidR="004918C5" w:rsidRPr="00276713" w:rsidRDefault="004918C5" w:rsidP="004918C5">
      <w:pPr>
        <w:pStyle w:val="NormalHanging12a"/>
      </w:pPr>
      <w:r w:rsidRPr="00276713">
        <w:t>–</w:t>
      </w:r>
      <w:r w:rsidRPr="00276713">
        <w:tab/>
        <w:t>ņemot vērā Līguma par Eiropas Savienības darbību 319. pantu,</w:t>
      </w:r>
    </w:p>
    <w:p w:rsidR="004918C5" w:rsidRPr="00276713" w:rsidRDefault="004918C5" w:rsidP="004918C5">
      <w:pPr>
        <w:pStyle w:val="NormalHanging12a"/>
      </w:pPr>
      <w:r w:rsidRPr="00276713">
        <w:t>–</w:t>
      </w:r>
      <w:r w:rsidRPr="00276713">
        <w:tab/>
        <w:t xml:space="preserve">ņemot vērā Eiropas Parlamenta un Padomes 2018. gada 18. jūlija Regulu (ES, </w:t>
      </w:r>
      <w:r w:rsidRPr="00276713">
        <w:rPr>
          <w:i/>
        </w:rPr>
        <w:t>Euratom</w:t>
      </w:r>
      <w:r w:rsidRPr="00276713">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76713">
        <w:rPr>
          <w:i/>
        </w:rPr>
        <w:t>Euratom</w:t>
      </w:r>
      <w:r w:rsidRPr="00276713">
        <w:t>) Nr. 966/2012</w:t>
      </w:r>
      <w:r w:rsidRPr="00276713">
        <w:rPr>
          <w:rStyle w:val="FootnoteReference"/>
        </w:rPr>
        <w:footnoteReference w:id="3"/>
      </w:r>
      <w:r w:rsidRPr="00276713">
        <w:t>, un jo īpaši tās 70. pantu,</w:t>
      </w:r>
    </w:p>
    <w:p w:rsidR="004918C5" w:rsidRPr="00276713" w:rsidRDefault="004918C5" w:rsidP="004918C5">
      <w:pPr>
        <w:pStyle w:val="NormalHanging12a"/>
      </w:pPr>
      <w:r w:rsidRPr="00276713">
        <w:t>–</w:t>
      </w:r>
      <w:r w:rsidRPr="00276713">
        <w:tab/>
        <w:t xml:space="preserve">ņemot vērā Eiropas Parlamenta un Padomes 2010. gada 24. novembra Regulu (ES) </w:t>
      </w:r>
      <w:r w:rsidRPr="00276713">
        <w:lastRenderedPageBreak/>
        <w:t>Nr. 1094/2010, ar ko izveido Eiropas Uzraudzības iestādi (Eiropas Apdrošināšanas un aroda pensiju iestādi), groza Lēmumu Nr. 716/2009/EK un atceļ Komisijas Lēmumu 2009/79/EK</w:t>
      </w:r>
      <w:r w:rsidRPr="00276713">
        <w:rPr>
          <w:rStyle w:val="FootnoteReference"/>
        </w:rPr>
        <w:footnoteReference w:id="4"/>
      </w:r>
      <w:r w:rsidRPr="00276713">
        <w:t>, un jo īpaši tās 64. pantu,</w:t>
      </w:r>
    </w:p>
    <w:p w:rsidR="004918C5" w:rsidRPr="00276713" w:rsidRDefault="004918C5" w:rsidP="004918C5">
      <w:pPr>
        <w:pStyle w:val="NormalHanging12a"/>
      </w:pPr>
      <w:r w:rsidRPr="00276713">
        <w:t>–</w:t>
      </w:r>
      <w:r w:rsidRPr="00276713">
        <w:tab/>
        <w:t xml:space="preserve">ņemot vērā Komisijas 2018. gada 18. decembra Deleģēto regulu (ES) 2019/715 par finanšu </w:t>
      </w:r>
      <w:proofErr w:type="spellStart"/>
      <w:r w:rsidRPr="00276713">
        <w:t>pamatregulu</w:t>
      </w:r>
      <w:proofErr w:type="spellEnd"/>
      <w:r w:rsidRPr="00276713">
        <w:t xml:space="preserve"> struktūrām, kas izveidotas saskaņā ar LESD un </w:t>
      </w:r>
      <w:r w:rsidRPr="00276713">
        <w:rPr>
          <w:i/>
        </w:rPr>
        <w:t>Euratom</w:t>
      </w:r>
      <w:r w:rsidRPr="00276713">
        <w:t xml:space="preserve"> līgumu un minētas Eiropas Parlamenta un Padomes Regulas (ES, </w:t>
      </w:r>
      <w:r w:rsidRPr="00276713">
        <w:rPr>
          <w:i/>
        </w:rPr>
        <w:t>Euratom</w:t>
      </w:r>
      <w:r w:rsidRPr="00276713">
        <w:t>) 2018/1046 70. pantā</w:t>
      </w:r>
      <w:r w:rsidRPr="00276713">
        <w:rPr>
          <w:rStyle w:val="FootnoteReference"/>
        </w:rPr>
        <w:footnoteReference w:id="5"/>
      </w:r>
      <w:r w:rsidRPr="00276713">
        <w:t>, un jo īpaši tās 105. pantu,</w:t>
      </w:r>
    </w:p>
    <w:p w:rsidR="004918C5" w:rsidRPr="00276713" w:rsidRDefault="004918C5" w:rsidP="004918C5">
      <w:pPr>
        <w:pStyle w:val="NormalHanging12a"/>
      </w:pPr>
      <w:r w:rsidRPr="00276713">
        <w:t>–</w:t>
      </w:r>
      <w:r w:rsidRPr="00276713">
        <w:tab/>
        <w:t>ņemot vērā Reglamenta 100. pantu un V pielikumu,</w:t>
      </w:r>
    </w:p>
    <w:p w:rsidR="004918C5" w:rsidRPr="00276713" w:rsidRDefault="004918C5" w:rsidP="004918C5">
      <w:pPr>
        <w:pStyle w:val="NormalHanging12a"/>
      </w:pPr>
      <w:r w:rsidRPr="00276713">
        <w:t>–</w:t>
      </w:r>
      <w:r w:rsidRPr="00276713">
        <w:tab/>
        <w:t>ņemot vērā Budžeta kontroles komitejas ziņojumu (A9</w:t>
      </w:r>
      <w:r w:rsidRPr="00276713">
        <w:noBreakHyphen/>
        <w:t>0097/2024),</w:t>
      </w:r>
    </w:p>
    <w:p w:rsidR="004918C5" w:rsidRPr="00276713" w:rsidRDefault="004918C5" w:rsidP="004918C5">
      <w:pPr>
        <w:pStyle w:val="NormalHanging12a"/>
      </w:pPr>
      <w:r w:rsidRPr="00276713">
        <w:t>1.</w:t>
      </w:r>
      <w:r w:rsidRPr="00276713">
        <w:tab/>
        <w:t>sniedz Eiropas Apdrošināšanas un aroda pensiju iestādes izpilddirektoram apstiprinājumu par Iestādes 2022. finanšu gada budžeta izpildi;</w:t>
      </w:r>
    </w:p>
    <w:p w:rsidR="004918C5" w:rsidRPr="00276713" w:rsidRDefault="004918C5" w:rsidP="004918C5">
      <w:pPr>
        <w:pStyle w:val="NormalHanging12a"/>
      </w:pPr>
      <w:r w:rsidRPr="00276713">
        <w:t>2.</w:t>
      </w:r>
      <w:r w:rsidRPr="00276713">
        <w:tab/>
        <w:t>izklāsta savus konstatējumus turpmāk tekstā iekļautajā rezolūcijā;</w:t>
      </w:r>
    </w:p>
    <w:p w:rsidR="004918C5" w:rsidRPr="00276713" w:rsidRDefault="004918C5" w:rsidP="004918C5">
      <w:pPr>
        <w:pStyle w:val="NormalHanging12a"/>
      </w:pPr>
      <w:r w:rsidRPr="00276713">
        <w:t>3.</w:t>
      </w:r>
      <w:r w:rsidRPr="00276713">
        <w:tab/>
        <w:t xml:space="preserve">uzdod priekšsēdētājai šo lēmumu un rezolūciju, kas ir tā neatņemama daļa, nosūtīt Eiropas Apdrošināšanas un aroda pensiju iestādes izpilddirektoram, Padomei, Komisijai un Revīzijas palātai un nodrošināt to publicēšanu </w:t>
      </w:r>
      <w:r w:rsidRPr="00276713">
        <w:rPr>
          <w:i/>
        </w:rPr>
        <w:t>Eiropas Savienības Oficiālajā Vēstnesī</w:t>
      </w:r>
      <w:r w:rsidRPr="00276713">
        <w:t xml:space="preserve"> (L sērijā).</w:t>
      </w:r>
    </w:p>
    <w:p w:rsidR="004918C5" w:rsidRPr="00276713" w:rsidRDefault="004918C5" w:rsidP="004918C5"/>
    <w:p w:rsidR="004918C5" w:rsidRPr="00276713" w:rsidRDefault="004918C5" w:rsidP="004918C5">
      <w:pPr>
        <w:pStyle w:val="PageHeading"/>
        <w:sectPr w:rsidR="004918C5" w:rsidRPr="00276713" w:rsidSect="005F57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918C5" w:rsidRPr="00276713" w:rsidRDefault="004918C5" w:rsidP="0000521A">
      <w:pPr>
        <w:pStyle w:val="ATHeading3"/>
      </w:pPr>
      <w:bookmarkStart w:id="8" w:name="_Toc161933059"/>
      <w:r w:rsidRPr="00276713">
        <w:lastRenderedPageBreak/>
        <w:t xml:space="preserve">2. </w:t>
      </w:r>
      <w:bookmarkEnd w:id="8"/>
      <w:r w:rsidR="0000521A" w:rsidRPr="00276713">
        <w:t xml:space="preserve">Eiropas Parlamenta 2024. gada 11. aprīļa lēmums </w:t>
      </w:r>
      <w:r w:rsidRPr="00276713">
        <w:t>par Eiropas Apdrošināšanas un aroda pensiju iestādes 2022. finanšu gada pārskatu apstiprināšanu</w:t>
      </w:r>
      <w:r w:rsidR="0000521A" w:rsidRPr="00276713">
        <w:t xml:space="preserve"> </w:t>
      </w:r>
      <w:r w:rsidRPr="00276713">
        <w:t>(2023/2153(DEC))</w:t>
      </w:r>
    </w:p>
    <w:p w:rsidR="004918C5" w:rsidRPr="00276713" w:rsidRDefault="004918C5" w:rsidP="004918C5">
      <w:pPr>
        <w:pStyle w:val="EPComma"/>
      </w:pPr>
      <w:r w:rsidRPr="00276713">
        <w:rPr>
          <w:i/>
        </w:rPr>
        <w:t>Eiropas Parlaments</w:t>
      </w:r>
      <w:r w:rsidRPr="00276713">
        <w:t>,</w:t>
      </w:r>
    </w:p>
    <w:p w:rsidR="004918C5" w:rsidRPr="00276713" w:rsidRDefault="004918C5" w:rsidP="004918C5">
      <w:pPr>
        <w:pStyle w:val="NormalHanging12a"/>
      </w:pPr>
      <w:r w:rsidRPr="00276713">
        <w:t>–</w:t>
      </w:r>
      <w:r w:rsidRPr="00276713">
        <w:tab/>
        <w:t>ņemot vērā Eiropas Apdrošināšanas un aroda pensiju iestādes 2022. finanšu gada galīgos pārskatus,</w:t>
      </w:r>
    </w:p>
    <w:p w:rsidR="004918C5" w:rsidRPr="00276713" w:rsidRDefault="004918C5" w:rsidP="004918C5">
      <w:pPr>
        <w:pStyle w:val="NormalHanging12a"/>
      </w:pPr>
      <w:r w:rsidRPr="00276713">
        <w:t>–</w:t>
      </w:r>
      <w:r w:rsidRPr="00276713">
        <w:tab/>
        <w:t>ņemot vērā Revīzijas palātas gada ziņojumu par ES aģentūrām attiecībā uz 2022. finanšu gadu ar aģentūru atbildēm</w:t>
      </w:r>
      <w:r w:rsidRPr="00276713">
        <w:rPr>
          <w:rStyle w:val="FootnoteReference"/>
        </w:rPr>
        <w:footnoteReference w:id="6"/>
      </w:r>
      <w:r w:rsidRPr="00276713">
        <w:t>,</w:t>
      </w:r>
    </w:p>
    <w:p w:rsidR="004918C5" w:rsidRPr="00276713" w:rsidRDefault="004918C5" w:rsidP="004918C5">
      <w:pPr>
        <w:pStyle w:val="NormalHanging12a"/>
      </w:pPr>
      <w:r w:rsidRPr="00276713">
        <w:t>–</w:t>
      </w:r>
      <w:r w:rsidRPr="00276713">
        <w:tab/>
        <w:t>ņemot vērā deklarāciju</w:t>
      </w:r>
      <w:r w:rsidRPr="00276713">
        <w:rPr>
          <w:rStyle w:val="FootnoteReference"/>
        </w:rPr>
        <w:footnoteReference w:id="7"/>
      </w:r>
      <w:r w:rsidRPr="00276713">
        <w:t xml:space="preserve"> par pārskatu ticamību, kā arī par pakārtoto darījumu likumību un pareizību, kuru Revīzijas palāta sniegusi par 2022. finanšu gadu saskaņā ar Līguma par Eiropas Savienības darbību 287. pantu,</w:t>
      </w:r>
    </w:p>
    <w:p w:rsidR="004918C5" w:rsidRPr="00276713" w:rsidRDefault="004918C5" w:rsidP="004918C5">
      <w:pPr>
        <w:pStyle w:val="NormalHanging12a"/>
      </w:pPr>
      <w:r w:rsidRPr="00276713">
        <w:t>–</w:t>
      </w:r>
      <w:r w:rsidRPr="00276713">
        <w:tab/>
        <w:t>ņemot vērā Padomes 2024. gada 22. februāra ieteikumu par apstiprinājumu, ko sniedz Iestādei par 2022. finanšu gada budžeta izpildi (</w:t>
      </w:r>
      <w:r w:rsidR="0000521A" w:rsidRPr="00276713">
        <w:t>06180/2024 – C9</w:t>
      </w:r>
      <w:r w:rsidR="0029545B">
        <w:rPr>
          <w:sz w:val="20"/>
        </w:rPr>
        <w:t>-</w:t>
      </w:r>
      <w:bookmarkStart w:id="9" w:name="_GoBack"/>
      <w:bookmarkEnd w:id="9"/>
      <w:r w:rsidR="0000521A" w:rsidRPr="00276713">
        <w:t>0091/2024</w:t>
      </w:r>
      <w:r w:rsidRPr="00276713">
        <w:t>),</w:t>
      </w:r>
    </w:p>
    <w:p w:rsidR="004918C5" w:rsidRPr="00276713" w:rsidRDefault="004918C5" w:rsidP="004918C5">
      <w:pPr>
        <w:pStyle w:val="NormalHanging12a"/>
      </w:pPr>
      <w:r w:rsidRPr="00276713">
        <w:t>–</w:t>
      </w:r>
      <w:r w:rsidRPr="00276713">
        <w:tab/>
        <w:t>ņemot vērā Līguma par Eiropas Savienības darbību 319. pantu,</w:t>
      </w:r>
    </w:p>
    <w:p w:rsidR="004918C5" w:rsidRPr="00276713" w:rsidRDefault="004918C5" w:rsidP="004918C5">
      <w:pPr>
        <w:pStyle w:val="NormalHanging12a"/>
      </w:pPr>
      <w:r w:rsidRPr="00276713">
        <w:t>–</w:t>
      </w:r>
      <w:r w:rsidRPr="00276713">
        <w:tab/>
        <w:t xml:space="preserve">ņemot vērā Eiropas Parlamenta un Padomes 2018. gada 18. jūlija Regulu (ES, </w:t>
      </w:r>
      <w:r w:rsidRPr="00276713">
        <w:rPr>
          <w:i/>
        </w:rPr>
        <w:t>Euratom</w:t>
      </w:r>
      <w:r w:rsidRPr="00276713">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276713">
        <w:rPr>
          <w:i/>
        </w:rPr>
        <w:t>Euratom</w:t>
      </w:r>
      <w:r w:rsidRPr="00276713">
        <w:t>) Nr. 966/2012</w:t>
      </w:r>
      <w:r w:rsidRPr="00276713">
        <w:rPr>
          <w:rStyle w:val="FootnoteReference"/>
        </w:rPr>
        <w:footnoteReference w:id="8"/>
      </w:r>
      <w:r w:rsidRPr="00276713">
        <w:t>, un jo īpaši tās 70. pantu,</w:t>
      </w:r>
    </w:p>
    <w:p w:rsidR="004918C5" w:rsidRPr="00276713" w:rsidRDefault="004918C5" w:rsidP="004918C5">
      <w:pPr>
        <w:pStyle w:val="NormalHanging12a"/>
      </w:pPr>
      <w:r w:rsidRPr="00276713">
        <w:t>–</w:t>
      </w:r>
      <w:r w:rsidRPr="00276713">
        <w:tab/>
        <w:t>ņemot vērā Eiropas Parlamenta un Padomes 2010. gada 24. novembra Regulu (ES) Nr. 1094/2010, ar ko izveido Eiropas Uzraudzības iestādi (Eiropas Apdrošināšanas un aroda pensiju iestādi), groza Lēmumu Nr. 716/2009/EK un atceļ Komisijas Lēmumu 2009/79/EK</w:t>
      </w:r>
      <w:r w:rsidRPr="00276713">
        <w:rPr>
          <w:rStyle w:val="FootnoteReference"/>
        </w:rPr>
        <w:footnoteReference w:id="9"/>
      </w:r>
      <w:r w:rsidRPr="00276713">
        <w:t>, un jo īpaši tās 64. pantu,</w:t>
      </w:r>
    </w:p>
    <w:p w:rsidR="004918C5" w:rsidRPr="00276713" w:rsidRDefault="004918C5" w:rsidP="004918C5">
      <w:pPr>
        <w:pStyle w:val="NormalHanging12a"/>
      </w:pPr>
      <w:r w:rsidRPr="00276713">
        <w:t>–</w:t>
      </w:r>
      <w:r w:rsidRPr="00276713">
        <w:tab/>
        <w:t xml:space="preserve">ņemot vērā Komisijas 2018. gada 18. decembra Deleģēto regulu (ES) 2019/715 par finanšu </w:t>
      </w:r>
      <w:proofErr w:type="spellStart"/>
      <w:r w:rsidRPr="00276713">
        <w:t>pamatregulu</w:t>
      </w:r>
      <w:proofErr w:type="spellEnd"/>
      <w:r w:rsidRPr="00276713">
        <w:t xml:space="preserve"> struktūrām, kas izveidotas saskaņā ar LESD un </w:t>
      </w:r>
      <w:r w:rsidRPr="00276713">
        <w:rPr>
          <w:i/>
        </w:rPr>
        <w:t>Euratom</w:t>
      </w:r>
      <w:r w:rsidRPr="00276713">
        <w:t xml:space="preserve"> līgumu un minētas Eiropas Parlamenta un Padomes Regulas (ES, </w:t>
      </w:r>
      <w:r w:rsidRPr="00276713">
        <w:rPr>
          <w:i/>
        </w:rPr>
        <w:t>Euratom</w:t>
      </w:r>
      <w:r w:rsidRPr="00276713">
        <w:t>) 2018/1046 70. pantā</w:t>
      </w:r>
      <w:r w:rsidRPr="00276713">
        <w:rPr>
          <w:rStyle w:val="FootnoteReference"/>
        </w:rPr>
        <w:footnoteReference w:id="10"/>
      </w:r>
      <w:r w:rsidRPr="00276713">
        <w:t>, un jo īpaši tās 105. pantu,</w:t>
      </w:r>
    </w:p>
    <w:p w:rsidR="004918C5" w:rsidRPr="00276713" w:rsidRDefault="004918C5" w:rsidP="004918C5">
      <w:pPr>
        <w:pStyle w:val="NormalHanging12a"/>
      </w:pPr>
      <w:r w:rsidRPr="00276713">
        <w:t>–</w:t>
      </w:r>
      <w:r w:rsidRPr="00276713">
        <w:tab/>
        <w:t>ņemot vērā Reglamenta 100. pantu un V pielikumu,</w:t>
      </w:r>
    </w:p>
    <w:p w:rsidR="004918C5" w:rsidRPr="00276713" w:rsidRDefault="004918C5" w:rsidP="004918C5">
      <w:pPr>
        <w:pStyle w:val="NormalHanging12a"/>
      </w:pPr>
      <w:r w:rsidRPr="00276713">
        <w:t>–</w:t>
      </w:r>
      <w:r w:rsidRPr="00276713">
        <w:tab/>
        <w:t>ņemot vērā Budžeta kontroles komitejas ziņojumu (A9</w:t>
      </w:r>
      <w:r w:rsidRPr="00276713">
        <w:noBreakHyphen/>
        <w:t>0097/2024),</w:t>
      </w:r>
    </w:p>
    <w:p w:rsidR="004918C5" w:rsidRPr="00276713" w:rsidRDefault="004918C5" w:rsidP="004918C5">
      <w:pPr>
        <w:pStyle w:val="NormalHanging12a"/>
      </w:pPr>
      <w:r w:rsidRPr="00276713">
        <w:t>1.</w:t>
      </w:r>
      <w:r w:rsidRPr="00276713">
        <w:tab/>
        <w:t>apstiprina Eiropas Apdrošināšanas un aroda pensiju iestādes 2022. finanšu gada pārskatus;</w:t>
      </w:r>
    </w:p>
    <w:p w:rsidR="004918C5" w:rsidRPr="00276713" w:rsidRDefault="004918C5" w:rsidP="004918C5">
      <w:pPr>
        <w:pStyle w:val="NormalHanging12a"/>
      </w:pPr>
      <w:r w:rsidRPr="00276713">
        <w:t>2.</w:t>
      </w:r>
      <w:r w:rsidRPr="00276713">
        <w:tab/>
        <w:t xml:space="preserve">uzdod priekšsēdētājai šo lēmumu nosūtīt Eiropas Apdrošināšanas un aroda pensiju iestādes izpilddirektoram, Padomei, Komisijai un Revīzijas palātai un nodrošināt tā publicēšanu </w:t>
      </w:r>
      <w:r w:rsidRPr="00276713">
        <w:rPr>
          <w:i/>
        </w:rPr>
        <w:t>Eiropas Savienības Oficiālajā Vēstnesī</w:t>
      </w:r>
      <w:r w:rsidRPr="00276713">
        <w:t xml:space="preserve"> (L sērijā).</w:t>
      </w:r>
    </w:p>
    <w:p w:rsidR="004918C5" w:rsidRPr="00276713" w:rsidRDefault="004918C5" w:rsidP="004918C5"/>
    <w:p w:rsidR="004918C5" w:rsidRPr="00276713" w:rsidRDefault="004918C5" w:rsidP="004918C5">
      <w:pPr>
        <w:pStyle w:val="PageHeading"/>
        <w:sectPr w:rsidR="004918C5" w:rsidRPr="00276713" w:rsidSect="005F5734">
          <w:footnotePr>
            <w:numRestart w:val="eachPage"/>
          </w:footnotePr>
          <w:endnotePr>
            <w:numFmt w:val="decimal"/>
          </w:endnotePr>
          <w:pgSz w:w="11906" w:h="16838" w:code="9"/>
          <w:pgMar w:top="1134" w:right="1418" w:bottom="1418" w:left="1418" w:header="567" w:footer="567" w:gutter="0"/>
          <w:cols w:space="720"/>
          <w:noEndnote/>
          <w:docGrid w:linePitch="326"/>
        </w:sectPr>
      </w:pPr>
    </w:p>
    <w:p w:rsidR="004918C5" w:rsidRPr="00276713" w:rsidRDefault="004918C5" w:rsidP="0000521A">
      <w:pPr>
        <w:pStyle w:val="ATHeading3"/>
      </w:pPr>
      <w:bookmarkStart w:id="10" w:name="_Toc161933060"/>
      <w:r w:rsidRPr="00276713">
        <w:t xml:space="preserve">3. </w:t>
      </w:r>
      <w:bookmarkEnd w:id="10"/>
      <w:r w:rsidR="0000521A" w:rsidRPr="00276713">
        <w:t xml:space="preserve">Eiropas Parlamenta 2024. gada 11. aprīļa rezolūcija </w:t>
      </w:r>
      <w:r w:rsidRPr="00276713">
        <w:t>ar konstatējumiem, kas ir neatņemama daļa no lēmuma par Eiropas Apdrošināšanas un aroda pensiju iestādes 2022. finanšu gada budžeta izpildes apstiprināšanu</w:t>
      </w:r>
      <w:r w:rsidR="0000521A" w:rsidRPr="00276713">
        <w:t xml:space="preserve"> </w:t>
      </w:r>
      <w:r w:rsidRPr="00276713">
        <w:t>(2023/2153(DEC))</w:t>
      </w:r>
    </w:p>
    <w:p w:rsidR="004918C5" w:rsidRPr="00276713" w:rsidRDefault="004918C5" w:rsidP="004918C5">
      <w:pPr>
        <w:pStyle w:val="EPComma"/>
      </w:pPr>
      <w:r w:rsidRPr="00276713">
        <w:rPr>
          <w:i/>
        </w:rPr>
        <w:t>Eiropas Parlaments</w:t>
      </w:r>
      <w:r w:rsidRPr="00276713">
        <w:t>,</w:t>
      </w:r>
    </w:p>
    <w:p w:rsidR="004918C5" w:rsidRPr="00276713" w:rsidRDefault="004918C5" w:rsidP="004918C5">
      <w:pPr>
        <w:pStyle w:val="NormalHanging12a"/>
      </w:pPr>
      <w:r w:rsidRPr="00276713">
        <w:t>–</w:t>
      </w:r>
      <w:r w:rsidRPr="00276713">
        <w:tab/>
        <w:t>ņemot vērā lēmumu par Eiropas Apdrošināšanas un aroda pensiju iestādes 2022. finanšu gada budžeta izpildes apstiprināšanu,</w:t>
      </w:r>
    </w:p>
    <w:p w:rsidR="004918C5" w:rsidRPr="00276713" w:rsidRDefault="004918C5" w:rsidP="004918C5">
      <w:pPr>
        <w:pStyle w:val="NormalHanging12a"/>
      </w:pPr>
      <w:r w:rsidRPr="00276713">
        <w:t>–</w:t>
      </w:r>
      <w:r w:rsidRPr="00276713">
        <w:tab/>
        <w:t>ņemot vērā Reglamenta 100. pantu un V pielikumu,</w:t>
      </w:r>
    </w:p>
    <w:p w:rsidR="004918C5" w:rsidRPr="00276713" w:rsidRDefault="004918C5" w:rsidP="004918C5">
      <w:pPr>
        <w:pStyle w:val="NormalHanging12a"/>
      </w:pPr>
      <w:r w:rsidRPr="00276713">
        <w:t>–</w:t>
      </w:r>
      <w:r w:rsidRPr="00276713">
        <w:tab/>
        <w:t>ņemot vērā Budžeta kontroles komitejas ziņojumu (A9</w:t>
      </w:r>
      <w:r w:rsidRPr="00276713">
        <w:noBreakHyphen/>
        <w:t>0097/2024),</w:t>
      </w:r>
    </w:p>
    <w:p w:rsidR="004918C5" w:rsidRPr="00276713" w:rsidRDefault="004918C5" w:rsidP="004918C5">
      <w:pPr>
        <w:widowControl/>
        <w:spacing w:after="240"/>
        <w:ind w:left="567" w:hanging="567"/>
        <w:rPr>
          <w:szCs w:val="24"/>
        </w:rPr>
      </w:pPr>
      <w:r w:rsidRPr="00276713">
        <w:t>A.</w:t>
      </w:r>
      <w:r w:rsidRPr="00276713">
        <w:tab/>
        <w:t>tā kā saskaņā ar Eiropas Apdrošināšanas un aroda pensiju iestādes (“Iestāde”) ieņēmumu un izdevumu pārskatu</w:t>
      </w:r>
      <w:r w:rsidRPr="00276713">
        <w:rPr>
          <w:rStyle w:val="FootnoteReference"/>
          <w:szCs w:val="24"/>
        </w:rPr>
        <w:footnoteReference w:id="11"/>
      </w:r>
      <w:r w:rsidRPr="00276713">
        <w:t xml:space="preserve"> tās 2022. finanšu gada galīgais budžets bija 34 571 120 EUR, kas ir par 5,27 % vairāk nekā 2021. gadā; tā kā Iestādi finansē ar Savienības iemaksu (12 140 600 EUR jeb 37,40 %) un dalībvalstu uzraudzības iestāžu iemaksām (21 076 120 EUR jeb 60,96 %);</w:t>
      </w:r>
    </w:p>
    <w:p w:rsidR="004918C5" w:rsidRPr="00276713" w:rsidRDefault="004918C5" w:rsidP="004918C5">
      <w:pPr>
        <w:widowControl/>
        <w:spacing w:after="240"/>
        <w:ind w:left="567" w:hanging="567"/>
        <w:rPr>
          <w:szCs w:val="24"/>
        </w:rPr>
      </w:pPr>
      <w:r w:rsidRPr="00276713">
        <w:t>B.</w:t>
      </w:r>
      <w:r w:rsidRPr="00276713">
        <w:tab/>
        <w:t>tā kā Revīzijas palāta ziņojumā par Eiropas Apdrošināšanas un aroda pensiju iestādes 2022. finanšu gada pārskatiem (“Revīzijas palātas ziņojums”) norāda, ka tā ir guvusi pamatotu pārliecību par to, ka Iestādes gada pārskati ir ticami un ka pakārtotie darījumi ir likumīgi un pareizi,</w:t>
      </w:r>
    </w:p>
    <w:p w:rsidR="004918C5" w:rsidRPr="00276713" w:rsidRDefault="004918C5" w:rsidP="004918C5">
      <w:pPr>
        <w:widowControl/>
        <w:spacing w:after="240"/>
        <w:ind w:left="567" w:hanging="567"/>
        <w:rPr>
          <w:b/>
          <w:i/>
          <w:szCs w:val="24"/>
        </w:rPr>
      </w:pPr>
      <w:r w:rsidRPr="00276713">
        <w:rPr>
          <w:b/>
          <w:i/>
        </w:rPr>
        <w:t>Budžeta un finanšu pārvaldība</w:t>
      </w:r>
    </w:p>
    <w:p w:rsidR="004918C5" w:rsidRPr="00276713" w:rsidRDefault="004918C5" w:rsidP="004918C5">
      <w:pPr>
        <w:widowControl/>
        <w:spacing w:after="240"/>
        <w:ind w:left="567" w:hanging="567"/>
        <w:rPr>
          <w:szCs w:val="24"/>
        </w:rPr>
      </w:pPr>
      <w:r w:rsidRPr="00276713">
        <w:t>1.</w:t>
      </w:r>
      <w:r w:rsidRPr="00276713">
        <w:tab/>
        <w:t>ar gandarījumu atzīmē, ka 2022. finanšu gadā veiktās budžeta uzraudzības rezultātā budžeta izpildes līmenis bija 99,46 %, t. i., par 0,52 % zemāks nekā 2021. gadā; tomēr konstatē, ka maksājumu apropriāciju izpildes līmenis bija 92,07 %, kas ir par 12,95 % vairāk nekā 2021. gadā;</w:t>
      </w:r>
    </w:p>
    <w:p w:rsidR="004918C5" w:rsidRPr="00276713" w:rsidRDefault="004918C5" w:rsidP="004918C5">
      <w:pPr>
        <w:widowControl/>
        <w:spacing w:after="240"/>
        <w:ind w:left="567" w:hanging="567"/>
        <w:rPr>
          <w:szCs w:val="24"/>
        </w:rPr>
      </w:pPr>
      <w:r w:rsidRPr="00276713">
        <w:rPr>
          <w:b/>
          <w:i/>
        </w:rPr>
        <w:t>Darbības rezultāti</w:t>
      </w:r>
    </w:p>
    <w:p w:rsidR="004918C5" w:rsidRPr="00276713" w:rsidRDefault="004918C5" w:rsidP="004918C5">
      <w:pPr>
        <w:widowControl/>
        <w:spacing w:after="240"/>
        <w:ind w:left="567" w:hanging="567"/>
        <w:rPr>
          <w:szCs w:val="24"/>
        </w:rPr>
      </w:pPr>
      <w:r w:rsidRPr="00276713">
        <w:t>2.</w:t>
      </w:r>
      <w:r w:rsidRPr="00276713">
        <w:tab/>
        <w:t xml:space="preserve">pieņem zināšanai to, ka Iestāde izmanto tādus konkrētus kritērijus kā galvenie snieguma rādītāji savu darbību pievienotās vērtības novērtēšanai un citus kritērijus budžeta pārvaldības uzlabošanai; norāda, ka 2022. gadā Iestāde noteica 17 stratēģiskā līmeņa mērķus attiecībā uz sniegumu tās darba septiņās galvenajās jomās; ar gandarījumu pieņem zināšanai, ka Iestāde ir sasniegusi vai pārsniegusi 15 no šiem </w:t>
      </w:r>
      <w:proofErr w:type="spellStart"/>
      <w:r w:rsidRPr="00276713">
        <w:t>mērķrādītājiem</w:t>
      </w:r>
      <w:proofErr w:type="spellEnd"/>
      <w:r w:rsidRPr="00276713">
        <w:t xml:space="preserve">, savukārt divi pārējie </w:t>
      </w:r>
      <w:proofErr w:type="spellStart"/>
      <w:r w:rsidRPr="00276713">
        <w:t>mērķrādītāji</w:t>
      </w:r>
      <w:proofErr w:type="spellEnd"/>
      <w:r w:rsidRPr="00276713">
        <w:t xml:space="preserve"> tika uzskatīti par nepiemērojamiem, lai par to ziņotu sakarā ar to atkarību no Digitālās darbības noturības akta (</w:t>
      </w:r>
      <w:r w:rsidRPr="00276713">
        <w:rPr>
          <w:i/>
          <w:iCs/>
        </w:rPr>
        <w:t>DORA</w:t>
      </w:r>
      <w:r w:rsidRPr="00276713">
        <w:t>) tiesību aktu termiņiem un tehnoloģiskajiem traucējumiem;</w:t>
      </w:r>
    </w:p>
    <w:p w:rsidR="004918C5" w:rsidRPr="00276713" w:rsidRDefault="004918C5" w:rsidP="004918C5">
      <w:pPr>
        <w:widowControl/>
        <w:spacing w:after="240"/>
        <w:ind w:left="567" w:hanging="567"/>
        <w:rPr>
          <w:szCs w:val="24"/>
        </w:rPr>
      </w:pPr>
      <w:r w:rsidRPr="00276713">
        <w:t>3.</w:t>
      </w:r>
      <w:r w:rsidRPr="00276713">
        <w:tab/>
        <w:t>konstatē, ka 342 produkti un pakalpojumi, kas veido 91 % no kopējā apjoma, tika piegādāti, kā to bija plānojusi Iestāde, vēl 20 produkti un pakalpojumi ar nelielu kavēšanos un 13 produkti un pakalpojumi netika virzīti uz priekšu, bieži vien tāpēc, ka tie bija atkarīgi no leģislatīvo lēmumu savlaicīguma, piemēram, “Maksātspēja II” pārskatīšanas, vai no tehnoloģiju attīstības tirgū, kā arī konkurējošām prioritātēm; pauž atzinību Iestādei par to, ka tās publisko uzstāšanās skaits ir palielinājies no 167 2021. gadā līdz 214 2022. gadā;</w:t>
      </w:r>
    </w:p>
    <w:p w:rsidR="004918C5" w:rsidRPr="00276713" w:rsidRDefault="004918C5" w:rsidP="004918C5">
      <w:pPr>
        <w:widowControl/>
        <w:spacing w:after="240"/>
        <w:ind w:left="567" w:hanging="567"/>
        <w:rPr>
          <w:szCs w:val="24"/>
        </w:rPr>
      </w:pPr>
      <w:r w:rsidRPr="00276713">
        <w:t>4.</w:t>
      </w:r>
      <w:r w:rsidRPr="00276713">
        <w:tab/>
        <w:t xml:space="preserve">atzīst Iestādes daudzos sasniegumus 2022. gadā, lielā mērā izpildot savus mērķus uzraudzības konverģences, patērētāju aizsardzības un finanšu stabilitātes jomā; jo īpaši pieņem zināšanai, ka Iestāde veica pirmo AKUI klimata stresa testu, lai gūtu ieskatu par vides risku ietekmi uz Eiropas profesiju pensiju nozari, un iesniedza Komisijai īstenošanas tehniskos standartus, kuros noteiktas uzraudzības pārskatu sniegšanas un informācijas atklāšanas prasības saskaņā ar direktīvu “Maksātspēja II”, publicēja vairākus dokumentus, ziņojumus un norādījumus par ilgtspējas risku integrēšanu apdrošinātāju, </w:t>
      </w:r>
      <w:proofErr w:type="spellStart"/>
      <w:r w:rsidRPr="00276713">
        <w:t>pārapdrošinātāju</w:t>
      </w:r>
      <w:proofErr w:type="spellEnd"/>
      <w:r w:rsidRPr="00276713">
        <w:t xml:space="preserve"> un aroda pensiju fondu riska pārvaldībā un sniedza abiem likumdevējiem ieguldījumu un tehniskas konsultācijas likumdošanas procesā attiecībā uz Mākslīgā intelekta aktu un DORA; atzinīgi vērtē Iestādes dažādās iniciatīvas un darbības digitālās pārveides jomā, kas sniedza atbalstu Savienības digitālā finansējuma stratēģijas mērķiem, tostarp kopā ar vairākām ieinteresētajām personām, piemēram, Eiropas Universitātes institūtu, sniedzot ieguldījumu ES Digitālās finanšu uzraudzības akadēmijas izveidē;</w:t>
      </w:r>
    </w:p>
    <w:p w:rsidR="004918C5" w:rsidRPr="00276713" w:rsidRDefault="004918C5" w:rsidP="004918C5">
      <w:pPr>
        <w:widowControl/>
        <w:spacing w:after="240"/>
        <w:ind w:left="567" w:hanging="567"/>
        <w:rPr>
          <w:szCs w:val="24"/>
        </w:rPr>
      </w:pPr>
      <w:r w:rsidRPr="00276713">
        <w:t>5.</w:t>
      </w:r>
      <w:r w:rsidRPr="00276713">
        <w:tab/>
        <w:t xml:space="preserve">pieņem zināšanai to, ka Iestāde pirmo reizi izmantoja vairākas pilnvaras un instrumentus, kas tai piešķirti ar EAAPI regulu; šajā sakarā pieņem zināšanai to, ka 2022. gadā Iestāde Slovākijas valsts bankai (SVB) izdeva ieteikumu, ņemot vērā Iestādes secinājumus, ka no uzraudzības viedokļa nav pienācīgi risināts kapitāla prasību pārkāpums, ko bija pieļāvusi Slovākijas apdrošināšanas sabiedrība; turklāt ar bažām pieņem zināšanai to, ka Iestāde konstatēja, ka SVB pārkāpj Savienības tiesību aktus, un tāpēc Komisija sniedza oficiālu atzinumu, pieprasot tai veikt nepieciešamos pasākumus, lai nodrošinātu atbilstību Savienības tiesību aktiem, un tika veikta izmeklēšana, pamatojoties uz EAAPI regulas 22. pantu; aicina Iestādi pastāvīgi informēt budžeta izpildes </w:t>
      </w:r>
      <w:proofErr w:type="spellStart"/>
      <w:r w:rsidRPr="00276713">
        <w:t>apstiprinātājiestādi</w:t>
      </w:r>
      <w:proofErr w:type="spellEnd"/>
      <w:r w:rsidRPr="00276713">
        <w:t xml:space="preserve"> par turpmākajiem pasākumiem saistībā ar šo izmeklēšanu un tās rezultātiem;</w:t>
      </w:r>
    </w:p>
    <w:p w:rsidR="004918C5" w:rsidRPr="00276713" w:rsidRDefault="004918C5" w:rsidP="004918C5">
      <w:pPr>
        <w:widowControl/>
        <w:spacing w:after="240"/>
        <w:ind w:left="567" w:hanging="567"/>
        <w:rPr>
          <w:szCs w:val="24"/>
        </w:rPr>
      </w:pPr>
      <w:r w:rsidRPr="00276713">
        <w:t>6.</w:t>
      </w:r>
      <w:r w:rsidRPr="00276713">
        <w:tab/>
        <w:t xml:space="preserve">pieņem zināšanai to, ka Iestāde palīdzēja nodrošināt finanšu stabilitāti un aizsargāt patērētājus, rūpīgi uzraugot tirgus un novērtējot ietekmi jaunajā kontekstā, ko radīja Krievijas neprovocētais un nelikumīgais iebrukums Ukrainā un pakāpeniskā monetārā politika, reaģējot uz </w:t>
      </w:r>
      <w:proofErr w:type="spellStart"/>
      <w:r w:rsidRPr="00276713">
        <w:t>rekordaugsto</w:t>
      </w:r>
      <w:proofErr w:type="spellEnd"/>
      <w:r w:rsidRPr="00276713">
        <w:t xml:space="preserve"> inflācijas līmeni visā Eiropā; atzinīgi vērtē to, ka 2022. gadā savlaicīgi tika publicēts uzraudzības paziņojums par inflāciju, galveno uzmanību pievēršot tam, kā inflācija ietekmē tehniskās rezerves, ieguldījumus un maksātspējas kapitāla prasības;</w:t>
      </w:r>
    </w:p>
    <w:p w:rsidR="004918C5" w:rsidRPr="00276713" w:rsidRDefault="004918C5" w:rsidP="004918C5">
      <w:pPr>
        <w:pStyle w:val="NormalHanging12a"/>
      </w:pPr>
      <w:r w:rsidRPr="00276713">
        <w:t>7.</w:t>
      </w:r>
      <w:r w:rsidRPr="00276713">
        <w:tab/>
        <w:t>pieņem zināšanai to, ka 2022. gada septembrī Iestāde izklāstīja savu stratēģiju 2023.–2026. gadam, kurā tā ir noteikusi stratēģiskās prioritātes, tostarp apdrošināšanas un pensiju nozares noturības un ilgtspējas stiprināšanu un patērētāju interešu stingras un konsekventas aizsardzības nodrošināšanu visā Savienībā;</w:t>
      </w:r>
    </w:p>
    <w:p w:rsidR="004918C5" w:rsidRPr="00276713" w:rsidRDefault="004918C5" w:rsidP="004918C5">
      <w:pPr>
        <w:widowControl/>
        <w:spacing w:after="240"/>
        <w:ind w:left="567" w:hanging="567"/>
        <w:rPr>
          <w:b/>
          <w:i/>
          <w:szCs w:val="24"/>
        </w:rPr>
      </w:pPr>
      <w:r w:rsidRPr="00276713">
        <w:rPr>
          <w:b/>
          <w:i/>
        </w:rPr>
        <w:t>Efektivitāte un ieguvumi</w:t>
      </w:r>
    </w:p>
    <w:p w:rsidR="004918C5" w:rsidRPr="00276713" w:rsidRDefault="004918C5" w:rsidP="004918C5">
      <w:pPr>
        <w:widowControl/>
        <w:spacing w:after="240"/>
        <w:ind w:left="567" w:hanging="567"/>
        <w:rPr>
          <w:rFonts w:cstheme="minorHAnsi"/>
        </w:rPr>
      </w:pPr>
      <w:r w:rsidRPr="00276713">
        <w:t>8.</w:t>
      </w:r>
      <w:r w:rsidRPr="00276713">
        <w:tab/>
        <w:t xml:space="preserve">pieņem zināšanai to, ka Eiropas uzraudzības iestādes (EUI) koordinē, apmainās un atbalsta viena otru daudzās jomās gan pamatdarbības, gan atbalsta jomās; atzinīgi vērtē to, ka EUI apvienoja spēkus tādās stratēģiskās iniciatīvās kā lietojumprogrammu izstrāde, tīkla infrastruktūra un IT konsultācijas, piemēram, kopīgi izmantojot vienus un tos pašus piegādātājus; šajā sakarā pieņem zināšanai to, ka Iestādes </w:t>
      </w:r>
      <w:proofErr w:type="spellStart"/>
      <w:r w:rsidRPr="00276713">
        <w:t>mākoņdatošanas</w:t>
      </w:r>
      <w:proofErr w:type="spellEnd"/>
      <w:r w:rsidRPr="00276713">
        <w:t xml:space="preserve"> stratēģija, kas tika apstiprināta 2022. gadā, tika izstrādāta kopā ar abām pārējām EUI, citām Savienības iestādēm un valstu kompetentajām iestādēm (VKI) un tās mērķis ir nodrošināt autonomākus, automatizētus un pašapkalpošanās produktus Iestādes ekspertu un VKI vajadzībām;</w:t>
      </w:r>
    </w:p>
    <w:p w:rsidR="004918C5" w:rsidRPr="00276713" w:rsidRDefault="004918C5" w:rsidP="004918C5">
      <w:pPr>
        <w:widowControl/>
        <w:spacing w:after="240"/>
        <w:ind w:left="567" w:hanging="567"/>
        <w:rPr>
          <w:rFonts w:cstheme="minorHAnsi"/>
        </w:rPr>
      </w:pPr>
      <w:r w:rsidRPr="00276713">
        <w:t>9.</w:t>
      </w:r>
      <w:r w:rsidRPr="00276713">
        <w:tab/>
        <w:t>atzinīgi vērtē Iestādes ieguldījumus un personāla piešķiršanu projektiem digitālās pārveides jomā, lai sasniegtu jaunu efektivitātes līmeni, automatizējot un racionalizējot uzņēmējdarbības procesus un uzlabojot laiku līdz laišanai tirgū un sadarbību funkciju ietvaros un starp tām; šajā sakarā atzinīgi vērtē Iestādes 2022. gadā īstenotos projektus, kuros galvenā uzmanība pievērsta datu analīzes spēju uzlabošanai, lai sasniegtu mērķi padarīt Iestādi par pilnībā digitālu, uz datiem balstītu organizāciju;</w:t>
      </w:r>
    </w:p>
    <w:p w:rsidR="004918C5" w:rsidRPr="00276713" w:rsidRDefault="004918C5" w:rsidP="004918C5">
      <w:pPr>
        <w:pStyle w:val="NormalHanging12a"/>
      </w:pPr>
      <w:r w:rsidRPr="00276713">
        <w:t>10.</w:t>
      </w:r>
      <w:r w:rsidRPr="00276713">
        <w:tab/>
        <w:t xml:space="preserve">konstatē, ka attiecībā uz ikdienas darbības praksi Iestāde ir īstenojusi virkni pasākumu, lai uzlabotu izmaksu efektivitāti, piemēram, </w:t>
      </w:r>
      <w:proofErr w:type="spellStart"/>
      <w:r w:rsidRPr="00276713">
        <w:t>hibrīddarbu</w:t>
      </w:r>
      <w:proofErr w:type="spellEnd"/>
      <w:r w:rsidRPr="00276713">
        <w:t xml:space="preserve">, dokumentu koplietošanu, kā arī mūsdienīgus videokonferenču risinājumus, kas ir veicinājuši darījumu braucienu skaita samazināšanos; pieņem zināšanai to, ka, lai saglabātu institucionālās zināšanas, speciālās zināšanas un efektivitāti galveno uzdevumu izpildē, Iestāde turpināja uzlabot savu integrēto talantu pārvaldības sistēmu, kas ļauj nodrošināt stratēģiski saskaņotus cilvēkresursu procesus, kandidātu labāku sagādi un aktīvāku mācīšanos un attīstību; aicina Iestādi sniegt budžeta izpildes </w:t>
      </w:r>
      <w:proofErr w:type="spellStart"/>
      <w:r w:rsidRPr="00276713">
        <w:t>apstiprinātājiestādei</w:t>
      </w:r>
      <w:proofErr w:type="spellEnd"/>
      <w:r w:rsidRPr="00276713">
        <w:t xml:space="preserve"> datus un skaitļus par šīs sistēmas ietekmi;</w:t>
      </w:r>
    </w:p>
    <w:p w:rsidR="004918C5" w:rsidRPr="00276713" w:rsidRDefault="004918C5" w:rsidP="004918C5">
      <w:pPr>
        <w:widowControl/>
        <w:spacing w:after="240"/>
        <w:ind w:left="567" w:hanging="567"/>
        <w:rPr>
          <w:rFonts w:cstheme="minorHAnsi"/>
          <w:iCs/>
        </w:rPr>
      </w:pPr>
      <w:r w:rsidRPr="00276713">
        <w:t>11.</w:t>
      </w:r>
      <w:r w:rsidRPr="00276713">
        <w:tab/>
        <w:t xml:space="preserve">pēc iepazīšanās ar Revīzijas palātas ziņojumu pieņem zināšanai to, ka Iestāde ir viena no tām aģentūrām, kurām ir korporatīvs plāns, kā uzlabot savu darbību energoefektivitāti un </w:t>
      </w:r>
      <w:proofErr w:type="spellStart"/>
      <w:r w:rsidRPr="00276713">
        <w:t>klimatneitralitāti</w:t>
      </w:r>
      <w:proofErr w:type="spellEnd"/>
      <w:r w:rsidRPr="00276713">
        <w:t xml:space="preserve">, un tā sniedz vides deklarāciju (piemēram, par ziņošanu par oglekļa pēdu), kas ir daļa no to gada darbības pārskatiem; turklāt atzinīgi vērtē to, ka Iestādei 2022. gadā bija </w:t>
      </w:r>
      <w:r w:rsidRPr="00276713">
        <w:rPr>
          <w:i/>
        </w:rPr>
        <w:t>EMAS</w:t>
      </w:r>
      <w:r w:rsidRPr="00276713">
        <w:t xml:space="preserve"> (Eiropas Savienības vides vadības un audita sistēma) sertifikācija nolūkā 2023. gadā panākt oficiālu </w:t>
      </w:r>
      <w:r w:rsidRPr="00276713">
        <w:rPr>
          <w:i/>
        </w:rPr>
        <w:t>EMAS</w:t>
      </w:r>
      <w:r w:rsidRPr="00276713">
        <w:t xml:space="preserve"> akreditāciju;</w:t>
      </w:r>
    </w:p>
    <w:p w:rsidR="004918C5" w:rsidRPr="00276713" w:rsidRDefault="004918C5" w:rsidP="004918C5">
      <w:pPr>
        <w:widowControl/>
        <w:spacing w:after="240"/>
        <w:ind w:left="567" w:hanging="567"/>
        <w:rPr>
          <w:b/>
          <w:i/>
          <w:szCs w:val="24"/>
        </w:rPr>
      </w:pPr>
      <w:r w:rsidRPr="00276713">
        <w:rPr>
          <w:b/>
          <w:i/>
        </w:rPr>
        <w:t>Personāla politika</w:t>
      </w:r>
    </w:p>
    <w:p w:rsidR="004918C5" w:rsidRPr="00276713" w:rsidRDefault="004918C5" w:rsidP="004918C5">
      <w:pPr>
        <w:widowControl/>
        <w:spacing w:after="240"/>
        <w:ind w:left="567" w:hanging="567"/>
        <w:rPr>
          <w:szCs w:val="24"/>
        </w:rPr>
      </w:pPr>
      <w:r w:rsidRPr="00276713">
        <w:t>12.</w:t>
      </w:r>
      <w:r w:rsidRPr="00276713">
        <w:tab/>
        <w:t>pieņem zināšanai to, ka 2022. gada 31. decembrī štatu saraksts bija izpildīts 99 % apmērā (tāpat kā 2021. gadā) un darbā bija pieņemti 137 no Savienības budžetā apstiprinātajiem 138 pagaidu darbiniekiem; pieņem zināšanai to, ka 2022. gadā Iestādē bija nodarbināti arī 36 līgumdarbinieki un 24 norīkotie valstu eksperti;</w:t>
      </w:r>
    </w:p>
    <w:p w:rsidR="004918C5" w:rsidRPr="00276713" w:rsidRDefault="004918C5" w:rsidP="004918C5">
      <w:pPr>
        <w:pStyle w:val="NormalHanging12a"/>
      </w:pPr>
      <w:r w:rsidRPr="00276713">
        <w:t>13.</w:t>
      </w:r>
      <w:r w:rsidRPr="00276713">
        <w:tab/>
        <w:t>pieņem zināšanai to, ka attiecībā uz sadalījumu pa dzimumiem 2022. gadā Iestāde ziņoja, ka tās vidējās un augstākās vadības amatos un Valdē ir 15 vīrieši (65,20 %) un 8 sievietes (34,80 %), savukārt no visiem darbiniekiem ir 104 vīrieši (53,60 %) un 90 sievietes (46,40 %); atgādina, ka ir svarīgi nodrošināt dzimumu līdzsvaru, un aicina Iestādi ņemt to vērā, nākotnē pieņemot darbā darbiniekus un ieceļot amatā augstākā un vidējā līmeņa vadītājus;</w:t>
      </w:r>
    </w:p>
    <w:p w:rsidR="004918C5" w:rsidRPr="00276713" w:rsidRDefault="004918C5" w:rsidP="004918C5">
      <w:pPr>
        <w:pStyle w:val="NormalHanging12a"/>
      </w:pPr>
      <w:r w:rsidRPr="00276713">
        <w:t>14.</w:t>
      </w:r>
      <w:r w:rsidRPr="00276713">
        <w:tab/>
        <w:t xml:space="preserve">atzinīgi vērtē to, ka 2022. gadā Iestāde turpināja īstenot Daudzveidības un </w:t>
      </w:r>
      <w:proofErr w:type="spellStart"/>
      <w:r w:rsidRPr="00276713">
        <w:t>iekļautības</w:t>
      </w:r>
      <w:proofErr w:type="spellEnd"/>
      <w:r w:rsidRPr="00276713">
        <w:t xml:space="preserve"> stratēģiju (kas pieņemta 2021. gadā) un tās detalizēto rīcības plānu atbilstoši </w:t>
      </w:r>
      <w:r w:rsidRPr="00276713">
        <w:rPr>
          <w:i/>
          <w:iCs/>
        </w:rPr>
        <w:t>EUAN</w:t>
      </w:r>
      <w:r w:rsidRPr="00276713">
        <w:t xml:space="preserve"> Daudzveidības hartai, izmantojot iniciatīvas, kas aptver transversālus pasākumus, piemēram, sadarbību ar citām iestādēm, daudzveidīgāka darbaspēka piesaistīšanu un atlasi, diskriminācijas, aizskarošas izturēšanās, apzinātu un neapzinātu aizspriedumu novēršanu un ar daudzveidību un iekļaušanu saistītu datu uzraudzību; pieņem zināšanai to, ka 2022. gadā tika ziņots par vienu iespējamu aizskarošas izturēšanās gadījumu, bet lieta tika slēgta, neveicot turpmākas darbības, jo pēc sākotnējā novērtējuma netika atrasti </w:t>
      </w:r>
      <w:proofErr w:type="spellStart"/>
      <w:r w:rsidRPr="00276713">
        <w:rPr>
          <w:i/>
          <w:iCs/>
        </w:rPr>
        <w:t>prima</w:t>
      </w:r>
      <w:proofErr w:type="spellEnd"/>
      <w:r w:rsidRPr="00276713">
        <w:rPr>
          <w:i/>
          <w:iCs/>
        </w:rPr>
        <w:t xml:space="preserve"> </w:t>
      </w:r>
      <w:proofErr w:type="spellStart"/>
      <w:r w:rsidRPr="00276713">
        <w:rPr>
          <w:i/>
          <w:iCs/>
        </w:rPr>
        <w:t>faciae</w:t>
      </w:r>
      <w:proofErr w:type="spellEnd"/>
      <w:r w:rsidRPr="00276713">
        <w:t xml:space="preserve"> pierādījumi;</w:t>
      </w:r>
    </w:p>
    <w:p w:rsidR="004918C5" w:rsidRPr="00276713" w:rsidRDefault="004918C5" w:rsidP="004918C5">
      <w:pPr>
        <w:widowControl/>
        <w:spacing w:after="240"/>
        <w:ind w:left="567" w:hanging="567"/>
        <w:rPr>
          <w:szCs w:val="24"/>
        </w:rPr>
      </w:pPr>
      <w:r w:rsidRPr="00276713">
        <w:t>15.</w:t>
      </w:r>
      <w:r w:rsidRPr="00276713">
        <w:tab/>
        <w:t>atzinīgi vērtē to, ka Iestāde ir apņēmusies veicināt un nodrošināt daudzveidīgu un iekļaujošu darba vidi, kas pielāgota arī personu ar invaliditāti vajadzībām; šajā sakarā pieņem zināšanai to, ka 2022. gadā tika iecelts Iestādes iekšējais koordinators invaliditātes jomā un vēstnieks, lai vēl vairāk stiprinātu un koncentrētu uzmanību uz šo konkrēto jomu, un tika veikta īpaša darbinieku un vadības aptauja, kā arī izpratnes veicināšanas pasākumi;</w:t>
      </w:r>
    </w:p>
    <w:p w:rsidR="004918C5" w:rsidRPr="00276713" w:rsidRDefault="004918C5" w:rsidP="004918C5">
      <w:pPr>
        <w:pStyle w:val="NormalHanging12a"/>
      </w:pPr>
      <w:r w:rsidRPr="00276713">
        <w:t>16.</w:t>
      </w:r>
      <w:r w:rsidRPr="00276713">
        <w:tab/>
        <w:t xml:space="preserve">ar gandarījumu pieņem zināšanai to, ka Iestāde joprojām ir cieši apņēmusies uzlabot darbinieku </w:t>
      </w:r>
      <w:proofErr w:type="spellStart"/>
      <w:r w:rsidRPr="00276713">
        <w:t>labjutību</w:t>
      </w:r>
      <w:proofErr w:type="spellEnd"/>
      <w:r w:rsidRPr="00276713">
        <w:t xml:space="preserve"> un darba un privātās dzīves līdzsvaru, un pozitīvi rezultāti ir novēroti attiecībā uz darbinieku iesaisti un apmierinātību; pieņem zināšanai to, ka galvenās prioritārās jomas bija elastīgs darba režīms, tāldarbs, </w:t>
      </w:r>
      <w:proofErr w:type="spellStart"/>
      <w:r w:rsidRPr="00276713">
        <w:t>mūžilga</w:t>
      </w:r>
      <w:proofErr w:type="spellEnd"/>
      <w:r w:rsidRPr="00276713">
        <w:t xml:space="preserve"> profesionālā orientācija un karjeras attīstība, labklājības programmas un atbalsta pārvaldība;</w:t>
      </w:r>
    </w:p>
    <w:p w:rsidR="004918C5" w:rsidRPr="00276713" w:rsidRDefault="004918C5" w:rsidP="004918C5">
      <w:pPr>
        <w:widowControl/>
        <w:spacing w:after="240"/>
        <w:ind w:left="567" w:hanging="567"/>
        <w:rPr>
          <w:b/>
          <w:i/>
          <w:szCs w:val="24"/>
        </w:rPr>
      </w:pPr>
      <w:r w:rsidRPr="00276713">
        <w:rPr>
          <w:b/>
          <w:i/>
        </w:rPr>
        <w:t>Iepirkums</w:t>
      </w:r>
    </w:p>
    <w:p w:rsidR="004918C5" w:rsidRPr="00276713" w:rsidRDefault="004918C5" w:rsidP="004918C5">
      <w:pPr>
        <w:widowControl/>
        <w:spacing w:after="240"/>
        <w:ind w:left="567" w:hanging="567"/>
        <w:rPr>
          <w:szCs w:val="24"/>
        </w:rPr>
      </w:pPr>
      <w:r w:rsidRPr="00276713">
        <w:t>17.</w:t>
      </w:r>
      <w:r w:rsidRPr="00276713">
        <w:tab/>
        <w:t>pieņem zināšanai Revīzijas palātas ziņojumā iekļauto konstatējumu, ka Iestāde veica maksājumus kopsummā par 25 607 EUR pēc līguma termiņa beigām, ar kuru Iestāde uz četriem gadiem (2017.–2021. gadā) iepirka telesakaru pakalpojumus mobilo tālruņu sakariem; pieņem zināšanai Revīzijas palātas secinājumu, ka šie maksājumi bija nepareizi; turklāt pieņem zināšanai Revīzijas palātas konstatējumu, ka 2022. gada aprīlī parakstītais grozījums minētajā līgumā tika izdarīts, pārkāpjot Finanšu regulas I pielikuma 1.1. punktu;</w:t>
      </w:r>
    </w:p>
    <w:p w:rsidR="004918C5" w:rsidRPr="00276713" w:rsidRDefault="004918C5" w:rsidP="004918C5">
      <w:pPr>
        <w:widowControl/>
        <w:spacing w:after="240"/>
        <w:ind w:left="567" w:hanging="567"/>
        <w:rPr>
          <w:szCs w:val="24"/>
        </w:rPr>
      </w:pPr>
      <w:r w:rsidRPr="00276713">
        <w:t>18.</w:t>
      </w:r>
      <w:r w:rsidRPr="00276713">
        <w:tab/>
        <w:t xml:space="preserve">pēc iepazīšanās ar Revīzijas palātas 2021. gada pārskatu par Savienības aģentūrām atgādina par konstatējumu par summu 288 125 EUR apmērā, ko Iestāde nepareizi samaksājusi saistībā ar savu telpu nomas līgumu; šajā sakarā pēc iepazīšanās ar Iestādes ziņojumu par pasākumiem, kas veikti, ņemot vērā budžeta izpildes </w:t>
      </w:r>
      <w:proofErr w:type="spellStart"/>
      <w:r w:rsidRPr="00276713">
        <w:t>apstiprinātājiestādes</w:t>
      </w:r>
      <w:proofErr w:type="spellEnd"/>
      <w:r w:rsidRPr="00276713">
        <w:t xml:space="preserve"> ieteikumus (2021. gada budžeta izpildes apstiprināšana), pieņem zināšanai Iestādes nostāju, ka līgumsaistību neievērošanai būtu bijusi negatīva juridiska un reputācijas ietekme uz Iestādi; pēc iepazīšanās ar Revīzijas palātas ziņojumu pieņem zināšanai to, ka minētais konstatējums joprojām nav slēgts; aicina Iestādi, uzsākot jauna nomas līguma iepirkuma procedūru, darīt visu iespējamo, lai novērstu jebkādas pretrunas starp pienākumiem, kas noteikti nomas līgumā, un attiecīgajiem Finanšu regulas noteikumiem;</w:t>
      </w:r>
    </w:p>
    <w:p w:rsidR="004918C5" w:rsidRPr="00276713" w:rsidRDefault="004918C5" w:rsidP="004918C5">
      <w:pPr>
        <w:widowControl/>
        <w:spacing w:after="240"/>
        <w:rPr>
          <w:szCs w:val="24"/>
        </w:rPr>
      </w:pPr>
      <w:proofErr w:type="spellStart"/>
      <w:r w:rsidRPr="00276713">
        <w:rPr>
          <w:b/>
          <w:i/>
        </w:rPr>
        <w:t>Pārredzamība</w:t>
      </w:r>
      <w:proofErr w:type="spellEnd"/>
      <w:r w:rsidRPr="00276713">
        <w:rPr>
          <w:b/>
          <w:i/>
        </w:rPr>
        <w:t xml:space="preserve"> un interešu konfliktu novēršana un pārvaldība</w:t>
      </w:r>
    </w:p>
    <w:p w:rsidR="004918C5" w:rsidRPr="00276713" w:rsidRDefault="004918C5" w:rsidP="004918C5">
      <w:pPr>
        <w:widowControl/>
        <w:spacing w:after="240"/>
        <w:ind w:left="567" w:hanging="567"/>
        <w:rPr>
          <w:szCs w:val="24"/>
        </w:rPr>
      </w:pPr>
      <w:r w:rsidRPr="00276713">
        <w:t>19.</w:t>
      </w:r>
      <w:r w:rsidRPr="00276713">
        <w:tab/>
        <w:t xml:space="preserve">atzinīgi vērtē to, ka saskaņā ar Iestādes juridiskajām prasībām Iestādes tīmekļa vietnē ir publicēti Iestādes Uzraudzības padomes un Valdes locekļu CV, izklāsts par Iestādes priekšsēdētāju un izpilddirektoru un īss izklāsts par Iestādes dienestu vadītājiem; pieņem zināšanai to, ka individuālas interešu deklarācijas un nodomu deklarācijas ir publiski pieejamas par katru Valdes locekli, katru Uzraudzības padomes locekli un Iestādes augstāko vadību; turklāt atzinīgi vērtē to, ka Iestādes tīmekļa vietnē ir publiskotas Iestādes darbinieku sanāksmes ar </w:t>
      </w:r>
      <w:proofErr w:type="spellStart"/>
      <w:r w:rsidRPr="00276713">
        <w:t>lobistiem</w:t>
      </w:r>
      <w:proofErr w:type="spellEnd"/>
      <w:r w:rsidRPr="00276713">
        <w:t>;</w:t>
      </w:r>
    </w:p>
    <w:p w:rsidR="004918C5" w:rsidRPr="00276713" w:rsidRDefault="004918C5" w:rsidP="004918C5">
      <w:pPr>
        <w:widowControl/>
        <w:spacing w:after="240"/>
        <w:ind w:left="567" w:hanging="567"/>
        <w:rPr>
          <w:szCs w:val="24"/>
        </w:rPr>
      </w:pPr>
      <w:r w:rsidRPr="00276713">
        <w:t>20.</w:t>
      </w:r>
      <w:r w:rsidRPr="00276713">
        <w:tab/>
        <w:t>atzinīgi vērtē to, ka 2022. gadā Iestāde pieņēma stingrākus ētikas noteikumus attiecībā uz darbiniekiem un personām, kas nav darbinieki, tādējādi reaģējot uz Revīzijas palātas konstatējumiem Revīzijas palātas ziņojumā par Iestādes 2021. gada pārskatiem un cenšoties saglabāt objektīvu, objektīvu un neatkarīgu lēmumu pieņemšanu un nekavējoties identificēt un risināt jebkādus iespējamos interešu konfliktus; šajā sakarā pieņem zināšanai Iestādes reglamenta pārskatīšanu, neatkarības un lēmumu pieņemšanas procesu politikas pieņemšanu, lai izvairītos no interešu konfliktiem attiecībā uz personām, kas nav darbinieki, lēmuma par priekšsēdētāja un izpilddirektora novērtēšanu pārskatīšanas apstiprināšanu un Iestādes darbinieku ētikas noteikumu pārskatīšanas pieņemšanu;</w:t>
      </w:r>
    </w:p>
    <w:p w:rsidR="004918C5" w:rsidRPr="00276713" w:rsidRDefault="004918C5" w:rsidP="004918C5">
      <w:pPr>
        <w:widowControl/>
        <w:spacing w:after="240"/>
        <w:ind w:left="567" w:hanging="567"/>
        <w:rPr>
          <w:szCs w:val="24"/>
        </w:rPr>
      </w:pPr>
      <w:r w:rsidRPr="00276713">
        <w:t>21.</w:t>
      </w:r>
      <w:r w:rsidRPr="00276713">
        <w:tab/>
        <w:t>attiecībā uz trauksmes celšanu konstatē, ka 2022. gadā viens darbinieks pauda bažas par iespējamu pārkāpumu gadījumu un Iestāde minētās bažas ir izskatījusi saskaņā ar piemērojamajiem noteikumiem; šajā sakarā pieņem zināšanai to, ka Iestāde nekavējoties informēja Eiropas Biroju krāpšanas apkarošanai (</w:t>
      </w:r>
      <w:r w:rsidRPr="00276713">
        <w:rPr>
          <w:i/>
          <w:iCs/>
        </w:rPr>
        <w:t>OLAF</w:t>
      </w:r>
      <w:r w:rsidRPr="00276713">
        <w:t>) un tas veica novērtējumu un lietu noraidīja, pamatojoties uz to, ka nebija pietiekamu aizdomu, lai sāktu izmeklēšanu;</w:t>
      </w:r>
    </w:p>
    <w:p w:rsidR="004918C5" w:rsidRPr="00276713" w:rsidRDefault="004918C5" w:rsidP="004918C5">
      <w:pPr>
        <w:spacing w:after="240"/>
        <w:ind w:left="567" w:hanging="567"/>
        <w:rPr>
          <w:sz w:val="22"/>
        </w:rPr>
      </w:pPr>
      <w:r w:rsidRPr="00276713">
        <w:t>22.</w:t>
      </w:r>
      <w:r w:rsidRPr="00276713">
        <w:tab/>
        <w:t>atzinīgi vērtē to, ka 2022. gada jūlijā Iestādes Uzraudzības padome pārskatīja savu reglamentu, īstenojot Revīzijas palātas konstatējumu par to Uzraudzības padomes locekļu klātbūtni diskusijās vai balsošanā, kuriem ir interešu konflikts; turklāt norāda, ka Iestādes Valde 2022. gada decembrī saskaņā ar Revīzijas palātas apsvērumiem apstiprināja pārskatītu lēmumu par priekšsēdētāja un izpilddirektora novērtēšanu;</w:t>
      </w:r>
    </w:p>
    <w:p w:rsidR="004918C5" w:rsidRPr="00276713" w:rsidRDefault="004918C5" w:rsidP="004918C5">
      <w:pPr>
        <w:widowControl/>
        <w:spacing w:after="240"/>
        <w:ind w:left="567" w:hanging="567"/>
        <w:rPr>
          <w:b/>
          <w:i/>
          <w:szCs w:val="24"/>
        </w:rPr>
      </w:pPr>
      <w:r w:rsidRPr="00276713">
        <w:rPr>
          <w:b/>
          <w:i/>
        </w:rPr>
        <w:t>Iekšējā kontrole</w:t>
      </w:r>
    </w:p>
    <w:p w:rsidR="004918C5" w:rsidRPr="00276713" w:rsidRDefault="004918C5" w:rsidP="004918C5">
      <w:pPr>
        <w:widowControl/>
        <w:spacing w:after="240"/>
        <w:ind w:left="567" w:hanging="567"/>
        <w:rPr>
          <w:szCs w:val="24"/>
        </w:rPr>
      </w:pPr>
      <w:r w:rsidRPr="00276713">
        <w:t>23.</w:t>
      </w:r>
      <w:r w:rsidRPr="00276713">
        <w:tab/>
        <w:t>pieņem zināšanai to, ka 2022. gadā Iestāde veica ikgadējo iekšējās kontroles sistēmas novērtējumu, secinot, ka visi komponenti un principi ir īstenoti un darbojas, kā paredzēts, un ir vajadzīgi daži uzlabojumi, jo ir konstatēti nelieli trūkumi;</w:t>
      </w:r>
    </w:p>
    <w:p w:rsidR="004918C5" w:rsidRPr="00276713" w:rsidRDefault="004918C5" w:rsidP="004918C5">
      <w:pPr>
        <w:widowControl/>
        <w:spacing w:after="240"/>
        <w:ind w:left="567" w:hanging="567"/>
        <w:rPr>
          <w:szCs w:val="24"/>
        </w:rPr>
      </w:pPr>
      <w:r w:rsidRPr="00276713">
        <w:t>24.</w:t>
      </w:r>
      <w:r w:rsidRPr="00276713">
        <w:tab/>
        <w:t xml:space="preserve">konstatē, ka 2022. gadā Iekšējās revīzijas dienests nāca klajā ar ziņojumu par 2021. gadā veikto revīziju par EAFPI intervences pasākumiem, kas vērsti uz VKI un tirgus dalībniekiem Savienības apdrošināšanas un </w:t>
      </w:r>
      <w:proofErr w:type="spellStart"/>
      <w:r w:rsidRPr="00276713">
        <w:t>fondēto</w:t>
      </w:r>
      <w:proofErr w:type="spellEnd"/>
      <w:r w:rsidRPr="00276713">
        <w:t xml:space="preserve"> pensiju nozarēs; turklāt konstatē, ka Iestādes Kvalitātes kontroles komiteja ir publicējusi pārskata ziņojumu par pieredzi, kas gūta sadarbībā un mijiedarbībā starp EAAPI un VKI Covid-19 pandēmijas laikā; aicina Iestādi pastāvīgi informēt budžeta izpildes </w:t>
      </w:r>
      <w:proofErr w:type="spellStart"/>
      <w:r w:rsidRPr="00276713">
        <w:t>apstiprinātājiestādi</w:t>
      </w:r>
      <w:proofErr w:type="spellEnd"/>
      <w:r w:rsidRPr="00276713">
        <w:t xml:space="preserve"> par Iekšējās revīzijas dienesta un Kvalitātes kontroles komitejas sniegto ieteikumu īstenošanu;</w:t>
      </w:r>
    </w:p>
    <w:p w:rsidR="004918C5" w:rsidRPr="00276713" w:rsidRDefault="004918C5" w:rsidP="004918C5">
      <w:pPr>
        <w:widowControl/>
        <w:spacing w:after="240"/>
        <w:ind w:left="567" w:hanging="567"/>
      </w:pPr>
      <w:r w:rsidRPr="00276713">
        <w:t>25.</w:t>
      </w:r>
      <w:r w:rsidRPr="00276713">
        <w:tab/>
        <w:t xml:space="preserve">ar gandarījumu pieņem zināšanai to, ka 2022. gadā Iestāde apzināja, uzraudzīja un veica pasākumus, lai mazinātu risku ietekmi attiecībā uz to, ka tai nav pietiekamas spējas īstenot jaunas pilnvaras un uzdevumus, vienlaikus pildot spēkā esošās saistības, trūkst kvalificēta personāla ar nepieciešamo kompetenci tādu problēmu dēļ, kas saistītas ar pievilcīgumu un pieņemšanu darbā, </w:t>
      </w:r>
      <w:proofErr w:type="spellStart"/>
      <w:r w:rsidRPr="00276713">
        <w:t>kiberdrošības</w:t>
      </w:r>
      <w:proofErr w:type="spellEnd"/>
      <w:r w:rsidRPr="00276713">
        <w:t xml:space="preserve"> apdraudējumiem un darbības nepārtrauktību;</w:t>
      </w:r>
    </w:p>
    <w:p w:rsidR="004918C5" w:rsidRPr="00276713" w:rsidRDefault="004918C5" w:rsidP="004918C5">
      <w:pPr>
        <w:widowControl/>
        <w:spacing w:after="240"/>
        <w:ind w:left="567" w:hanging="567"/>
      </w:pPr>
      <w:r w:rsidRPr="00276713">
        <w:t>26.</w:t>
      </w:r>
      <w:r w:rsidRPr="00276713">
        <w:tab/>
        <w:t xml:space="preserve">pieņem zināšanai to, ka 2022. gadā Iestāde turpināja īstenot atlikušos ieteikumus, kas sniegti revīzijā “Pārraudzības instrumenti patērētāju aizsardzības jomā” (2019.–2020. gads); turklāt pieņem zināšanai to, ka šīs revīzijas rezultātā tika sniegti četri ieteikumi, kas tika īstenoti, proti, </w:t>
      </w:r>
      <w:r w:rsidRPr="00276713">
        <w:rPr>
          <w:i/>
        </w:rPr>
        <w:t>IAS</w:t>
      </w:r>
      <w:r w:rsidRPr="00276713">
        <w:t xml:space="preserve"> 2021. gada novembrī oficiāli slēdza divus ieteikumus un 2022. gada jūnijā tika oficiāli slēgti vēl divi ieteikumi;</w:t>
      </w:r>
    </w:p>
    <w:p w:rsidR="004918C5" w:rsidRPr="00276713" w:rsidRDefault="004918C5" w:rsidP="004918C5">
      <w:pPr>
        <w:widowControl/>
        <w:spacing w:after="240"/>
        <w:ind w:left="567" w:hanging="567"/>
        <w:rPr>
          <w:b/>
          <w:i/>
          <w:szCs w:val="24"/>
        </w:rPr>
      </w:pPr>
      <w:r w:rsidRPr="00276713">
        <w:rPr>
          <w:b/>
          <w:i/>
        </w:rPr>
        <w:t>Citi komentāri</w:t>
      </w:r>
    </w:p>
    <w:p w:rsidR="004918C5" w:rsidRPr="00276713" w:rsidRDefault="004918C5" w:rsidP="004918C5">
      <w:pPr>
        <w:spacing w:after="240"/>
        <w:ind w:left="567" w:hanging="567"/>
        <w:rPr>
          <w:szCs w:val="24"/>
        </w:rPr>
      </w:pPr>
      <w:r w:rsidRPr="00276713">
        <w:t>27.</w:t>
      </w:r>
      <w:r w:rsidRPr="00276713">
        <w:tab/>
        <w:t xml:space="preserve">pieņem zināšanai to, ka 2022. gadā Iestāde kopā ar citām EUI izdeva brīdinājumus patērētājiem par augsta riska un spekulatīvām darbībām, kas saistītas ar daudziem </w:t>
      </w:r>
      <w:proofErr w:type="spellStart"/>
      <w:r w:rsidRPr="00276713">
        <w:t>kriptoaktīviem</w:t>
      </w:r>
      <w:proofErr w:type="spellEnd"/>
      <w:r w:rsidRPr="00276713">
        <w:t>;</w:t>
      </w:r>
    </w:p>
    <w:p w:rsidR="004918C5" w:rsidRPr="00276713" w:rsidRDefault="004918C5" w:rsidP="004918C5">
      <w:pPr>
        <w:spacing w:after="240"/>
        <w:ind w:left="567" w:hanging="567"/>
        <w:rPr>
          <w:szCs w:val="24"/>
        </w:rPr>
      </w:pPr>
      <w:r w:rsidRPr="00276713">
        <w:t>28.</w:t>
      </w:r>
      <w:r w:rsidRPr="00276713">
        <w:tab/>
        <w:t xml:space="preserve">pēc iepazīšanās ar Iestādes atbildēm uz budžeta izpildes </w:t>
      </w:r>
      <w:proofErr w:type="spellStart"/>
      <w:r w:rsidRPr="00276713">
        <w:t>apstiprinātājiestādes</w:t>
      </w:r>
      <w:proofErr w:type="spellEnd"/>
      <w:r w:rsidRPr="00276713">
        <w:t xml:space="preserve"> jautājumiem pieņem zināšanai to, ka Iestāde pašlaik gūst labumu no Komisijas e-iepirkuma rīkiem (e-iepirkums, e-iesniegšana, e-rēķini) un ka starplaikā (kopš 2023. gada jūlija) ir ieviests publiskā iepirkuma pārvaldības rīks (</w:t>
      </w:r>
      <w:r w:rsidRPr="00276713">
        <w:rPr>
          <w:i/>
        </w:rPr>
        <w:t>PPMT</w:t>
      </w:r>
      <w:r w:rsidRPr="00276713">
        <w:t>); atzinīgi vērtē to, ka EAAPI iepirkuma procedūrās, ja iespējams, ir iekļautas prasības par zaļā publiskā iepirkuma kritērijiem un EAAPI ir jāparaksta godprātīga deklarācija par atbilstību vides un sociālajām saistībām;</w:t>
      </w:r>
    </w:p>
    <w:p w:rsidR="004918C5" w:rsidRPr="00276713" w:rsidRDefault="004918C5" w:rsidP="004918C5">
      <w:pPr>
        <w:pStyle w:val="NormalHanging12a"/>
      </w:pPr>
      <w:r w:rsidRPr="00276713">
        <w:t>29.</w:t>
      </w:r>
      <w:r w:rsidRPr="00276713">
        <w:tab/>
        <w:t>pieņem zināšanai to, ka 2022. gadā Iestāde publicēja sava darba rezultātus ziņojumu veidā savā tīmekļa vietnē un sociālajos medijos, lielākajai daļai ziņojumu pievienojot paziņojumu presei; atzinīgi vērtē to, ka dažos gadījumos ziņojumiem ir pievienoti arī kopsavilkumi, īsi sociālo mediju klipi vai īsas intervijas, lai vienkāršāk izskaidrotu saturu;</w:t>
      </w:r>
    </w:p>
    <w:p w:rsidR="004918C5" w:rsidRPr="00276713" w:rsidRDefault="004918C5" w:rsidP="004918C5">
      <w:pPr>
        <w:pStyle w:val="NormalCenter12a"/>
      </w:pPr>
      <w:r w:rsidRPr="00276713">
        <w:t>°</w:t>
      </w:r>
    </w:p>
    <w:p w:rsidR="004918C5" w:rsidRPr="00276713" w:rsidRDefault="004918C5" w:rsidP="004918C5">
      <w:pPr>
        <w:pStyle w:val="NormalCenter12a"/>
      </w:pPr>
      <w:r w:rsidRPr="00276713">
        <w:t>°</w:t>
      </w:r>
      <w:r w:rsidRPr="00276713">
        <w:tab/>
        <w:t>°</w:t>
      </w:r>
    </w:p>
    <w:p w:rsidR="004918C5" w:rsidRPr="00276713" w:rsidRDefault="004918C5" w:rsidP="00276713">
      <w:pPr>
        <w:pStyle w:val="NormalHanging12a"/>
      </w:pPr>
      <w:r w:rsidRPr="00276713">
        <w:t>30.</w:t>
      </w:r>
      <w:r w:rsidRPr="00276713">
        <w:tab/>
        <w:t xml:space="preserve">attiecībā uz pārējiem horizontāla rakstura konstatējumiem, kas pievienoti lēmumam par budžeta izpildes apstiprināšanu, atsaucas uz 2024. gada </w:t>
      </w:r>
      <w:r w:rsidR="0000521A" w:rsidRPr="00276713">
        <w:t xml:space="preserve">11. aprīļa </w:t>
      </w:r>
      <w:r w:rsidRPr="00276713">
        <w:t>rezolūciju par aģentūru sniegumu, finanšu pārvaldību un kontroli</w:t>
      </w:r>
      <w:r w:rsidRPr="00276713">
        <w:rPr>
          <w:rStyle w:val="FootnoteReference"/>
        </w:rPr>
        <w:footnoteReference w:id="12"/>
      </w:r>
      <w:r w:rsidRPr="00276713">
        <w:t>.</w:t>
      </w:r>
    </w:p>
    <w:p w:rsidR="0000521A" w:rsidRPr="00276713" w:rsidRDefault="0000521A" w:rsidP="004918C5"/>
    <w:sectPr w:rsidR="0000521A" w:rsidRPr="00276713" w:rsidSect="005F573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412" w:rsidRPr="005F5734" w:rsidRDefault="00830412">
      <w:r w:rsidRPr="005F5734">
        <w:separator/>
      </w:r>
    </w:p>
  </w:endnote>
  <w:endnote w:type="continuationSeparator" w:id="0">
    <w:p w:rsidR="00830412" w:rsidRPr="005F5734" w:rsidRDefault="00830412">
      <w:r w:rsidRPr="005F57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5" w:rsidRPr="005F5734" w:rsidRDefault="004918C5" w:rsidP="008913C6">
    <w:pPr>
      <w:pStyle w:val="EPFooter"/>
    </w:pPr>
    <w:r w:rsidRPr="005F5734">
      <w:t>PE</w:t>
    </w:r>
    <w:r w:rsidRPr="005F5734">
      <w:rPr>
        <w:rStyle w:val="HideTWBExt"/>
      </w:rPr>
      <w:t>&lt;</w:t>
    </w:r>
    <w:proofErr w:type="spellStart"/>
    <w:r w:rsidRPr="005F5734">
      <w:rPr>
        <w:rStyle w:val="HideTWBExt"/>
      </w:rPr>
      <w:t>NoPE</w:t>
    </w:r>
    <w:proofErr w:type="spellEnd"/>
    <w:r w:rsidRPr="005F5734">
      <w:rPr>
        <w:rStyle w:val="HideTWBExt"/>
      </w:rPr>
      <w:t>&gt;</w:t>
    </w:r>
    <w:r w:rsidRPr="005F5734">
      <w:t>753.521</w:t>
    </w:r>
    <w:r w:rsidRPr="005F5734">
      <w:rPr>
        <w:rStyle w:val="HideTWBExt"/>
      </w:rPr>
      <w:t>&lt;/</w:t>
    </w:r>
    <w:proofErr w:type="spellStart"/>
    <w:r w:rsidRPr="005F5734">
      <w:rPr>
        <w:rStyle w:val="HideTWBExt"/>
      </w:rPr>
      <w:t>NoPE</w:t>
    </w:r>
    <w:proofErr w:type="spellEnd"/>
    <w:r w:rsidRPr="005F5734">
      <w:rPr>
        <w:rStyle w:val="HideTWBExt"/>
      </w:rPr>
      <w:t>&gt;&lt;Version&gt;</w:t>
    </w:r>
    <w:r w:rsidRPr="005F5734">
      <w:t>v02-00</w:t>
    </w:r>
    <w:r w:rsidRPr="005F5734">
      <w:rPr>
        <w:rStyle w:val="HideTWBExt"/>
      </w:rPr>
      <w:t>&lt;/</w:t>
    </w:r>
    <w:proofErr w:type="spellStart"/>
    <w:r w:rsidRPr="005F5734">
      <w:rPr>
        <w:rStyle w:val="HideTWBExt"/>
      </w:rPr>
      <w:t>Version</w:t>
    </w:r>
    <w:proofErr w:type="spellEnd"/>
    <w:r w:rsidRPr="005F5734">
      <w:rPr>
        <w:rStyle w:val="HideTWBExt"/>
      </w:rPr>
      <w:t>&gt;</w:t>
    </w:r>
    <w:r w:rsidRPr="005F5734">
      <w:tab/>
    </w:r>
    <w:r w:rsidRPr="005F5734">
      <w:fldChar w:fldCharType="begin"/>
    </w:r>
    <w:r w:rsidRPr="005F5734">
      <w:instrText xml:space="preserve"> PAGE  \* MERGEFORMAT </w:instrText>
    </w:r>
    <w:r w:rsidRPr="005F5734">
      <w:fldChar w:fldCharType="separate"/>
    </w:r>
    <w:r w:rsidR="005F5734" w:rsidRPr="005F5734">
      <w:rPr>
        <w:noProof/>
      </w:rPr>
      <w:t>2</w:t>
    </w:r>
    <w:r w:rsidRPr="005F5734">
      <w:fldChar w:fldCharType="end"/>
    </w:r>
    <w:r w:rsidRPr="005F5734">
      <w:t>/</w:t>
    </w:r>
    <w:r w:rsidR="0029545B">
      <w:fldChar w:fldCharType="begin"/>
    </w:r>
    <w:r w:rsidR="0029545B">
      <w:instrText xml:space="preserve"> NUMPAGES  \* MERGEFORMAT </w:instrText>
    </w:r>
    <w:r w:rsidR="0029545B">
      <w:fldChar w:fldCharType="separate"/>
    </w:r>
    <w:r w:rsidR="005F5734" w:rsidRPr="005F5734">
      <w:rPr>
        <w:noProof/>
      </w:rPr>
      <w:t>3</w:t>
    </w:r>
    <w:r w:rsidR="0029545B">
      <w:rPr>
        <w:noProof/>
      </w:rPr>
      <w:fldChar w:fldCharType="end"/>
    </w:r>
    <w:r w:rsidRPr="005F5734">
      <w:tab/>
    </w:r>
    <w:r w:rsidRPr="005F5734">
      <w:rPr>
        <w:rStyle w:val="HideTWBExt"/>
      </w:rPr>
      <w:t>&lt;PathFdR&gt;</w:t>
    </w:r>
    <w:r w:rsidRPr="005F5734">
      <w:t>RR\1298747LV.docx</w:t>
    </w:r>
    <w:r w:rsidRPr="005F5734">
      <w:rPr>
        <w:rStyle w:val="HideTWBExt"/>
      </w:rPr>
      <w:t>&lt;/</w:t>
    </w:r>
    <w:proofErr w:type="spellStart"/>
    <w:r w:rsidRPr="005F5734">
      <w:rPr>
        <w:rStyle w:val="HideTWBExt"/>
      </w:rPr>
      <w:t>PathFdR</w:t>
    </w:r>
    <w:proofErr w:type="spellEnd"/>
    <w:r w:rsidRPr="005F5734">
      <w:rPr>
        <w:rStyle w:val="HideTWBExt"/>
      </w:rPr>
      <w:t>&gt;</w:t>
    </w:r>
  </w:p>
  <w:p w:rsidR="004918C5" w:rsidRPr="005F5734" w:rsidRDefault="004918C5" w:rsidP="008913C6">
    <w:pPr>
      <w:pStyle w:val="EPFooter2"/>
    </w:pPr>
    <w:r w:rsidRPr="005F5734">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5" w:rsidRPr="005F5734" w:rsidRDefault="004918C5" w:rsidP="008913C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5" w:rsidRPr="005F5734" w:rsidRDefault="004918C5" w:rsidP="008913C6">
    <w:pPr>
      <w:pStyle w:val="EPFooter"/>
    </w:pPr>
    <w:r w:rsidRPr="005F5734">
      <w:rPr>
        <w:rStyle w:val="HideTWBExt"/>
      </w:rPr>
      <w:t>&lt;PathFdR&gt;</w:t>
    </w:r>
    <w:r w:rsidRPr="005F5734">
      <w:t>RR\1298747LV.docx</w:t>
    </w:r>
    <w:r w:rsidRPr="005F5734">
      <w:rPr>
        <w:rStyle w:val="HideTWBExt"/>
      </w:rPr>
      <w:t>&lt;/</w:t>
    </w:r>
    <w:proofErr w:type="spellStart"/>
    <w:r w:rsidRPr="005F5734">
      <w:rPr>
        <w:rStyle w:val="HideTWBExt"/>
      </w:rPr>
      <w:t>PathFdR</w:t>
    </w:r>
    <w:proofErr w:type="spellEnd"/>
    <w:r w:rsidRPr="005F5734">
      <w:rPr>
        <w:rStyle w:val="HideTWBExt"/>
      </w:rPr>
      <w:t>&gt;</w:t>
    </w:r>
    <w:r w:rsidRPr="005F5734">
      <w:tab/>
    </w:r>
    <w:r w:rsidRPr="005F5734">
      <w:tab/>
      <w:t>PE</w:t>
    </w:r>
    <w:r w:rsidRPr="005F5734">
      <w:rPr>
        <w:rStyle w:val="HideTWBExt"/>
      </w:rPr>
      <w:t>&lt;</w:t>
    </w:r>
    <w:proofErr w:type="spellStart"/>
    <w:r w:rsidRPr="005F5734">
      <w:rPr>
        <w:rStyle w:val="HideTWBExt"/>
      </w:rPr>
      <w:t>NoPE</w:t>
    </w:r>
    <w:proofErr w:type="spellEnd"/>
    <w:r w:rsidRPr="005F5734">
      <w:rPr>
        <w:rStyle w:val="HideTWBExt"/>
      </w:rPr>
      <w:t>&gt;</w:t>
    </w:r>
    <w:r w:rsidRPr="005F5734">
      <w:t>753.521</w:t>
    </w:r>
    <w:r w:rsidRPr="005F5734">
      <w:rPr>
        <w:rStyle w:val="HideTWBExt"/>
      </w:rPr>
      <w:t>&lt;/</w:t>
    </w:r>
    <w:proofErr w:type="spellStart"/>
    <w:r w:rsidRPr="005F5734">
      <w:rPr>
        <w:rStyle w:val="HideTWBExt"/>
      </w:rPr>
      <w:t>NoPE</w:t>
    </w:r>
    <w:proofErr w:type="spellEnd"/>
    <w:r w:rsidRPr="005F5734">
      <w:rPr>
        <w:rStyle w:val="HideTWBExt"/>
      </w:rPr>
      <w:t>&gt;&lt;Version&gt;</w:t>
    </w:r>
    <w:r w:rsidRPr="005F5734">
      <w:t>v02-00</w:t>
    </w:r>
    <w:r w:rsidRPr="005F5734">
      <w:rPr>
        <w:rStyle w:val="HideTWBExt"/>
      </w:rPr>
      <w:t>&lt;/</w:t>
    </w:r>
    <w:proofErr w:type="spellStart"/>
    <w:r w:rsidRPr="005F5734">
      <w:rPr>
        <w:rStyle w:val="HideTWBExt"/>
      </w:rPr>
      <w:t>Version</w:t>
    </w:r>
    <w:proofErr w:type="spellEnd"/>
    <w:r w:rsidRPr="005F5734">
      <w:rPr>
        <w:rStyle w:val="HideTWBExt"/>
      </w:rPr>
      <w:t>&gt;</w:t>
    </w:r>
  </w:p>
  <w:p w:rsidR="004918C5" w:rsidRPr="005F5734" w:rsidRDefault="004918C5" w:rsidP="008913C6">
    <w:pPr>
      <w:pStyle w:val="EPFooter2"/>
    </w:pPr>
    <w:r w:rsidRPr="005F5734">
      <w:t>LV</w:t>
    </w:r>
    <w:r w:rsidRPr="005F5734">
      <w:tab/>
    </w:r>
    <w:r w:rsidRPr="005F5734">
      <w:rPr>
        <w:b w:val="0"/>
        <w:i/>
        <w:color w:val="C0C0C0"/>
        <w:sz w:val="22"/>
      </w:rPr>
      <w:t>Vienoti daudzveidībā</w:t>
    </w:r>
    <w:r w:rsidRPr="005F5734">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73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73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7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412" w:rsidRPr="005F5734" w:rsidRDefault="00830412">
      <w:r w:rsidRPr="005F5734">
        <w:separator/>
      </w:r>
    </w:p>
  </w:footnote>
  <w:footnote w:type="continuationSeparator" w:id="0">
    <w:p w:rsidR="00830412" w:rsidRPr="005F5734" w:rsidRDefault="00830412">
      <w:r w:rsidRPr="005F5734">
        <w:continuationSeparator/>
      </w:r>
    </w:p>
  </w:footnote>
  <w:footnote w:id="1">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C, C/2023/594, 27.10.2023.</w:t>
      </w:r>
    </w:p>
  </w:footnote>
  <w:footnote w:id="2">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C, C/2023/112, 12.10.2023.</w:t>
      </w:r>
    </w:p>
  </w:footnote>
  <w:footnote w:id="3">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L 193, 30.7.2018., 1. lpp.</w:t>
      </w:r>
    </w:p>
  </w:footnote>
  <w:footnote w:id="4">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L 331, 15.12.2010., 48. lpp.</w:t>
      </w:r>
    </w:p>
  </w:footnote>
  <w:footnote w:id="5">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L 122, 10.5.2019., 1. lpp.</w:t>
      </w:r>
    </w:p>
  </w:footnote>
  <w:footnote w:id="6">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C, C/2023/594, 27.10.2023.</w:t>
      </w:r>
    </w:p>
  </w:footnote>
  <w:footnote w:id="7">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C, C/2023/112, 12.10.2023.</w:t>
      </w:r>
    </w:p>
  </w:footnote>
  <w:footnote w:id="8">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L 193, 30.7.2018., 1. lpp.</w:t>
      </w:r>
    </w:p>
  </w:footnote>
  <w:footnote w:id="9">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L 331, 15.12.2010., 48. lpp.</w:t>
      </w:r>
    </w:p>
  </w:footnote>
  <w:footnote w:id="10">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L 122, 10.5.2019., 1. lpp.</w:t>
      </w:r>
    </w:p>
  </w:footnote>
  <w:footnote w:id="11">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OV C 38, 31.1.2023., 78. lpp.</w:t>
      </w:r>
    </w:p>
  </w:footnote>
  <w:footnote w:id="12">
    <w:p w:rsidR="004918C5" w:rsidRPr="005F5734" w:rsidRDefault="004918C5" w:rsidP="005F5734">
      <w:pPr>
        <w:pStyle w:val="FootnoteText"/>
        <w:ind w:left="567" w:hanging="567"/>
        <w:rPr>
          <w:sz w:val="24"/>
          <w:lang w:val="lv-LV"/>
        </w:rPr>
      </w:pPr>
      <w:r w:rsidRPr="005F5734">
        <w:rPr>
          <w:rStyle w:val="FootnoteReference"/>
          <w:sz w:val="24"/>
          <w:lang w:val="lv-LV"/>
        </w:rPr>
        <w:footnoteRef/>
      </w:r>
      <w:r w:rsidR="005F5734" w:rsidRPr="005F5734">
        <w:rPr>
          <w:sz w:val="24"/>
          <w:lang w:val="lv-LV"/>
        </w:rPr>
        <w:t xml:space="preserve"> </w:t>
      </w:r>
      <w:r w:rsidR="005F5734" w:rsidRPr="005F5734">
        <w:rPr>
          <w:sz w:val="24"/>
          <w:lang w:val="lv-LV"/>
        </w:rPr>
        <w:tab/>
      </w:r>
      <w:r w:rsidRPr="005F5734">
        <w:rPr>
          <w:sz w:val="24"/>
          <w:lang w:val="lv-LV"/>
        </w:rPr>
        <w:t>Pieņemtie teksti, P9_TA(2024)0</w:t>
      </w:r>
      <w:r w:rsidR="00276713">
        <w:rPr>
          <w:sz w:val="24"/>
          <w:lang w:val="lv-LV"/>
        </w:rPr>
        <w:t>28</w:t>
      </w:r>
      <w:r w:rsidRPr="005F5734">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5" w:rsidRPr="005F5734" w:rsidRDefault="00491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5" w:rsidRPr="005F5734" w:rsidRDefault="004918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18C5" w:rsidRPr="005F5734" w:rsidRDefault="004918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73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73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57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LV"/>
    <w:docVar w:name="dvnumam" w:val="0"/>
    <w:docVar w:name="dvpe" w:val="753.521"/>
    <w:docVar w:name="dvrapporteur" w:val="Referents: "/>
    <w:docVar w:name="dvtitre" w:val="Eiropas Parlamenta 2024. gada XX. XXX lēmums par Eiropas Apdrošināšanas un aroda pensiju iestādes 2022. finanšu gada budžeta izpildes apstiprināšanu(2023/2153(DEC))"/>
  </w:docVars>
  <w:rsids>
    <w:rsidRoot w:val="00830412"/>
    <w:rsid w:val="00002272"/>
    <w:rsid w:val="0000521A"/>
    <w:rsid w:val="00064002"/>
    <w:rsid w:val="000677B9"/>
    <w:rsid w:val="000831BA"/>
    <w:rsid w:val="000A42CC"/>
    <w:rsid w:val="000E7DD9"/>
    <w:rsid w:val="0010095E"/>
    <w:rsid w:val="00125B37"/>
    <w:rsid w:val="00187494"/>
    <w:rsid w:val="001F32AE"/>
    <w:rsid w:val="00276713"/>
    <w:rsid w:val="002767FF"/>
    <w:rsid w:val="0029545B"/>
    <w:rsid w:val="002B18FE"/>
    <w:rsid w:val="002B5493"/>
    <w:rsid w:val="00343214"/>
    <w:rsid w:val="00361C00"/>
    <w:rsid w:val="00395FA1"/>
    <w:rsid w:val="003E15D4"/>
    <w:rsid w:val="00411CCE"/>
    <w:rsid w:val="0041666E"/>
    <w:rsid w:val="00421060"/>
    <w:rsid w:val="00471C19"/>
    <w:rsid w:val="004867E3"/>
    <w:rsid w:val="004918C5"/>
    <w:rsid w:val="00494A28"/>
    <w:rsid w:val="004C0004"/>
    <w:rsid w:val="004C5D52"/>
    <w:rsid w:val="0050519A"/>
    <w:rsid w:val="005072A1"/>
    <w:rsid w:val="00514517"/>
    <w:rsid w:val="00545827"/>
    <w:rsid w:val="00560270"/>
    <w:rsid w:val="005C2568"/>
    <w:rsid w:val="005F5734"/>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412"/>
    <w:rsid w:val="00842779"/>
    <w:rsid w:val="00865F67"/>
    <w:rsid w:val="00881A7B"/>
    <w:rsid w:val="008840E5"/>
    <w:rsid w:val="00887B3E"/>
    <w:rsid w:val="008A332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4105416-F660-4ED0-9334-1302A935A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918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918C5"/>
    <w:pPr>
      <w:spacing w:before="480" w:after="240"/>
    </w:pPr>
  </w:style>
  <w:style w:type="paragraph" w:customStyle="1" w:styleId="PageHeading">
    <w:name w:val="PageHeading"/>
    <w:basedOn w:val="Normal"/>
    <w:rsid w:val="004918C5"/>
    <w:pPr>
      <w:keepNext/>
      <w:spacing w:after="480"/>
      <w:jc w:val="center"/>
    </w:pPr>
    <w:rPr>
      <w:rFonts w:ascii="Arial" w:hAnsi="Arial" w:cs="Arial"/>
      <w:b/>
    </w:rPr>
  </w:style>
  <w:style w:type="paragraph" w:customStyle="1" w:styleId="NormalBold">
    <w:name w:val="NormalBold"/>
    <w:basedOn w:val="Normal"/>
    <w:rsid w:val="004918C5"/>
    <w:rPr>
      <w:b/>
    </w:rPr>
  </w:style>
  <w:style w:type="paragraph" w:customStyle="1" w:styleId="NormalHanging12a">
    <w:name w:val="NormalHanging12a"/>
    <w:basedOn w:val="Normal"/>
    <w:link w:val="NormalHanging12aChar"/>
    <w:rsid w:val="004918C5"/>
    <w:pPr>
      <w:spacing w:after="240"/>
      <w:ind w:left="567" w:hanging="567"/>
    </w:pPr>
  </w:style>
  <w:style w:type="paragraph" w:customStyle="1" w:styleId="NormalCenter12a">
    <w:name w:val="NormalCenter12a"/>
    <w:basedOn w:val="Normal"/>
    <w:rsid w:val="004918C5"/>
    <w:pPr>
      <w:spacing w:after="240"/>
      <w:jc w:val="center"/>
    </w:pPr>
  </w:style>
  <w:style w:type="paragraph" w:styleId="Header">
    <w:name w:val="header"/>
    <w:basedOn w:val="Normal"/>
    <w:link w:val="HeaderChar"/>
    <w:rsid w:val="004918C5"/>
    <w:pPr>
      <w:tabs>
        <w:tab w:val="center" w:pos="4513"/>
        <w:tab w:val="right" w:pos="9026"/>
      </w:tabs>
    </w:pPr>
  </w:style>
  <w:style w:type="character" w:customStyle="1" w:styleId="HeaderChar">
    <w:name w:val="Header Char"/>
    <w:basedOn w:val="DefaultParagraphFont"/>
    <w:link w:val="Header"/>
    <w:rsid w:val="004918C5"/>
    <w:rPr>
      <w:sz w:val="24"/>
      <w:lang w:val="lv-LV"/>
    </w:rPr>
  </w:style>
  <w:style w:type="paragraph" w:customStyle="1" w:styleId="EPFooter">
    <w:name w:val="EPFooter"/>
    <w:basedOn w:val="Normal"/>
    <w:rsid w:val="004918C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918C5"/>
    <w:rPr>
      <w:sz w:val="24"/>
      <w:lang w:val="lv-LV"/>
    </w:rPr>
  </w:style>
  <w:style w:type="paragraph" w:styleId="BalloonText">
    <w:name w:val="Balloon Text"/>
    <w:basedOn w:val="Normal"/>
    <w:link w:val="BalloonTextChar"/>
    <w:rsid w:val="0000521A"/>
    <w:rPr>
      <w:rFonts w:ascii="Segoe UI" w:hAnsi="Segoe UI" w:cs="Segoe UI"/>
      <w:sz w:val="18"/>
      <w:szCs w:val="18"/>
    </w:rPr>
  </w:style>
  <w:style w:type="character" w:customStyle="1" w:styleId="BalloonTextChar">
    <w:name w:val="Balloon Text Char"/>
    <w:basedOn w:val="DefaultParagraphFont"/>
    <w:link w:val="BalloonText"/>
    <w:rsid w:val="0000521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52264-DB1F-4E4B-89D2-601939F0D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2942</Words>
  <Characters>19073</Characters>
  <Application>Microsoft Office Word</Application>
  <DocSecurity>0</DocSecurity>
  <Lines>953</Lines>
  <Paragraphs>594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2024-05-24T08:51:00Z</dcterms:created>
  <dcterms:modified xsi:type="dcterms:W3CDTF">2024-05-24T08:51:00Z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P9_TA(2024)0263_</vt:lpwstr>
  </property>
  <property fmtid="{D5CDD505-2E9C-101B-9397-08002B2CF9AE}" pid="4" name="&lt;Type&gt;">
    <vt:lpwstr>RR</vt:lpwstr>
  </property>
</Properties>
</file>