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651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A651E" w:rsidRDefault="00DA4FE6" w:rsidP="0010095E">
            <w:pPr>
              <w:pStyle w:val="EPName"/>
            </w:pPr>
            <w:r w:rsidRPr="00CA651E">
              <w:t>Parlament Ewropew</w:t>
            </w:r>
          </w:p>
          <w:p w:rsidR="00751A4A" w:rsidRPr="00CA651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651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A651E" w:rsidRDefault="00187494" w:rsidP="0010095E">
            <w:pPr>
              <w:pStyle w:val="EPLogo"/>
            </w:pPr>
            <w:r w:rsidRPr="00CA651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A651E" w:rsidRDefault="00D058B8" w:rsidP="004C5D52">
      <w:pPr>
        <w:pStyle w:val="LineTop"/>
      </w:pPr>
    </w:p>
    <w:p w:rsidR="00680577" w:rsidRPr="00CA651E" w:rsidRDefault="00DA4FE6" w:rsidP="00680577">
      <w:pPr>
        <w:pStyle w:val="EPBodyTA1"/>
      </w:pPr>
      <w:r w:rsidRPr="00CA651E">
        <w:t>TESTI ADOTTATI</w:t>
      </w:r>
    </w:p>
    <w:p w:rsidR="00D058B8" w:rsidRPr="00CA651E" w:rsidRDefault="00D058B8" w:rsidP="00D058B8">
      <w:pPr>
        <w:pStyle w:val="LineBottom"/>
      </w:pPr>
    </w:p>
    <w:p w:rsidR="00DA4FE6" w:rsidRPr="00CA651E" w:rsidRDefault="00DA4FE6" w:rsidP="00DA4FE6">
      <w:pPr>
        <w:pStyle w:val="ATHeading1"/>
      </w:pPr>
      <w:bookmarkStart w:id="0" w:name="TANumber"/>
      <w:r w:rsidRPr="00CA651E">
        <w:t>P9_TA(2024)0</w:t>
      </w:r>
      <w:r w:rsidR="00AB7738">
        <w:t>263</w:t>
      </w:r>
      <w:bookmarkEnd w:id="0"/>
    </w:p>
    <w:p w:rsidR="00DA4FE6" w:rsidRPr="00CA651E" w:rsidRDefault="00DA4FE6" w:rsidP="00DA4FE6">
      <w:pPr>
        <w:pStyle w:val="ATHeading2"/>
      </w:pPr>
      <w:bookmarkStart w:id="1" w:name="title"/>
      <w:r w:rsidRPr="00CA651E">
        <w:t>Kwittanza 2022: L-Awtorità Ewropea tal-Assigurazzjoni u l-Pensjonijiet tax-Xogħol</w:t>
      </w:r>
      <w:bookmarkEnd w:id="1"/>
    </w:p>
    <w:p w:rsidR="00DA4FE6" w:rsidRPr="00CA651E" w:rsidRDefault="00DA4FE6" w:rsidP="00DA4FE6">
      <w:pPr>
        <w:rPr>
          <w:i/>
          <w:vanish/>
        </w:rPr>
      </w:pPr>
      <w:r w:rsidRPr="00CA651E">
        <w:rPr>
          <w:i/>
        </w:rPr>
        <w:fldChar w:fldCharType="begin"/>
      </w:r>
      <w:r w:rsidRPr="00CA651E">
        <w:rPr>
          <w:i/>
        </w:rPr>
        <w:instrText xml:space="preserve"> TC"(</w:instrText>
      </w:r>
      <w:bookmarkStart w:id="2" w:name="DocNumber"/>
      <w:r w:rsidRPr="00CA651E">
        <w:rPr>
          <w:i/>
        </w:rPr>
        <w:instrText>A9-0097/2024</w:instrText>
      </w:r>
      <w:bookmarkEnd w:id="2"/>
      <w:r w:rsidRPr="00CA651E">
        <w:rPr>
          <w:i/>
        </w:rPr>
        <w:instrText xml:space="preserve"> - Rapporteur: Petri Sarvamaa)"\l3 \n&gt; \* MERGEFORMAT </w:instrText>
      </w:r>
      <w:r w:rsidRPr="00CA651E">
        <w:rPr>
          <w:i/>
        </w:rPr>
        <w:fldChar w:fldCharType="end"/>
      </w:r>
    </w:p>
    <w:p w:rsidR="00DA4FE6" w:rsidRPr="00CA651E" w:rsidRDefault="00DA4FE6" w:rsidP="00DA4FE6">
      <w:pPr>
        <w:rPr>
          <w:vanish/>
        </w:rPr>
      </w:pPr>
      <w:bookmarkStart w:id="3" w:name="Commission"/>
      <w:r w:rsidRPr="00CA651E">
        <w:rPr>
          <w:vanish/>
        </w:rPr>
        <w:t>Kumitat għall-Kontroll tal-Baġit</w:t>
      </w:r>
      <w:bookmarkEnd w:id="3"/>
    </w:p>
    <w:p w:rsidR="00DA4FE6" w:rsidRPr="00CA651E" w:rsidRDefault="00DA4FE6" w:rsidP="00DA4FE6">
      <w:pPr>
        <w:rPr>
          <w:vanish/>
        </w:rPr>
      </w:pPr>
      <w:bookmarkStart w:id="4" w:name="PE"/>
      <w:r w:rsidRPr="00CA651E">
        <w:rPr>
          <w:vanish/>
        </w:rPr>
        <w:t>PE753.521</w:t>
      </w:r>
      <w:bookmarkEnd w:id="4"/>
    </w:p>
    <w:p w:rsidR="00DA4FE6" w:rsidRPr="00CA651E" w:rsidRDefault="000E5325" w:rsidP="00DA4FE6">
      <w:pPr>
        <w:pStyle w:val="ATHeading3"/>
      </w:pPr>
      <w:bookmarkStart w:id="5" w:name="Sujet"/>
      <w:r>
        <w:t xml:space="preserve">1. </w:t>
      </w:r>
      <w:r w:rsidR="00DA4FE6" w:rsidRPr="00CA651E">
        <w:t>Deċiżjoni tal-Parlament Ewropew tal-11 ta' April 2024 dwar il-kwittanza għall-implimentazzjoni tal-baġit tal-Awtorità Ewropea tal-Assigurazzjoni u l-Pensjonijiet tax-Xogħol għas-sena finanzjarja 2022</w:t>
      </w:r>
      <w:bookmarkEnd w:id="5"/>
      <w:r w:rsidR="00DA4FE6" w:rsidRPr="00CA651E">
        <w:t xml:space="preserve"> </w:t>
      </w:r>
      <w:bookmarkStart w:id="6" w:name="References"/>
      <w:r w:rsidR="00DA4FE6" w:rsidRPr="00CA651E">
        <w:t>(2023/2153(DEC))</w:t>
      </w:r>
      <w:bookmarkEnd w:id="6"/>
    </w:p>
    <w:p w:rsidR="00FD499C" w:rsidRPr="00CA651E" w:rsidRDefault="00FD499C" w:rsidP="00FD499C">
      <w:pPr>
        <w:pStyle w:val="EPComma"/>
      </w:pPr>
      <w:bookmarkStart w:id="7" w:name="TextBodyBegin"/>
      <w:bookmarkEnd w:id="7"/>
      <w:r w:rsidRPr="00CA651E">
        <w:rPr>
          <w:i/>
        </w:rPr>
        <w:t>Il-Parlament Ewropew</w:t>
      </w:r>
      <w:r w:rsidRPr="00CA651E">
        <w:t>,</w:t>
      </w:r>
    </w:p>
    <w:p w:rsidR="00FD499C" w:rsidRPr="00CA651E" w:rsidRDefault="00FD499C" w:rsidP="00FD499C">
      <w:pPr>
        <w:pStyle w:val="NormalHanging12a"/>
      </w:pPr>
      <w:r w:rsidRPr="00CA651E">
        <w:t>–</w:t>
      </w:r>
      <w:r w:rsidRPr="00CA651E">
        <w:tab/>
        <w:t>wara li kkunsidra l-kontijiet annwali finali tal-Awtorità Ewropea tal-Assigurazzjoni u l-Pensjonijiet tax-Xogħol għas-sena finanzjarja 2022,</w:t>
      </w:r>
    </w:p>
    <w:p w:rsidR="00FD499C" w:rsidRPr="00CA651E" w:rsidRDefault="00FD499C" w:rsidP="00FD499C">
      <w:pPr>
        <w:pStyle w:val="NormalHanging12a"/>
      </w:pPr>
      <w:r w:rsidRPr="00CA651E">
        <w:t>–</w:t>
      </w:r>
      <w:r w:rsidRPr="00CA651E">
        <w:tab/>
        <w:t>wara li kkunsidra r-rapport annwali tal-Qorti tal-Awdituri dwar l-aġenziji tal-UE għas-sena finanzjarja 2022, flimkien mar-risposti tal-aġenziji</w:t>
      </w:r>
      <w:r w:rsidRPr="00CA651E">
        <w:rPr>
          <w:rStyle w:val="FootnoteReference"/>
        </w:rPr>
        <w:footnoteReference w:id="1"/>
      </w:r>
      <w:r w:rsidRPr="00CA651E">
        <w:t>,</w:t>
      </w:r>
    </w:p>
    <w:p w:rsidR="00FD499C" w:rsidRPr="00CA651E" w:rsidRDefault="00FD499C" w:rsidP="00FD499C">
      <w:pPr>
        <w:pStyle w:val="NormalHanging12a"/>
      </w:pPr>
      <w:r w:rsidRPr="00CA651E">
        <w:t>–</w:t>
      </w:r>
      <w:r w:rsidRPr="00CA651E">
        <w:tab/>
        <w:t>wara li kkunsidra d-dikjarazzjoni ta’ assigurazzjoni</w:t>
      </w:r>
      <w:r w:rsidRPr="00CA651E">
        <w:rPr>
          <w:rStyle w:val="FootnoteReference"/>
        </w:rPr>
        <w:footnoteReference w:id="2"/>
      </w:r>
      <w:r w:rsidRPr="00CA651E">
        <w:t xml:space="preserve"> dwar l-affidabbiltà tal-kontijiet u l-legalità u r-regolarità tat-tranżazzjonijiet ta’ bażi, ipprovduta mill-Qorti tal-Awdituri għas-sena finanzjarja 2022 skont l-Artikolu 287 tat-Trattat dwar il-Funzjonament tal-Unjoni Ewropea,</w:t>
      </w:r>
    </w:p>
    <w:p w:rsidR="00FD499C" w:rsidRPr="00CA651E" w:rsidRDefault="00FD499C" w:rsidP="00FD499C">
      <w:pPr>
        <w:pStyle w:val="NormalHanging12a"/>
      </w:pPr>
      <w:r w:rsidRPr="00CA651E">
        <w:t>–</w:t>
      </w:r>
      <w:r w:rsidRPr="00CA651E">
        <w:tab/>
        <w:t>wara li kkunsidra r-rakkomandazzjoni tal-Kunsill tat-22 ta’ Frar 2024 dwar il-kwittanza li għandha tingħata lill-Awtoritá fir-rigward tal-implimentazzjoni tal-baġit għas-sena finanzjarja 2022 (</w:t>
      </w:r>
      <w:r w:rsidR="00464F99">
        <w:t>06180</w:t>
      </w:r>
      <w:r w:rsidRPr="00CA651E">
        <w:t>/2024 – C9</w:t>
      </w:r>
      <w:r w:rsidRPr="00CA651E">
        <w:noBreakHyphen/>
      </w:r>
      <w:r w:rsidR="00464F99">
        <w:t>0091</w:t>
      </w:r>
      <w:r w:rsidRPr="00CA651E">
        <w:t>/2024),</w:t>
      </w:r>
    </w:p>
    <w:p w:rsidR="00FD499C" w:rsidRPr="00CA651E" w:rsidRDefault="00FD499C" w:rsidP="00FD499C">
      <w:pPr>
        <w:pStyle w:val="NormalHanging12a"/>
      </w:pPr>
      <w:r w:rsidRPr="00CA651E">
        <w:t>–</w:t>
      </w:r>
      <w:r w:rsidRPr="00CA651E">
        <w:tab/>
        <w:t>wara li kkunsidra l-Artikolu 319 tat-Trattat dwar il-Funzjonament tal-Unjoni Ewropea,</w:t>
      </w:r>
    </w:p>
    <w:p w:rsidR="00FD499C" w:rsidRPr="00CA651E" w:rsidRDefault="00FD499C" w:rsidP="00FD499C">
      <w:pPr>
        <w:pStyle w:val="NormalHanging12a"/>
      </w:pPr>
      <w:r w:rsidRPr="00CA651E">
        <w:t>–</w:t>
      </w:r>
      <w:r w:rsidRPr="00CA651E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CA651E">
        <w:rPr>
          <w:rStyle w:val="FootnoteReference"/>
        </w:rPr>
        <w:footnoteReference w:id="3"/>
      </w:r>
      <w:r w:rsidRPr="00CA651E">
        <w:t xml:space="preserve">, u b’mod partikolari l-Artikolu </w:t>
      </w:r>
      <w:r w:rsidRPr="00CA651E">
        <w:lastRenderedPageBreak/>
        <w:t>70 tiegħu,</w:t>
      </w:r>
    </w:p>
    <w:p w:rsidR="00FD499C" w:rsidRPr="00CA651E" w:rsidRDefault="00FD499C" w:rsidP="00FD499C">
      <w:pPr>
        <w:pStyle w:val="NormalHanging12a"/>
      </w:pPr>
      <w:r w:rsidRPr="00CA651E">
        <w:t>–</w:t>
      </w:r>
      <w:r w:rsidRPr="00CA651E">
        <w:tab/>
        <w:t>wara li kkunsidra r-Regolament (UE) Nru 1094/2010 tal-Parlament Ewropew u tal-Kunsill tal-24 ta’ Novembru 2010 li jistabbilixxi Awtorità Superviżorja Ewropea (Awtorità Ewropea tal-Assigurazzjoni u l-Pensjonijiet tax-Xogħol), u li jemenda d-Deċiżjoni Nru 716/2009/KE u li jħassar id-Deċiżjoni tal-Kummissjoni 2009/79/KE</w:t>
      </w:r>
      <w:r w:rsidRPr="00CA651E">
        <w:rPr>
          <w:rStyle w:val="FootnoteReference"/>
        </w:rPr>
        <w:footnoteReference w:id="4"/>
      </w:r>
      <w:r w:rsidRPr="00CA651E">
        <w:t>, u b’mod partikolari l-Artikolu 64 tiegħu,</w:t>
      </w:r>
    </w:p>
    <w:p w:rsidR="00FD499C" w:rsidRPr="00CA651E" w:rsidRDefault="00FD499C" w:rsidP="00FD499C">
      <w:pPr>
        <w:pStyle w:val="NormalHanging12a"/>
      </w:pPr>
      <w:r w:rsidRPr="00CA651E">
        <w:t>–</w:t>
      </w:r>
      <w:r w:rsidRPr="00CA651E">
        <w:tab/>
        <w:t>wara li kkunsidra r-Regolament Delegat tal-Kummissjoni (UE) 2019/715 tat-18 ta’ Diċembru 2018 dwar ir-regolament finanzjarju qafas għall-korpi mwaqqfin skont it-TFUE u t-Trattat Euratom u msemmija fl-Artikolu 70 tar-Regolament (UE, Euratom) 2018/1046 tal-Parlament Ewropew u tal-Kunsill</w:t>
      </w:r>
      <w:r w:rsidRPr="00CA651E">
        <w:rPr>
          <w:rStyle w:val="FootnoteReference"/>
        </w:rPr>
        <w:footnoteReference w:id="5"/>
      </w:r>
      <w:r w:rsidRPr="00CA651E">
        <w:t>, u b’mod partikolari l-Artikolu 105 tiegħu,</w:t>
      </w:r>
    </w:p>
    <w:p w:rsidR="00FD499C" w:rsidRPr="00CA651E" w:rsidRDefault="00FD499C" w:rsidP="00FD499C">
      <w:pPr>
        <w:pStyle w:val="NormalHanging12a"/>
      </w:pPr>
      <w:r w:rsidRPr="00CA651E">
        <w:t>–</w:t>
      </w:r>
      <w:r w:rsidRPr="00CA651E">
        <w:tab/>
        <w:t>wara li kkunsidra l-Artikolu 100 u l-Anness V tar-Regoli ta’ Proċedura tiegħu,</w:t>
      </w:r>
    </w:p>
    <w:p w:rsidR="00FD499C" w:rsidRPr="00CA651E" w:rsidRDefault="00FD499C" w:rsidP="00FD499C">
      <w:pPr>
        <w:pStyle w:val="NormalHanging12a"/>
      </w:pPr>
      <w:r w:rsidRPr="00CA651E">
        <w:t>–</w:t>
      </w:r>
      <w:r w:rsidRPr="00CA651E">
        <w:tab/>
        <w:t>wara li kkunsidra r-rapport tal-Kumitat għall-Kontroll tal-Baġit (A9-0097/2024),</w:t>
      </w:r>
    </w:p>
    <w:p w:rsidR="00FD499C" w:rsidRPr="00CA651E" w:rsidRDefault="00FD499C" w:rsidP="00FD499C">
      <w:pPr>
        <w:pStyle w:val="NormalHanging12a"/>
      </w:pPr>
      <w:r w:rsidRPr="00CA651E">
        <w:t>1.</w:t>
      </w:r>
      <w:r w:rsidRPr="00CA651E">
        <w:tab/>
        <w:t>Jagħti l-kwittanza lid-Direttur Eżekuttiv tal-Awtorità Ewropea tal-Assigurazzjoni u l-Pensjonijiet tax-Xogħol għall-implimentazzjoni tal-baġit tal-Awtorità għas-sena finanzjarja 2022;</w:t>
      </w:r>
    </w:p>
    <w:p w:rsidR="00FD499C" w:rsidRPr="00CA651E" w:rsidRDefault="00FD499C" w:rsidP="00FD499C">
      <w:pPr>
        <w:pStyle w:val="NormalHanging12a"/>
      </w:pPr>
      <w:r w:rsidRPr="00CA651E">
        <w:t>2.</w:t>
      </w:r>
      <w:r w:rsidRPr="00CA651E">
        <w:tab/>
        <w:t>Jippreżenta l-kummenti tiegħu fir-riżoluzzjoni t’hawn taħt;</w:t>
      </w:r>
    </w:p>
    <w:p w:rsidR="00FD499C" w:rsidRPr="00CA651E" w:rsidRDefault="00FD499C" w:rsidP="00FD499C">
      <w:pPr>
        <w:pStyle w:val="NormalHanging12a"/>
      </w:pPr>
      <w:r w:rsidRPr="00CA651E">
        <w:t>3.</w:t>
      </w:r>
      <w:r w:rsidRPr="00CA651E">
        <w:tab/>
        <w:t>Jagħti istruzzjonijiet lill-President tiegħu biex tgħaddi din id-deċiżjoni, kif ukoll ir-riżoluzzjoni li hija parti integrali minnha, lid-Direttur Eżekuttiv tal-Awtorità Ewropea tal-Assigurazzjoni u l-Pensjonijiet tax-Xogħol, lill-Kunsill, lill-Kummissjoni u lill-Qorti tal-Awdituri, u biex tiżgura li jiġu ppubblikati f’</w:t>
      </w:r>
      <w:r w:rsidRPr="00CA651E">
        <w:rPr>
          <w:i/>
        </w:rPr>
        <w:t>Il-Ġurnal Uffiċjali tal-Unjoni Ewropea</w:t>
      </w:r>
      <w:r w:rsidRPr="00CA651E">
        <w:t xml:space="preserve"> (serje L).</w:t>
      </w:r>
    </w:p>
    <w:p w:rsidR="00FD499C" w:rsidRPr="00CA651E" w:rsidRDefault="00FD499C" w:rsidP="00FD499C"/>
    <w:p w:rsidR="00FD499C" w:rsidRPr="00CA651E" w:rsidRDefault="00FD499C" w:rsidP="00FD499C">
      <w:pPr>
        <w:widowControl/>
        <w:rPr>
          <w:rFonts w:ascii="Arial" w:hAnsi="Arial" w:cs="Arial"/>
          <w:b/>
        </w:rPr>
        <w:sectPr w:rsidR="00FD499C" w:rsidRPr="00CA651E" w:rsidSect="00CA651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FD499C" w:rsidRPr="00CA651E" w:rsidRDefault="000E5325" w:rsidP="000E5325">
      <w:pPr>
        <w:pStyle w:val="ATHeading3"/>
      </w:pPr>
      <w:r>
        <w:lastRenderedPageBreak/>
        <w:t xml:space="preserve">2. Deċiżjoni tal-Parlament Ewropew tal-11 ta’ April 2024 </w:t>
      </w:r>
      <w:r w:rsidR="00FD499C" w:rsidRPr="00CA651E">
        <w:t>dwar l-għeluq tal-kontijiet tal-Awtorità Ewropea tal-Assigurazzjoni u l-Pensjonijiet tax-Xogħol għas-sena finanzjarja 2022</w:t>
      </w:r>
      <w:r>
        <w:t xml:space="preserve"> </w:t>
      </w:r>
      <w:r w:rsidR="00FD499C" w:rsidRPr="00CA651E">
        <w:t>(2023/2153(DEC))</w:t>
      </w:r>
    </w:p>
    <w:p w:rsidR="00FD499C" w:rsidRPr="00CA651E" w:rsidRDefault="00FD499C" w:rsidP="00FD499C">
      <w:pPr>
        <w:pStyle w:val="EPComma"/>
      </w:pPr>
      <w:r w:rsidRPr="00CA651E">
        <w:rPr>
          <w:i/>
        </w:rPr>
        <w:t>Il-Parlament Ewropew</w:t>
      </w:r>
      <w:r w:rsidRPr="00CA651E">
        <w:t>,</w:t>
      </w:r>
    </w:p>
    <w:p w:rsidR="00FD499C" w:rsidRPr="00CA651E" w:rsidRDefault="00FD499C" w:rsidP="00FD499C">
      <w:pPr>
        <w:pStyle w:val="NormalHanging12a"/>
      </w:pPr>
      <w:r w:rsidRPr="00CA651E">
        <w:t>–</w:t>
      </w:r>
      <w:r w:rsidRPr="00CA651E">
        <w:tab/>
        <w:t>wara li kkunsidra l-kontijiet annwali finali tal-Awtorità Ewropea tal-Assigurazzjoni u l-Pensjonijiet tax-Xogħol għas-sena finanzjarja 2022,</w:t>
      </w:r>
    </w:p>
    <w:p w:rsidR="00FD499C" w:rsidRPr="00CA651E" w:rsidRDefault="00FD499C" w:rsidP="00FD499C">
      <w:pPr>
        <w:pStyle w:val="NormalHanging12a"/>
      </w:pPr>
      <w:r w:rsidRPr="00CA651E">
        <w:t>–</w:t>
      </w:r>
      <w:r w:rsidRPr="00CA651E">
        <w:tab/>
        <w:t>wara li kkunsidra r-rapport annwali tal-Qorti tal-Awdituri dwar l-aġenziji tal-UE għas-sena finanzjarja 2022, flimkien mar-risposti tal-aġenziji</w:t>
      </w:r>
      <w:r w:rsidRPr="00CA651E">
        <w:rPr>
          <w:rStyle w:val="FootnoteReference"/>
        </w:rPr>
        <w:footnoteReference w:id="6"/>
      </w:r>
      <w:r w:rsidRPr="00CA651E">
        <w:t>,</w:t>
      </w:r>
    </w:p>
    <w:p w:rsidR="00FD499C" w:rsidRPr="00CA651E" w:rsidRDefault="00FD499C" w:rsidP="00FD499C">
      <w:pPr>
        <w:pStyle w:val="NormalHanging12a"/>
      </w:pPr>
      <w:r w:rsidRPr="00CA651E">
        <w:t>–</w:t>
      </w:r>
      <w:r w:rsidRPr="00CA651E">
        <w:tab/>
        <w:t>wara li kkunsidra d-dikjarazzjoni ta’ assigurazzjoni</w:t>
      </w:r>
      <w:r w:rsidRPr="00CA651E">
        <w:rPr>
          <w:rStyle w:val="FootnoteReference"/>
        </w:rPr>
        <w:footnoteReference w:id="7"/>
      </w:r>
      <w:r w:rsidRPr="00CA651E">
        <w:t xml:space="preserve"> dwar l-affidabbiltà tal-kontijiet u l-legalità u r-regolarità tat-tranżazzjonijiet ta’ bażi, ipprovduta mill-Qorti tal-Awdituri għas-sena finanzjarja 2022 skont l-Artikolu 287 tat-Trattat dwar il-Funzjonament tal-Unjoni Ewropea,</w:t>
      </w:r>
    </w:p>
    <w:p w:rsidR="00FD499C" w:rsidRPr="00CA651E" w:rsidRDefault="00FD499C" w:rsidP="00FD499C">
      <w:pPr>
        <w:pStyle w:val="NormalHanging12a"/>
      </w:pPr>
      <w:r w:rsidRPr="00CA651E">
        <w:t>–</w:t>
      </w:r>
      <w:r w:rsidRPr="00CA651E">
        <w:tab/>
        <w:t>wara li kkunsidra r-rakkomandazzjoni tal-Kunsill tat-22 ta’ Frar 2024 dwar il-kwittanza li għandha tingħata lill-Awtorità fir-rigward tal-implimentazzjoni tal-baġit għas-sena finanzjarja 2022 (</w:t>
      </w:r>
      <w:r w:rsidR="00464F99">
        <w:t>06180</w:t>
      </w:r>
      <w:r w:rsidRPr="00CA651E">
        <w:t>/2024 – C9</w:t>
      </w:r>
      <w:r w:rsidRPr="00CA651E">
        <w:noBreakHyphen/>
      </w:r>
      <w:r w:rsidR="00464F99">
        <w:t>0091</w:t>
      </w:r>
      <w:r w:rsidRPr="00CA651E">
        <w:t>/2024),</w:t>
      </w:r>
    </w:p>
    <w:p w:rsidR="00FD499C" w:rsidRPr="00CA651E" w:rsidRDefault="00FD499C" w:rsidP="00FD499C">
      <w:pPr>
        <w:pStyle w:val="NormalHanging12a"/>
      </w:pPr>
      <w:r w:rsidRPr="00CA651E">
        <w:t>–</w:t>
      </w:r>
      <w:r w:rsidRPr="00CA651E">
        <w:tab/>
        <w:t>wara li kkunsidra l-Artikolu 319 tat-Trattat dwar il-Funzjonament tal-Unjoni Ewropea,</w:t>
      </w:r>
    </w:p>
    <w:p w:rsidR="00FD499C" w:rsidRPr="00CA651E" w:rsidRDefault="00FD499C" w:rsidP="00FD499C">
      <w:pPr>
        <w:pStyle w:val="NormalHanging12a"/>
      </w:pPr>
      <w:r w:rsidRPr="00CA651E">
        <w:t>–</w:t>
      </w:r>
      <w:r w:rsidRPr="00CA651E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CA651E">
        <w:rPr>
          <w:rStyle w:val="FootnoteReference"/>
        </w:rPr>
        <w:footnoteReference w:id="8"/>
      </w:r>
      <w:r w:rsidRPr="00CA651E">
        <w:t>, u b’mod partikolari l-Artikolu 70 tiegħu,</w:t>
      </w:r>
    </w:p>
    <w:p w:rsidR="00FD499C" w:rsidRPr="00CA651E" w:rsidRDefault="00FD499C" w:rsidP="00FD499C">
      <w:pPr>
        <w:pStyle w:val="NormalHanging12a"/>
      </w:pPr>
      <w:r w:rsidRPr="00CA651E">
        <w:t>–</w:t>
      </w:r>
      <w:r w:rsidRPr="00CA651E">
        <w:tab/>
        <w:t>wara li kkunsidra r-Regolament (UE) Nru 1094/2010 tal-Parlament Ewropew u tal-Kunsill tal-24 ta’ Novembru 2010 li jistabbilixxi Awtorità Superviżorja Ewropea (Awtorità Ewropea tal-Assigurazzjoni u l-Pensjonijiet tax-Xogħol), u li jemenda d-Deċiżjoni Nru 716/2009/KE u li jħassar id-Deċiżjoni tal-Kummissjoni 2009/79/KE</w:t>
      </w:r>
      <w:r w:rsidRPr="00CA651E">
        <w:rPr>
          <w:rStyle w:val="FootnoteReference"/>
        </w:rPr>
        <w:footnoteReference w:id="9"/>
      </w:r>
      <w:r w:rsidRPr="00CA651E">
        <w:t>, u b’mod partikolari l-Artikolu 64 tiegħu,</w:t>
      </w:r>
    </w:p>
    <w:p w:rsidR="00FD499C" w:rsidRPr="00CA651E" w:rsidRDefault="00FD499C" w:rsidP="00FD499C">
      <w:pPr>
        <w:pStyle w:val="NormalHanging12a"/>
      </w:pPr>
      <w:r w:rsidRPr="00CA651E">
        <w:t>–</w:t>
      </w:r>
      <w:r w:rsidRPr="00CA651E">
        <w:tab/>
        <w:t>wara li kkunsidra r-Regolament Delegat tal-Kummissjoni (UE) 2019/715 tat-18 ta’ Diċembru 2018 dwar ir-regolament finanzjarju qafas għall-korpi mwaqqfin skont it-TFUE u t-Trattat Euratom u msemmija fl-Artikolu 70 tar-Regolament (UE, Euratom) 2018/1046 tal-Parlament Ewropew u tal-Kunsill</w:t>
      </w:r>
      <w:r w:rsidRPr="00CA651E">
        <w:rPr>
          <w:rStyle w:val="FootnoteReference"/>
        </w:rPr>
        <w:footnoteReference w:id="10"/>
      </w:r>
      <w:r w:rsidRPr="00CA651E">
        <w:t>, u b’mod partikolari l-Artikolu 105 tiegħu,</w:t>
      </w:r>
    </w:p>
    <w:p w:rsidR="00FD499C" w:rsidRPr="00CA651E" w:rsidRDefault="00FD499C" w:rsidP="00FD499C">
      <w:pPr>
        <w:pStyle w:val="NormalHanging12a"/>
      </w:pPr>
      <w:r w:rsidRPr="00CA651E">
        <w:t>–</w:t>
      </w:r>
      <w:r w:rsidRPr="00CA651E">
        <w:tab/>
        <w:t>wara li kkunsidra l-Artikolu 100 u l-Anness V tar-Regoli ta’ Proċedura tiegħu,</w:t>
      </w:r>
    </w:p>
    <w:p w:rsidR="00FD499C" w:rsidRPr="00CA651E" w:rsidRDefault="00FD499C" w:rsidP="00FD499C">
      <w:pPr>
        <w:pStyle w:val="NormalHanging12a"/>
      </w:pPr>
      <w:r w:rsidRPr="00CA651E">
        <w:lastRenderedPageBreak/>
        <w:t>–</w:t>
      </w:r>
      <w:r w:rsidRPr="00CA651E">
        <w:tab/>
        <w:t>wara li kkunsidra r-rapport tal-Kumitat għall-Kontroll tal-Baġit (A9-0097/2024),</w:t>
      </w:r>
    </w:p>
    <w:p w:rsidR="00FD499C" w:rsidRPr="00CA651E" w:rsidRDefault="00FD499C" w:rsidP="00FD499C">
      <w:pPr>
        <w:pStyle w:val="NormalHanging12a"/>
      </w:pPr>
      <w:r w:rsidRPr="00CA651E">
        <w:t>1.</w:t>
      </w:r>
      <w:r w:rsidRPr="00CA651E">
        <w:tab/>
        <w:t>Japprova l-għeluq tal-kontijiet tal-Awtorità Ewropea tal-Assigurazzjoni u l-Pensjonijiet tax-Xogħol għas-sena finanzjarja 2022;</w:t>
      </w:r>
    </w:p>
    <w:p w:rsidR="00FD499C" w:rsidRPr="00CA651E" w:rsidRDefault="00FD499C" w:rsidP="00FD499C">
      <w:pPr>
        <w:pStyle w:val="NormalHanging12a"/>
      </w:pPr>
      <w:r w:rsidRPr="00CA651E">
        <w:t>2.</w:t>
      </w:r>
      <w:r w:rsidRPr="00CA651E">
        <w:tab/>
        <w:t>Jagħti istruzzjonijiet lill-President tiegħu biex tgħaddi din id-deċiżjoni lid-Direttur Eżekuttiv tal-Awtorità Ewropea tal-Assigurazzjoni u l-Pensjonijiet tax-Xogħol, lill-Kunsill, lill-Kummissjoni u lill-Qorti tal-Awdituri, u biex tiżgura li tiġi ppubblikata f’</w:t>
      </w:r>
      <w:r w:rsidRPr="00CA651E">
        <w:rPr>
          <w:i/>
        </w:rPr>
        <w:t>Il-Ġurnal Uffiċjali tal-Unjoni Ewropea</w:t>
      </w:r>
      <w:r w:rsidRPr="00CA651E">
        <w:t xml:space="preserve"> (serje L).</w:t>
      </w:r>
    </w:p>
    <w:p w:rsidR="00FD499C" w:rsidRPr="00CA651E" w:rsidRDefault="00FD499C" w:rsidP="00FD499C"/>
    <w:p w:rsidR="00FD499C" w:rsidRPr="00CA651E" w:rsidRDefault="00FD499C" w:rsidP="00FD499C">
      <w:pPr>
        <w:widowControl/>
        <w:rPr>
          <w:rFonts w:ascii="Arial" w:hAnsi="Arial" w:cs="Arial"/>
          <w:b/>
        </w:rPr>
        <w:sectPr w:rsidR="00FD499C" w:rsidRPr="00CA651E" w:rsidSect="00CA651E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FD499C" w:rsidRPr="00CA651E" w:rsidRDefault="000E5325" w:rsidP="000E5325">
      <w:pPr>
        <w:pStyle w:val="ATHeading3"/>
      </w:pPr>
      <w:r>
        <w:lastRenderedPageBreak/>
        <w:t xml:space="preserve">3. Riżoluzzjoni tal-Parlament Ewropew tal-11 ta’ April 2024 </w:t>
      </w:r>
      <w:r w:rsidR="00FD499C" w:rsidRPr="00CA651E">
        <w:t>li tinkludi l-kummenti li jagħmlu parti integrali mid-deċiżjoni dwar il-kwittanza għall-implimentazzjoni tal-baġit tal-Awtorità Ewropea tal-Assigurazzjoni u l-Pensjonijiet tax-Xogħol għas-sena finanzjarja 2022</w:t>
      </w:r>
      <w:r>
        <w:t xml:space="preserve"> </w:t>
      </w:r>
      <w:r w:rsidR="00FD499C" w:rsidRPr="00CA651E">
        <w:t>(2023/2153(DEC))</w:t>
      </w:r>
    </w:p>
    <w:p w:rsidR="00FD499C" w:rsidRPr="00CA651E" w:rsidRDefault="00FD499C" w:rsidP="00FD499C">
      <w:pPr>
        <w:pStyle w:val="EPComma"/>
      </w:pPr>
      <w:r w:rsidRPr="00CA651E">
        <w:rPr>
          <w:i/>
        </w:rPr>
        <w:t>Il-Parlament Ewropew</w:t>
      </w:r>
      <w:r w:rsidRPr="00CA651E">
        <w:t>,</w:t>
      </w:r>
    </w:p>
    <w:p w:rsidR="00FD499C" w:rsidRPr="00CA651E" w:rsidRDefault="00FD499C" w:rsidP="00FD499C">
      <w:pPr>
        <w:pStyle w:val="NormalHanging12a"/>
      </w:pPr>
      <w:r w:rsidRPr="00CA651E">
        <w:t>–</w:t>
      </w:r>
      <w:r w:rsidRPr="00CA651E">
        <w:tab/>
        <w:t>wara li kkunsidra d-deċiżjoni tiegħu dwar il-kwittanza għall-implimentazzjoni tal-baġit tal-Awtorità Ewropea tal-Assigurazzjoni u l-Pensjonijiet tax-Xogħol għas-sena finanzjarja 2022,</w:t>
      </w:r>
    </w:p>
    <w:p w:rsidR="00FD499C" w:rsidRPr="00CA651E" w:rsidRDefault="00FD499C" w:rsidP="00FD499C">
      <w:pPr>
        <w:pStyle w:val="NormalHanging12a"/>
      </w:pPr>
      <w:r w:rsidRPr="00CA651E">
        <w:t>–</w:t>
      </w:r>
      <w:r w:rsidRPr="00CA651E">
        <w:tab/>
        <w:t>wara li kkunsidra l-Artikolu 100 u l-Anness V tar-Regoli ta’ Proċedura tiegħu,</w:t>
      </w:r>
    </w:p>
    <w:p w:rsidR="00FD499C" w:rsidRPr="00CA651E" w:rsidRDefault="00FD499C" w:rsidP="00FD499C">
      <w:pPr>
        <w:pStyle w:val="NormalHanging12a"/>
      </w:pPr>
      <w:r w:rsidRPr="00CA651E">
        <w:t>–</w:t>
      </w:r>
      <w:r w:rsidRPr="00CA651E">
        <w:tab/>
        <w:t>wara li kkunsidra r-rapport tal-Kumitat għall-Kontroll tal-Baġit (A9-0097/2024),</w:t>
      </w:r>
    </w:p>
    <w:p w:rsidR="00FD499C" w:rsidRPr="00CA651E" w:rsidRDefault="00FD499C" w:rsidP="00FD499C">
      <w:pPr>
        <w:widowControl/>
        <w:spacing w:after="240"/>
        <w:ind w:left="567" w:hanging="567"/>
        <w:rPr>
          <w:szCs w:val="24"/>
        </w:rPr>
      </w:pPr>
      <w:r w:rsidRPr="00CA651E">
        <w:t>A.</w:t>
      </w:r>
      <w:r w:rsidRPr="00CA651E">
        <w:tab/>
        <w:t>billi, skont id-dikjarazzjoni tad-dħul u l-infiq tagħha</w:t>
      </w:r>
      <w:r w:rsidRPr="00CA651E">
        <w:rPr>
          <w:rStyle w:val="FootnoteReference"/>
          <w:szCs w:val="24"/>
        </w:rPr>
        <w:footnoteReference w:id="11"/>
      </w:r>
      <w:r w:rsidRPr="00CA651E">
        <w:t>, il-baġit finali tal-Awtorità Ewropea tal-Assigurazzjoni u l-Pensjonijiet tax-Xogħol (“l-Awtorità”) għas-sena finanzjarja 2022 kien jammonta għal EUR 34 571 120, li jirrappreżenta żieda ta’ 5,27 % meta mqabbel mal-2021; billi l-Awtorità hija ffinanzjata minn kontribuzzjoni mill-Unjoni (EUR 12 932 000, li tirrappreżenta 37,40 %) u kontribuzzjonijiet mill-awtoritajiet superviżorji nazzjonali mill-Istati Membri (EUR 21 076 120, li jirrappreżentaw 60,96 %);</w:t>
      </w:r>
    </w:p>
    <w:p w:rsidR="00FD499C" w:rsidRPr="00CA651E" w:rsidRDefault="00FD499C" w:rsidP="00FD499C">
      <w:pPr>
        <w:widowControl/>
        <w:spacing w:after="240"/>
        <w:ind w:left="567" w:hanging="567"/>
        <w:rPr>
          <w:szCs w:val="24"/>
        </w:rPr>
      </w:pPr>
      <w:r w:rsidRPr="00CA651E">
        <w:t>B.</w:t>
      </w:r>
      <w:r w:rsidRPr="00CA651E">
        <w:tab/>
        <w:t>billi l-Qorti tal-Awdituri (“il-Qorti”), fir-rapport tagħha dwar il-kontijiet annwali tal-Awtorità Ewropea tal-Assigurazzjoni u l-Pensjonijiet tax-Xogħol għas-sena finanzjarja 2022 (“ir-rapport tal-Qorti”), tiddikjara li kisbet aċċertament raġonevoli li l-kontijiet annwali tal-Awtorità huma affidabbli u li t-tranżazzjonijiet ta’ bażi huma legali u regolari;</w:t>
      </w:r>
    </w:p>
    <w:p w:rsidR="00FD499C" w:rsidRPr="00CA651E" w:rsidRDefault="00FD499C" w:rsidP="00FD499C">
      <w:pPr>
        <w:widowControl/>
        <w:spacing w:after="240"/>
        <w:ind w:left="567" w:hanging="567"/>
        <w:rPr>
          <w:b/>
          <w:i/>
          <w:szCs w:val="24"/>
        </w:rPr>
      </w:pPr>
      <w:r w:rsidRPr="00CA651E">
        <w:rPr>
          <w:b/>
          <w:i/>
        </w:rPr>
        <w:t>Ġestjoni baġitarja u finanzjarja</w:t>
      </w:r>
    </w:p>
    <w:p w:rsidR="00FD499C" w:rsidRPr="00CA651E" w:rsidRDefault="00FD499C" w:rsidP="00FD499C">
      <w:pPr>
        <w:widowControl/>
        <w:spacing w:after="240"/>
        <w:ind w:left="567" w:hanging="567"/>
        <w:rPr>
          <w:szCs w:val="24"/>
        </w:rPr>
      </w:pPr>
      <w:r w:rsidRPr="00CA651E">
        <w:t>1.</w:t>
      </w:r>
      <w:r w:rsidRPr="00CA651E">
        <w:tab/>
        <w:t>Jinnota, b’sodisfazzjon, li l-isforzi ta’ monitoraġġ tal-baġit matul is-sena finanzjarja 2022 irriżultaw f’rata ta’ implimentazzjoni tal-baġit ta’ 99,46 %, li tirrappreżenta tnaqqis ta’ 0,52 % meta mqabbel mal-2021; jinnota, madankollu, li r-rata ta’ eżekuzzjoni tal-approprjazzjonijiet ta’ pagament kienet ta’ 92,07 %, li tirrappreżenta żieda ta’ 12,95 % meta mqabbel mal-2021;</w:t>
      </w:r>
    </w:p>
    <w:p w:rsidR="00FD499C" w:rsidRPr="00CA651E" w:rsidRDefault="00FD499C" w:rsidP="00FD499C">
      <w:pPr>
        <w:widowControl/>
        <w:spacing w:after="240"/>
        <w:ind w:left="567" w:hanging="567"/>
        <w:rPr>
          <w:szCs w:val="24"/>
        </w:rPr>
      </w:pPr>
      <w:r w:rsidRPr="00CA651E">
        <w:rPr>
          <w:b/>
          <w:i/>
        </w:rPr>
        <w:t>Prestazzjoni</w:t>
      </w:r>
    </w:p>
    <w:p w:rsidR="00FD499C" w:rsidRPr="00CA651E" w:rsidRDefault="00FD499C" w:rsidP="00FD499C">
      <w:pPr>
        <w:widowControl/>
        <w:spacing w:after="240"/>
        <w:ind w:left="567" w:hanging="567"/>
        <w:rPr>
          <w:szCs w:val="24"/>
        </w:rPr>
      </w:pPr>
      <w:r w:rsidRPr="00CA651E">
        <w:t>2.</w:t>
      </w:r>
      <w:r w:rsidRPr="00CA651E">
        <w:tab/>
        <w:t>Jinnota li l-Awtorità tuża ċerti miżuri bħalma huma l-indikaturi ewlenin tal-prestazzjoni biex tivvaluta l-valur miżjud ipprovdut permezz tal-attivitajiet tagħha u miżuri oħrajn biex ittejjeb il-ġestjoni baġitarja tagħha; jinnota li, fl-2022, l-Awtorità stabbiliet 17-il mira ta’ livell strateġiku għall-prestazzjoni fis-seba’ oqsma ewlenin ta’ ħidma tagħha; jinnota, b’apprezzament, li l-Awtorità laħqet jew qabżet 15 minn dawk il-miri, filwaqt li ż-żewġ miri l-oħra tqiesu mhux applikabbli li jiġi rrapportat dwarhom minħabba d-dipendenza tagħhom fuq l-iskedi ta’ żmien leġiżlattivi tal-Att dwar ir-Reżiljenza Operazzjonali Diġitali (DORA) u t-tfixkil teknoloġiku;</w:t>
      </w:r>
    </w:p>
    <w:p w:rsidR="00FD499C" w:rsidRPr="00CA651E" w:rsidRDefault="00FD499C" w:rsidP="00FD499C">
      <w:pPr>
        <w:widowControl/>
        <w:spacing w:after="240"/>
        <w:ind w:left="567" w:hanging="567"/>
        <w:rPr>
          <w:szCs w:val="24"/>
        </w:rPr>
      </w:pPr>
      <w:r w:rsidRPr="00CA651E">
        <w:lastRenderedPageBreak/>
        <w:t>3.</w:t>
      </w:r>
      <w:r w:rsidRPr="00CA651E">
        <w:tab/>
        <w:t>Josserva li 342 prodott u servizz, li jirrappreżentaw 91 % tat-total, twasslu kif ippjanat mill-Awtorità, filwaqt li 20 prodott u servizz ieħor esperjenzaw dewmien żgħir u 13 ma tkomplewx, spiss b’riżultat tad-dipendenza fuq l-iskedi ta’ żmien tad-deċiżjonijiet leġiżlattivi bħar-Rieżami tas-Solvenza II jew fuq l-iżviluppi teknoloġiċi fis-suq, u prijoritajiet li jikkompetu ma’ xulxin; ifaħħar lill-Awtorità għal żieda fl-interventi orali tagħha minn 167 fl-2021 għal 214 fl-2022;</w:t>
      </w:r>
    </w:p>
    <w:p w:rsidR="00FD499C" w:rsidRPr="00CA651E" w:rsidRDefault="00FD499C" w:rsidP="00FD499C">
      <w:pPr>
        <w:widowControl/>
        <w:spacing w:after="240"/>
        <w:ind w:left="567" w:hanging="567"/>
        <w:rPr>
          <w:szCs w:val="24"/>
        </w:rPr>
      </w:pPr>
      <w:r w:rsidRPr="00CA651E">
        <w:t>4.</w:t>
      </w:r>
      <w:r w:rsidRPr="00CA651E">
        <w:tab/>
        <w:t>Jirrikonoxxi l-bosta kisbiet tal-Awtorità fl-2022 li wettqu fil-biċċa l-kbira l-objettivi tagħha fl-oqsma tal-konverġenza tas-superviżjoni, il-protezzjoni tal-konsumatur u l-istabbiltà finanzjarja; jinnota, b’mod partikolari, li l-Awtorità wettqet l-ewwel test tal-istress klimatiku tal-IORP tagħha biex tikseb għarfien dwar l-effetti tar-riskji ambjentali fuq is-settur Ewropew tal-pensjonijiet tax-xogħol, ippreżentat l-istandards tekniċi ta’ implimentazzjoni li jistabbilixxu r-rekwiżiti ta’ rapportar superviżorju u ta’ divulgazzjoni skont Solvenza II lill-Kummissjoni, ippubblikat għadd ta’ dokumenti, rapporti u gwidi dwar l-integrazzjoni tar-riskji għas-sostenibbiltà fil-ġestjoni tar-riskju ta’ assiguraturi, reassiguraturi u fondi tal-pensjonijiet tax-xogħol, u pprovdiet input u pariri tekniċi lill-Parlament Ewropew u lill-Kunsill matul il-proċess leġiżlattiv fir-rigward tal-Att dwar l-Intelliġenza Artifiċjali u d-DORA; ifaħħar lill-Awtorità għad-diversi inizjattivi u azzjonijiet tagħha fil-qasam tat-trasformazzjoni diġitali ta’ appoġġ għall-objettivi tal-Istrateġija tal-Unjoni għall-Finanzi Diġitali, inkluż billi tikkontribwixxi, flimkien ma’ diversi partijiet ikkonċernati, bħall-Istitut Universitarju Ewropew, għall-istabbiliment tal-“Akkademja Superviżorja tal-Finanzi Diġitali tal-UE”;</w:t>
      </w:r>
    </w:p>
    <w:p w:rsidR="00FD499C" w:rsidRPr="00CA651E" w:rsidRDefault="00FD499C" w:rsidP="00FD499C">
      <w:pPr>
        <w:widowControl/>
        <w:spacing w:after="240"/>
        <w:ind w:left="567" w:hanging="567"/>
        <w:rPr>
          <w:szCs w:val="24"/>
        </w:rPr>
      </w:pPr>
      <w:r w:rsidRPr="00CA651E">
        <w:t>5.</w:t>
      </w:r>
      <w:r w:rsidRPr="00CA651E">
        <w:tab/>
        <w:t>Jinnota li l-Awtorità użat għall-ewwel darba għadd ta’ setgħat u għodod mogħtija lilha mir-Regolament dwar l-EIOPA; jinnota, f’dak il-kuntest, li fl-2022 l-Awtorità ħarġet rakkomandazzjoni lill-Bank Nazzjonali tas-Slovakkja (NBS) wara l-konklużjonijiet tal-Awtorità li ksur ta’ rekwiżiti kapitali mwettaq minn kumpanija tal-assigurazzjoni Slovakka ma kienx ġie indirizzat b’mod xieraq minn perspettiva superviżorja; jinnota wkoll, bi tħassib, li l-Awtorità sabet li l-NBS kiser id-dritt tal-Unjoni u, b’konsegwenza, il-Kummissjoni ħarġet opinjoni formali li tirrikjedi li huwa jieħu l-azzjoni meħtieġa biex jikkonforma mad-dritt tal-Unjoni u twettqet inkjesta fuq il-bażi tal-Artikolu 22 tar-Regolament dwar l-EIOPA; jistieden lill-Awtorità żżomm lill-awtorità ta’ kwittanza informata dwar is-segwitu u r-riżultati ta’ dik l-inkjesta;</w:t>
      </w:r>
    </w:p>
    <w:p w:rsidR="00FD499C" w:rsidRPr="00CA651E" w:rsidRDefault="00FD499C" w:rsidP="00FD499C">
      <w:pPr>
        <w:widowControl/>
        <w:spacing w:after="240"/>
        <w:ind w:left="567" w:hanging="567"/>
        <w:rPr>
          <w:szCs w:val="24"/>
        </w:rPr>
      </w:pPr>
      <w:r w:rsidRPr="00CA651E">
        <w:t>6.</w:t>
      </w:r>
      <w:r w:rsidRPr="00CA651E">
        <w:tab/>
        <w:t>Jinnota li l-Awtorità kkontribwiet biex tiżgura l-istabbiltà finanzjarja u tipproteġi lill-konsumaturi billi mmonitorjat bir-reqqa s-swieq u vvalutat l-impatt fil-kuntest il-ġdid tal-invażjoni mhux provokata u illegali tar-Russja kontra l-Ukrajna u l-issikkar progressiv tal-politika monetarja b’reazzjoni għar-rati ta’ inflazzjoni rekord madwar l-Ewropa; jilqa’ l-pubblikazzjoni f’waqtha fl-2022 ta’ dikjarazzjoni superviżorja dwar l-inflazzjoni li tiffoka fuq kif l-inflazzjoni taffettwa d-dispożizzjonijiet tekniċi, l-investimenti u r-rekwiżiti kapitali tas-solvenza;</w:t>
      </w:r>
    </w:p>
    <w:p w:rsidR="00FD499C" w:rsidRPr="00CA651E" w:rsidRDefault="00FD499C" w:rsidP="00FD499C">
      <w:pPr>
        <w:pStyle w:val="NormalHanging12a"/>
      </w:pPr>
      <w:r w:rsidRPr="00CA651E">
        <w:t>7.</w:t>
      </w:r>
      <w:r w:rsidRPr="00CA651E">
        <w:tab/>
        <w:t>Jinnota li f’Settembru 2022, l-Awtorità stabbiliet l-istrateġija tagħha għall-perjodu 2023 – 2026, li fiha identifikat prijoritajiet strateġiċi, inkluż it-tisħiħ tar-reżiljenza u s-sostenibbiltà tas-setturi tal-assigurazzjoni u tal-pensjonijiet, u l-iżgurar tal-protezzjoni b’saħħitha u konsistenti tal-interessi tal-konsumaturi madwar l-Unjoni;</w:t>
      </w:r>
    </w:p>
    <w:p w:rsidR="00FD499C" w:rsidRPr="00CA651E" w:rsidRDefault="00FD499C" w:rsidP="00FD499C">
      <w:pPr>
        <w:widowControl/>
        <w:spacing w:after="240"/>
        <w:ind w:left="567" w:hanging="567"/>
        <w:rPr>
          <w:b/>
          <w:i/>
          <w:szCs w:val="24"/>
        </w:rPr>
      </w:pPr>
      <w:r w:rsidRPr="00CA651E">
        <w:rPr>
          <w:b/>
          <w:i/>
        </w:rPr>
        <w:t>Effiċjenza u titjib</w:t>
      </w:r>
    </w:p>
    <w:p w:rsidR="00FD499C" w:rsidRPr="00CA651E" w:rsidRDefault="00FD499C" w:rsidP="00FD499C">
      <w:pPr>
        <w:widowControl/>
        <w:spacing w:after="240"/>
        <w:ind w:left="567" w:hanging="567"/>
        <w:rPr>
          <w:rFonts w:cstheme="minorHAnsi"/>
        </w:rPr>
      </w:pPr>
      <w:r w:rsidRPr="00CA651E">
        <w:t>8.</w:t>
      </w:r>
      <w:r w:rsidRPr="00CA651E">
        <w:tab/>
        <w:t xml:space="preserve">Jinnota li l-Awtoritajiet Superviżorji Ewropej (ASE) jikkoordinaw, jikkondividu u jappoġġjaw lil xulxin f’ħafna oqsma, kemm f’oqsma tan-negozju ewlieni kif ukoll </w:t>
      </w:r>
      <w:r w:rsidRPr="00CA651E">
        <w:lastRenderedPageBreak/>
        <w:t>f’dawk ta’ appoġġ; jilqa’ l-fatt li l-ASE ngħaqdu flimkien f’inizjattivi strateġiċi bħall-iżvilupp ta’ applikazzjonijiet tas-software, l-infrastruttura tan-network u l-konsulenza tal-IT billi, pereżempju, użaw l-istess fornituri; jinnota, f’dak il-kuntest, li l-Istrateġija dwar il-Cloud tal-Awtorità, li ġiet approvata fl-2022, kienet żviluppata mill-Awtorità flimkien maż-żewġ ASE l-oħra, Istituzzjonijiet oħra tal-Unjoni u l-awtoritajiet nazzjonali kompetenti (NCAs) u li għandha l-għan li tipprovdi prodotti aktar awtonomi, awtomatizzati u self-service biex jaqdu lill-esperti tal-Awtorità u lill-NCAs;</w:t>
      </w:r>
    </w:p>
    <w:p w:rsidR="00FD499C" w:rsidRPr="00CA651E" w:rsidRDefault="00FD499C" w:rsidP="00FD499C">
      <w:pPr>
        <w:widowControl/>
        <w:spacing w:after="240"/>
        <w:ind w:left="567" w:hanging="567"/>
        <w:rPr>
          <w:rFonts w:cstheme="minorHAnsi"/>
        </w:rPr>
      </w:pPr>
      <w:r w:rsidRPr="00CA651E">
        <w:t>9.</w:t>
      </w:r>
      <w:r w:rsidRPr="00CA651E">
        <w:tab/>
        <w:t>Ifaħħar lill-Awtorità għall-investiment tagħha u l-allokazzjoni tal-persunal għal proġetti fil-qasam tat-trasformazzjoni diġitali, biex tilħaq livelli ġodda ta’ effiċjenza billi tawtomatizza u tissimplifika l-proċessi tan-negozju u ttejjeb iż-żmien għas-suq u l-kollaborazzjoni fil-funzjonijiet u bejniethom, fost l-oħrajn; jilqa’, f’dan il-kuntest, il-proġetti tal-Awtorità mwettqa fl-2022 li jiffukaw fuq it-titjib tal-kapaċitajiet tal-analiżi tad-data biex jintlaħaq l-għan li l-Awtorità tinbidel f’organizzazzjoni kompletament diġitali u mmexxija mid-data;</w:t>
      </w:r>
    </w:p>
    <w:p w:rsidR="00FD499C" w:rsidRPr="00CA651E" w:rsidRDefault="00FD499C" w:rsidP="00FD499C">
      <w:pPr>
        <w:pStyle w:val="NormalHanging12a"/>
      </w:pPr>
      <w:r w:rsidRPr="00CA651E">
        <w:t>10.</w:t>
      </w:r>
      <w:r w:rsidRPr="00CA651E">
        <w:tab/>
        <w:t>Josserva li, fir-rigward tal-prattiki tan-negozju ta’ kuljum, l-Awtorità implimentat firxa ta’ miżuri biex ittejjeb il-kosteffiċjenza, bħal xogħol ibridu, desk-sharing, kif ukoll soluzzjonijiet moderni ta’ vidjokonferenzi li wasslu għat-tnaqqis tal-ivvjaġġar fuq xogħol; jinnota li, sabiex tippreserva l-għarfien istituzzjonali, l-għarfien espert u l-effiċjenza fit-twettiq tal-kompiti ewlenin, l-Awtorità kompliet issaħħaħ is-Sistema ta’ Ġestjoni tat-Talent integrata tagħha li tippermetti proċessi tal-HR allinjati strateġikament, tiftix aħjar ta’ kandidati u tagħlim u żvilupp aktar ingranati; jistieden lill-Awtorità tipprovdi lill-awtorità ta’ kwittanza data u ċifri dwar l-impatt ta’ dik is-sistema;</w:t>
      </w:r>
    </w:p>
    <w:p w:rsidR="00FD499C" w:rsidRPr="00CA651E" w:rsidRDefault="00FD499C" w:rsidP="00FD499C">
      <w:pPr>
        <w:widowControl/>
        <w:spacing w:after="240"/>
        <w:ind w:left="567" w:hanging="567"/>
        <w:rPr>
          <w:rFonts w:cstheme="minorHAnsi"/>
          <w:iCs/>
        </w:rPr>
      </w:pPr>
      <w:r w:rsidRPr="00CA651E">
        <w:t>11.</w:t>
      </w:r>
      <w:r w:rsidRPr="00CA651E">
        <w:tab/>
        <w:t>Jinnota, mir-rapport tal-Qorti, li l-Awtorità hija fost l-aġenziji li għandhom pjan korporattiv biex itejbu l-effiċjenza enerġetika u n-newtralità klimatika tal-operati tagħhom, u li joħorġu dikjarazzjoni ambjentali (pereżempju dwar ir-rapportar tal-impronta tal-karbonju) bħala parti mir-rapporti annwali tal-attività tagħhom; ifaħħar ukoll lill-Awtorità talli ngħatat iċ-ċertifikat EMAS (Skema ta’ Ġestjoni u Verifika Ambjentali tal-Unjoni Ewropea) fl-2022 bil-għan li tikseb l-akkreditazzjoni formali tal-EMAS fl-2023;</w:t>
      </w:r>
    </w:p>
    <w:p w:rsidR="00FD499C" w:rsidRPr="00CA651E" w:rsidRDefault="00FD499C" w:rsidP="00FD499C">
      <w:pPr>
        <w:widowControl/>
        <w:spacing w:after="240"/>
        <w:ind w:left="567" w:hanging="567"/>
        <w:rPr>
          <w:b/>
          <w:i/>
          <w:szCs w:val="24"/>
        </w:rPr>
      </w:pPr>
      <w:r w:rsidRPr="00CA651E">
        <w:rPr>
          <w:b/>
          <w:i/>
        </w:rPr>
        <w:t>Politika dwar il-persunal</w:t>
      </w:r>
    </w:p>
    <w:p w:rsidR="00FD499C" w:rsidRPr="00CA651E" w:rsidRDefault="00FD499C" w:rsidP="00FD499C">
      <w:pPr>
        <w:widowControl/>
        <w:spacing w:after="240"/>
        <w:ind w:left="567" w:hanging="567"/>
        <w:rPr>
          <w:szCs w:val="24"/>
        </w:rPr>
      </w:pPr>
      <w:r w:rsidRPr="00CA651E">
        <w:t>12.</w:t>
      </w:r>
      <w:r w:rsidRPr="00CA651E">
        <w:tab/>
        <w:t>Jinnota li, fil-31 ta’ Diċembru 2022, 99 %, l-istess bħal fl-2021, tat-tabella tal-persunal kienet ikkompletata, u nħatru 137 aġent temporanju mill-138 aġent temporanju awtorizzat skont il-baġit tal-Unjoni; jinnota li, barra minn hekk, 36 aġent kuntrattwali u 24 espert nazzjonali sekondat ġew impjegati mill-Awtorità fl-2022;</w:t>
      </w:r>
    </w:p>
    <w:p w:rsidR="00FD499C" w:rsidRPr="00CA651E" w:rsidRDefault="00FD499C" w:rsidP="00FD499C">
      <w:pPr>
        <w:pStyle w:val="NormalHanging12a"/>
      </w:pPr>
      <w:r w:rsidRPr="00CA651E">
        <w:t>13.</w:t>
      </w:r>
      <w:r w:rsidRPr="00CA651E">
        <w:tab/>
        <w:t>Jinnota t-tqassim skont il-ġeneru tal-Awtorità rrappurtat għall-2022 bi 15-il raġel (65,20 %) u 8 nisa (34,80 %) f’pożizzjonijiet maniġerjali intermedji u superjuri u fil-Bord Maniġerjali tagħha, u 104 rġiel (53,60 %) u 90 mara (46,40 %) fil-persunal ġenerali tagħha; ifakkar fl-importanza tal-iżgurar ta’ bilanċ bejn il-ġeneri u jistieden lill-Awtorità tqis dan fir-rigward tar-reklutaġġ ta’ persunal u ħatriet futuri fi ħdan il-maniġment superjuri u medju tagħha;</w:t>
      </w:r>
    </w:p>
    <w:p w:rsidR="00FD499C" w:rsidRPr="00CA651E" w:rsidRDefault="00FD499C" w:rsidP="00FD499C">
      <w:pPr>
        <w:pStyle w:val="NormalHanging12a"/>
      </w:pPr>
      <w:r w:rsidRPr="00CA651E">
        <w:t>14.</w:t>
      </w:r>
      <w:r w:rsidRPr="00CA651E">
        <w:tab/>
        <w:t xml:space="preserve">Jilqa’ l-fatt li, fl-2022, l-Awtorità kompliet l-implimentazzjoni tal-istrateġija għad-diversità u l-inklużjoni (adottata fl-2021) u l-pjan ta’ azzjoni dettaljat tagħha f’konformità mal-Karta tal-EUAN dwar id-Diversità permezz ta’ inizjattivi li jkopru </w:t>
      </w:r>
      <w:r w:rsidRPr="00CA651E">
        <w:lastRenderedPageBreak/>
        <w:t>miżuri trasversali bħall-kollaborazzjoni ma’ istituzzjonijiet oħra, l-attirar u l-għażla ta’ forza tax-xogħol aktar diversa, il-prevenzjoni tad-diskriminazzjoni, il-fastidju, il-preġudizzju konsapevoli u inkonsapevoli, u l-monitoraġġ ta’ data relatata mad-diversità u l-inklużjoni; jinnota li, fl-2022, ġie rrappurtat każ wieħed ta’ allegat fastidju, iżda l-każ ingħalaq mingħajr azzjonijiet ulterjuri peress li, wara valutazzjoni preliminari, prima facie ma nstabet l-ebda evidenza;</w:t>
      </w:r>
    </w:p>
    <w:p w:rsidR="00FD499C" w:rsidRPr="00CA651E" w:rsidRDefault="00FD499C" w:rsidP="00FD499C">
      <w:pPr>
        <w:widowControl/>
        <w:spacing w:after="240"/>
        <w:ind w:left="567" w:hanging="567"/>
        <w:rPr>
          <w:szCs w:val="24"/>
        </w:rPr>
      </w:pPr>
      <w:r w:rsidRPr="00CA651E">
        <w:t>15.</w:t>
      </w:r>
      <w:r w:rsidRPr="00CA651E">
        <w:tab/>
        <w:t>Jilqa’ l-fatt li l-Awtorità hija ddedikata li trawwem u tipprovdi ambjent tax-xogħol varjat u inklużiv li huwa adattat ukoll għall-ħtiġijiet ta’ persuni b’diżabbiltà; jinnota, f’dak il-kuntest, li fl-2022 il-koordinatur u l-ambaxxatur intern tal-Awtorità dwar id-diżabbiltà kien innominat biex ikompli jsaħħaħ u jiffoka l-attenzjoni fuq dak il-qasam partikolari, twettaq stħarriġ relatat tal-persunal u l-maniġment, u ttieħdu azzjonijiet ta’ sensibilizzazzjoni;</w:t>
      </w:r>
    </w:p>
    <w:p w:rsidR="00FD499C" w:rsidRPr="00CA651E" w:rsidRDefault="00FD499C" w:rsidP="00FD499C">
      <w:pPr>
        <w:pStyle w:val="NormalHanging12a"/>
      </w:pPr>
      <w:r w:rsidRPr="00CA651E">
        <w:t>16.</w:t>
      </w:r>
      <w:r w:rsidRPr="00CA651E">
        <w:tab/>
        <w:t>Jinnota b’sodisfazzjon li l-Awtorità baqgħet impenjata bis-sħiħ li ttejjeb il-benesseri tal-persunal u l-bilanċ bejn ix-xogħol u l-ħajja privata, b’riżultati pożittivi osservati fl-involviment u s-sodisfazzjon tal-persunal; jinnota li l-oqsma ewlenin kienu jinkludu arranġamenti ta’ xogħol flessibbli, telexogħol, gwida tul il-ħajja u żvilupp tal-karriera, programmi ta’ benesseri u maniġment li joffri appoġġ;</w:t>
      </w:r>
    </w:p>
    <w:p w:rsidR="00FD499C" w:rsidRPr="00CA651E" w:rsidRDefault="00FD499C" w:rsidP="00FD499C">
      <w:pPr>
        <w:widowControl/>
        <w:spacing w:after="240"/>
        <w:ind w:left="567" w:hanging="567"/>
        <w:rPr>
          <w:b/>
          <w:i/>
          <w:szCs w:val="24"/>
        </w:rPr>
      </w:pPr>
      <w:r w:rsidRPr="00CA651E">
        <w:rPr>
          <w:b/>
          <w:i/>
        </w:rPr>
        <w:t>Akkwist</w:t>
      </w:r>
    </w:p>
    <w:p w:rsidR="00FD499C" w:rsidRPr="00CA651E" w:rsidRDefault="00FD499C" w:rsidP="00FD499C">
      <w:pPr>
        <w:widowControl/>
        <w:spacing w:after="240"/>
        <w:ind w:left="567" w:hanging="567"/>
        <w:rPr>
          <w:szCs w:val="24"/>
        </w:rPr>
      </w:pPr>
      <w:r w:rsidRPr="00CA651E">
        <w:t>17.</w:t>
      </w:r>
      <w:r w:rsidRPr="00CA651E">
        <w:tab/>
        <w:t>Jinnota l-osservazzjoni fir-rapport tal-Qorti li l-Awtorità għamlet pagamenti li jammontaw għal EUR 25 607 wara t-tmiem ta’ kuntratt li permezz tiegħu l-Awtorità akkwistat servizzi tat-telekomunikazzjoni għall-komunikazzjoni bil-mobile għal perjodu ta’ erba’ snin (2017-2021); jinnota l-konklużjoni tal-Qorti li dawk il-pagamenti kienu irregolari; jinnota wkoll l-osservazzjoni tal-Qorti li emenda għal dak il-kuntratt, iffirmata f’April 2022, saret bi ksur tal-punt 1.1 tal-Anness I tar-Regolament Finanzjarju;</w:t>
      </w:r>
    </w:p>
    <w:p w:rsidR="00FD499C" w:rsidRPr="00CA651E" w:rsidRDefault="00FD499C" w:rsidP="00FD499C">
      <w:pPr>
        <w:widowControl/>
        <w:spacing w:after="240"/>
        <w:ind w:left="567" w:hanging="567"/>
        <w:rPr>
          <w:szCs w:val="24"/>
        </w:rPr>
      </w:pPr>
      <w:r w:rsidRPr="00CA651E">
        <w:t>18.</w:t>
      </w:r>
      <w:r w:rsidRPr="00CA651E">
        <w:tab/>
        <w:t>Ifakkar, mir-rapport annwali tal-Qorti dwar l-aġenziji tal-Unjoni għall-2021, fl-osservazzjoni dwar ammont ta’ EUR 288 125 imħallas b’mod irregolari mill-Awtorità fir-rigward tal-kuntratt ta’ kiri għall-bini tagħha; jinnota, f’dak il-kuntest, mir-rapport tal-Awtorità dwar il-miżuri li ttieħdu fid-dawl tar-rakkomandazzjonijiet tal-awtorità ta’ kwittanza (kwittanza 2021), il-pożizzjoni tal-Awtorità li n-nuqqas ta’ rispett tal-obbligi kuntrattwali kien ikollu effett legali u reputazzjonali negattiv fuq l-Awtorità; jinnota, mir-rapport tal-Qorti, li l-istatus ta’ dik l-osservazzjoni għadu miftuħ; jistieden lill-Awtorità tagħmel l-isforzi kollha meħtieġa meta tniedi l-proċedura ta’ akkwist għal kuntratt tal-kiri ġdid biex tipprevjeni kwalunkwe kunflitt bejn l-obbligi imposti mill-ftehim ta’ kiri u d-dispożizzjonijiet rilevanti tar-Regolament Finanzjarju;</w:t>
      </w:r>
    </w:p>
    <w:p w:rsidR="00FD499C" w:rsidRPr="00CA651E" w:rsidRDefault="00FD499C" w:rsidP="00FD499C">
      <w:pPr>
        <w:widowControl/>
        <w:spacing w:after="240"/>
        <w:rPr>
          <w:szCs w:val="24"/>
        </w:rPr>
      </w:pPr>
      <w:r w:rsidRPr="00CA651E">
        <w:rPr>
          <w:b/>
          <w:i/>
        </w:rPr>
        <w:t>Prevenzjoni u ġestjoni tal-kunflitti ta’ interess u trasparenza</w:t>
      </w:r>
    </w:p>
    <w:p w:rsidR="00FD499C" w:rsidRPr="00CA651E" w:rsidRDefault="00FD499C" w:rsidP="00FD499C">
      <w:pPr>
        <w:widowControl/>
        <w:spacing w:after="240"/>
        <w:ind w:left="567" w:hanging="567"/>
        <w:rPr>
          <w:szCs w:val="24"/>
        </w:rPr>
      </w:pPr>
      <w:r w:rsidRPr="00CA651E">
        <w:t>19.</w:t>
      </w:r>
      <w:r w:rsidRPr="00CA651E">
        <w:tab/>
        <w:t>Jilqa’ l-fatt li, f’konformità mar-rekwiżiti legali tal-Awtorità, is-CVs tal-Membri tal-bord tas-superviżuri u l-bord maniġerjali tal-Awtorità, ir-résumé tal-President u tad-Direttur Eżekuttiv tal-Awtorità u r-résumé qasir tal-Kapijiet tad-Dipartimenti tal-Awtorità huma ppubblikati fuq is-sit web tal-Awtorità; jinnota li d-dikjarazzjonijiet ta’ interess u d-dikjarazzjoni ta’ intenzjoni individwali huma pubblikament disponibbli għal kull membru tal-Bord Maniġerjali u għal kull membru tal-bord tas-superviżuri u tal-maniġment superjuri tal-Awtorità; jilqa’ wkoll il-pubblikazzjoni tal-laqgħat tal-persunal tal-Awtorità mal-lobbisti fuq is-sit web tal-Awtorità;</w:t>
      </w:r>
    </w:p>
    <w:p w:rsidR="00FD499C" w:rsidRPr="00CA651E" w:rsidRDefault="00FD499C" w:rsidP="00FD499C">
      <w:pPr>
        <w:widowControl/>
        <w:spacing w:after="240"/>
        <w:ind w:left="567" w:hanging="567"/>
        <w:rPr>
          <w:szCs w:val="24"/>
        </w:rPr>
      </w:pPr>
      <w:r w:rsidRPr="00CA651E">
        <w:lastRenderedPageBreak/>
        <w:t>20.</w:t>
      </w:r>
      <w:r w:rsidRPr="00CA651E">
        <w:tab/>
        <w:t>Jilqa’ l-fatt li, fl-2022, l-Awtorità saħħet ir-regoli tal-etika tagħha għall-persunal u għal dawk li mhumiex parti mill-persunal, u b’hekk indirizzat l-osservazzjonijiet mir-rapport tal-Qorti dwar il-kontijiet annwali tal-Awtorità għall-2021 u bil-għan li tħares it-teħid ta’ deċiżjonijiet b’mod imparzjali, oġġettiv u indipendenti u tidentifika u tittratta minnufih kwalunkwe kunflitt ta’ interess possibbli; jinnota, f’dak ir-rigward, ir-reviżjoni tar-Regoli ta’ Proċedura tal-Awtorità, l-adozzjoni ta’ politika dwar l-indipendenza u l-proċessi tat-teħid ta’ deċiżjonijiet biex jiġu evitati l-kunflitti ta’ interess għal persuni li mhumiex parti mill-persunal, l-approvazzjoni ta’ reviżjoni tad-deċiżjoni rigward l-evalwazzjoni tal-president u tad-direttur eżekuttiv u l-adozzjoni ta’ reviżjoni tar-Regoli dwar l-Etika tal-Awtorità għall-membri tal-persunal;</w:t>
      </w:r>
    </w:p>
    <w:p w:rsidR="00FD499C" w:rsidRPr="00CA651E" w:rsidRDefault="00FD499C" w:rsidP="00FD499C">
      <w:pPr>
        <w:widowControl/>
        <w:spacing w:after="240"/>
        <w:ind w:left="567" w:hanging="567"/>
        <w:rPr>
          <w:szCs w:val="24"/>
        </w:rPr>
      </w:pPr>
      <w:r w:rsidRPr="00CA651E">
        <w:t>21.</w:t>
      </w:r>
      <w:r w:rsidRPr="00CA651E">
        <w:tab/>
        <w:t>Josserva, fir-rigward tal-iżvelar ta’ informazzjoni protetta, li fl-2022 membru tal-persunal wieħed qajjem tħassib dwar każ potenzjali ta’ irregolaritajiet u li dak it-tħassib ġie ġestit mill-Awtorità f’konformità mar-regoli applikabbli; jinnota, f’dak il-kuntest, li l-Awtorità infurmat lill-Uffiċċju Ewropew ta’ Kontra l-Frodi (OLAF) b’dan mingħajr dewmien u li l-OLAF wettaq valutazzjoni u waqqa’ l-każ minħabba li ma kien hemm l-ebda suspett suffiċjenti biex tinfetaħ investigazzjoni;</w:t>
      </w:r>
    </w:p>
    <w:p w:rsidR="00FD499C" w:rsidRPr="00CA651E" w:rsidRDefault="00FD499C" w:rsidP="00FD499C">
      <w:pPr>
        <w:spacing w:after="240"/>
        <w:ind w:left="567" w:hanging="567"/>
        <w:rPr>
          <w:sz w:val="22"/>
        </w:rPr>
      </w:pPr>
      <w:r w:rsidRPr="00CA651E">
        <w:t>22.</w:t>
      </w:r>
      <w:r w:rsidRPr="00CA651E">
        <w:tab/>
        <w:t>Jilqa’ l-fatt li, f’Lulju 2022, il-bord tas-superviżuri tal-Awtorità rreveda r-Regoli ta’ Proċedura tiegħu biex jimplimenta l-osservazzjoni tal-Qorti rigward il-preżenza, matul id-diskussjonijiet u l-votazzjoni, ta’ membri tal-bord tas-superviżuri li jinsabu f’sitwazzjoni ta’ kunflitt ta’ interess; jinnota wkoll li, f’Diċembru 2022, il-bord maniġerjali tal-Awtorità approva deċiżjoni riveduta rigward l-evalwazzjoni tal-president u tad-direttur eżekuttiv, f’konformità mal-osservazzjonijiet tal-Qorti;</w:t>
      </w:r>
    </w:p>
    <w:p w:rsidR="00FD499C" w:rsidRPr="00CA651E" w:rsidRDefault="00FD499C" w:rsidP="00FD499C">
      <w:pPr>
        <w:widowControl/>
        <w:spacing w:after="240"/>
        <w:ind w:left="567" w:hanging="567"/>
        <w:rPr>
          <w:b/>
          <w:i/>
          <w:szCs w:val="24"/>
        </w:rPr>
      </w:pPr>
      <w:r w:rsidRPr="00CA651E">
        <w:rPr>
          <w:b/>
          <w:i/>
        </w:rPr>
        <w:t>Kontroll intern</w:t>
      </w:r>
    </w:p>
    <w:p w:rsidR="00FD499C" w:rsidRPr="00CA651E" w:rsidRDefault="00FD499C" w:rsidP="00FD499C">
      <w:pPr>
        <w:widowControl/>
        <w:spacing w:after="240"/>
        <w:ind w:left="567" w:hanging="567"/>
        <w:rPr>
          <w:szCs w:val="24"/>
        </w:rPr>
      </w:pPr>
      <w:r w:rsidRPr="00CA651E">
        <w:t>23.</w:t>
      </w:r>
      <w:r w:rsidRPr="00CA651E">
        <w:tab/>
        <w:t>Jinnota li, fl-2022, l-Awtorità wettqet il-valutazzjoni annwali tal-qafas ta’ kontroll intern tagħha, u kkonkludiet li l-komponenti u l-prinċipji kollha huma implimentati u jiffunzjonaw kif ippjanat, bil-ħtieġa ta’ xi titjib minħabba nuqqas moderat li ġie identifikat;</w:t>
      </w:r>
    </w:p>
    <w:p w:rsidR="00FD499C" w:rsidRPr="00CA651E" w:rsidRDefault="00FD499C" w:rsidP="00FD499C">
      <w:pPr>
        <w:widowControl/>
        <w:spacing w:after="240"/>
        <w:ind w:left="567" w:hanging="567"/>
        <w:rPr>
          <w:szCs w:val="24"/>
        </w:rPr>
      </w:pPr>
      <w:r w:rsidRPr="00CA651E">
        <w:t>24.</w:t>
      </w:r>
      <w:r w:rsidRPr="00CA651E">
        <w:tab/>
        <w:t>Josserva li, fl-2022, is-servizz tal-awditjar intern ħareġ rapport rigward l-awditu mwettaq fl-2021 dwar il-“Miżuri ta’ Intervent tal-EIOPA” mmirat lejn l-NCAs u l-operaturi tas-suq fis-setturi tal-assigurazzjoni u tal-pensjonijiet tax-xogħol tal-Unjoni; josserva wkoll li l-kumitat għall-kontroll tal-kwalità tal-Awtorità ħareġ rapport ta’ rieżami dwar it-“Tagħlimiet meħuda mill-kooperazzjoni u l-interazzjoni bejn l-EIOPA u l-NCAs matul il-pandemija tal-COVID-19”; jistieden lill-Awtorità żżomm lill-awtorità ta’ kwittanza aġġornata fir-rigward tal-implimentazzjoni tar-rakkomandazzjonijiet maħruġa mis-servizz tal-awditjar intern u mill-kumitat għall-kontroll tal-kwalità;</w:t>
      </w:r>
    </w:p>
    <w:p w:rsidR="00FD499C" w:rsidRPr="00CA651E" w:rsidRDefault="00FD499C" w:rsidP="00FD499C">
      <w:pPr>
        <w:widowControl/>
        <w:spacing w:after="240"/>
        <w:ind w:left="567" w:hanging="567"/>
      </w:pPr>
      <w:r w:rsidRPr="00CA651E">
        <w:t>25.</w:t>
      </w:r>
      <w:r w:rsidRPr="00CA651E">
        <w:tab/>
        <w:t>Jinnota b’apprezzament li, fl-2022, l-Awtorità identifikat, immonitorjat u ħadet miżuri biex ittaffi l-effetti tar-riskji fir-rigward tan-nuqqas ta’ kapaċità suffiċjenti biex timplimenta setgħat u kompiti ġodda filwaqt li twettaq l-impenji eżistenti, in-nuqqas ta’ persunal imħarreġ bil-kompetenzi meħtieġa minħabba kwistjonijiet relatati mal-attraenza u r-reklutaġġ u t-theddid għaċ-ċibersigurtà u l-kontinwità tal-operat;</w:t>
      </w:r>
    </w:p>
    <w:p w:rsidR="00FD499C" w:rsidRPr="00CA651E" w:rsidRDefault="00FD499C" w:rsidP="00FD499C">
      <w:pPr>
        <w:widowControl/>
        <w:spacing w:after="240"/>
        <w:ind w:left="567" w:hanging="567"/>
      </w:pPr>
      <w:r w:rsidRPr="00CA651E">
        <w:t>26.</w:t>
      </w:r>
      <w:r w:rsidRPr="00CA651E">
        <w:tab/>
        <w:t xml:space="preserve">Jinnota li, fl-2022, l-Awtorità kompliet tindirizza l-bqija tar-rakkomandazzjonijiet mill-awditu dwar l-“Għodod ta’ Sorveljanza fil-Qasam tal-Protezzjoni tal-Konsumatur” (2019-2020); jinnota wkoll li dan l-awditu rriżulta f’erba’ rakkomandazzjonijiet li ġew </w:t>
      </w:r>
      <w:r w:rsidRPr="00CA651E">
        <w:lastRenderedPageBreak/>
        <w:t>indirizzati b’tali mod li żewġ rakkomandazzjonijiet ingħalqu uffiċjalment mill-IAS f’Novembru 2021 u żewġ rakkomandazzjonijiet ingħalqu uffiċjalment f’Ġunju 2022;</w:t>
      </w:r>
    </w:p>
    <w:p w:rsidR="00FD499C" w:rsidRPr="00CA651E" w:rsidRDefault="00FD499C" w:rsidP="00FD499C">
      <w:pPr>
        <w:widowControl/>
        <w:spacing w:after="240"/>
        <w:ind w:left="567" w:hanging="567"/>
        <w:rPr>
          <w:b/>
          <w:i/>
          <w:szCs w:val="24"/>
        </w:rPr>
      </w:pPr>
      <w:r w:rsidRPr="00CA651E">
        <w:rPr>
          <w:b/>
          <w:i/>
        </w:rPr>
        <w:t>Kummenti oħra</w:t>
      </w:r>
    </w:p>
    <w:p w:rsidR="00FD499C" w:rsidRPr="00CA651E" w:rsidRDefault="00FD499C" w:rsidP="00FD499C">
      <w:pPr>
        <w:spacing w:after="240"/>
        <w:ind w:left="567" w:hanging="567"/>
        <w:rPr>
          <w:szCs w:val="24"/>
        </w:rPr>
      </w:pPr>
      <w:r w:rsidRPr="00CA651E">
        <w:t>27.</w:t>
      </w:r>
      <w:r w:rsidRPr="00CA651E">
        <w:tab/>
        <w:t>Jinnota li, fl-2022, l-Awtorità, flimkien mal-ASE l-oħra, ħarġet twissijiet lill-konsumaturi fir-rigward tal-attivitajiet ta’ riskju għoli u spekulattivi assoċjati ma’ bosta kriptoassi;</w:t>
      </w:r>
    </w:p>
    <w:p w:rsidR="00FD499C" w:rsidRPr="00CA651E" w:rsidRDefault="00FD499C" w:rsidP="00FD499C">
      <w:pPr>
        <w:spacing w:after="240"/>
        <w:ind w:left="567" w:hanging="567"/>
        <w:rPr>
          <w:szCs w:val="24"/>
        </w:rPr>
      </w:pPr>
      <w:r w:rsidRPr="00CA651E">
        <w:t>28.</w:t>
      </w:r>
      <w:r w:rsidRPr="00CA651E">
        <w:tab/>
        <w:t>Jinnota, mit-tweġibiet tal-Awtorità għall-mistoqsijiet tal-awtorità ta’ kwittanza, li l-Awtorità bħalissa qed tibbenefika mill-għodod tas-sejħiet għall-offerti elettroniċi tal-Kummissjoni (sejħiet għall-offerti elettroniċi, sottomissjoni elettronika, fatturazzjoni elettronika) u l-għodda għall-ġestjoni tal-akkwist pubbliku (PPMT) sadanittant ġiet implimentata (minn Lulju 2023); jilqa’ l-fatt li l-proċeduri tal-offerti tal-EIOPA jinkludu rekwiżiti ta’ kriterji tal-akkwist pubbliku ekoloġiku, fejn possibbli, u l-offerenti tal-EIOPA jridu jiffirmaw id-Dikjarazzjoni fuq l-Unur dwar il-Konformità mal-obbligi ambjentali u soċjali, fost l-oħrajn;</w:t>
      </w:r>
    </w:p>
    <w:p w:rsidR="00FD499C" w:rsidRPr="00CA651E" w:rsidRDefault="00FD499C" w:rsidP="00FD499C">
      <w:pPr>
        <w:spacing w:after="240"/>
        <w:ind w:left="567" w:hanging="567"/>
        <w:rPr>
          <w:szCs w:val="24"/>
        </w:rPr>
      </w:pPr>
      <w:r w:rsidRPr="00CA651E">
        <w:t>29.</w:t>
      </w:r>
      <w:r w:rsidRPr="00CA651E">
        <w:tab/>
        <w:t>Jinnota li, fl-2022, l-Awtorità ppubblikat ir-riżultati tal-ħidma tagħha fil-forma ta’ rapporti, fuq is-sit web u l-media soċjali tagħha, fejn il-biċċa l-kbira tar-rapporti kienu akkumpanjati minn stqarrija għall-istampa; jilqa’ l-fatt li, f’xi każijiet, ir-rapporti huma akkumpanjati wkoll minn sommarji, filmati qosra tal-media soċjali, jew intervisti qosra biex il-kontenut jiġi spjegat f’termini aktar sempliċi;</w:t>
      </w:r>
    </w:p>
    <w:p w:rsidR="00FD499C" w:rsidRPr="00CA651E" w:rsidRDefault="00FD499C" w:rsidP="00FD499C">
      <w:pPr>
        <w:pStyle w:val="NormalCenter12a"/>
      </w:pPr>
      <w:r w:rsidRPr="00CA651E">
        <w:t>°</w:t>
      </w:r>
    </w:p>
    <w:p w:rsidR="00FD499C" w:rsidRPr="00CA651E" w:rsidRDefault="00FD499C" w:rsidP="00FD499C">
      <w:pPr>
        <w:pStyle w:val="NormalCenter12a"/>
      </w:pPr>
      <w:r w:rsidRPr="00CA651E">
        <w:t>°</w:t>
      </w:r>
      <w:r w:rsidRPr="00CA651E">
        <w:tab/>
        <w:t>°</w:t>
      </w:r>
    </w:p>
    <w:p w:rsidR="00E365E1" w:rsidRPr="00CA651E" w:rsidRDefault="00FD499C" w:rsidP="00E817C9">
      <w:pPr>
        <w:ind w:left="567" w:hanging="567"/>
      </w:pPr>
      <w:r w:rsidRPr="00CA651E">
        <w:t>30.</w:t>
      </w:r>
      <w:r w:rsidRPr="00CA651E">
        <w:tab/>
        <w:t>Jirreferi, rigward kummenti oħrajn ta’ natura orizzontali li jakkumpanjaw id-deċiżjoni tagħha dwar il-kwittanza, għar-riżoluzzjoni tiegħu ta</w:t>
      </w:r>
      <w:r w:rsidR="000779CA">
        <w:t>l-11 ta’</w:t>
      </w:r>
      <w:r w:rsidRPr="00CA651E">
        <w:t xml:space="preserve"> April 2024</w:t>
      </w:r>
      <w:r w:rsidRPr="00CA651E">
        <w:rPr>
          <w:rStyle w:val="FootnoteReference"/>
        </w:rPr>
        <w:footnoteReference w:id="12"/>
      </w:r>
      <w:r w:rsidRPr="00CA651E">
        <w:t xml:space="preserve"> dwar il-prestazzjoni, il-ġestjoni finanzjarja u l-kontroll t</w:t>
      </w:r>
      <w:bookmarkStart w:id="8" w:name="_GoBack"/>
      <w:bookmarkEnd w:id="8"/>
      <w:r w:rsidRPr="00CA651E">
        <w:t>al-aġenziji.</w:t>
      </w:r>
      <w:bookmarkStart w:id="9" w:name="TextBodyEnd"/>
      <w:bookmarkEnd w:id="9"/>
    </w:p>
    <w:sectPr w:rsidR="00E365E1" w:rsidRPr="00CA651E" w:rsidSect="00CA651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FE6" w:rsidRPr="00CA651E" w:rsidRDefault="00DA4FE6">
      <w:r w:rsidRPr="00CA651E">
        <w:separator/>
      </w:r>
    </w:p>
  </w:endnote>
  <w:endnote w:type="continuationSeparator" w:id="0">
    <w:p w:rsidR="00DA4FE6" w:rsidRPr="00CA651E" w:rsidRDefault="00DA4FE6">
      <w:r w:rsidRPr="00CA65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99C" w:rsidRPr="00CA651E" w:rsidRDefault="00FD499C" w:rsidP="00007457">
    <w:pPr>
      <w:pStyle w:val="EPFooter"/>
    </w:pPr>
    <w:r w:rsidRPr="00CA651E">
      <w:t>PE</w:t>
    </w:r>
    <w:r w:rsidRPr="00CA651E">
      <w:rPr>
        <w:rStyle w:val="HideTWBExt"/>
      </w:rPr>
      <w:t>&lt;NoPE&gt;</w:t>
    </w:r>
    <w:r w:rsidRPr="00CA651E">
      <w:t>753.521</w:t>
    </w:r>
    <w:r w:rsidRPr="00CA651E">
      <w:rPr>
        <w:rStyle w:val="HideTWBExt"/>
      </w:rPr>
      <w:t>&lt;/NoPE&gt;&lt;Version&gt;</w:t>
    </w:r>
    <w:r w:rsidRPr="00CA651E">
      <w:t>v01-00</w:t>
    </w:r>
    <w:r w:rsidRPr="00CA651E">
      <w:rPr>
        <w:rStyle w:val="HideTWBExt"/>
      </w:rPr>
      <w:t>&lt;/Version&gt;</w:t>
    </w:r>
    <w:r w:rsidRPr="00CA651E">
      <w:tab/>
    </w:r>
    <w:r w:rsidRPr="00CA651E">
      <w:fldChar w:fldCharType="begin"/>
    </w:r>
    <w:r w:rsidRPr="00CA651E">
      <w:instrText xml:space="preserve"> PAGE  \* MERGEFORMAT </w:instrText>
    </w:r>
    <w:r w:rsidRPr="00CA651E">
      <w:fldChar w:fldCharType="separate"/>
    </w:r>
    <w:r w:rsidRPr="00CA651E">
      <w:rPr>
        <w:noProof/>
      </w:rPr>
      <w:t>4</w:t>
    </w:r>
    <w:r w:rsidRPr="00CA651E">
      <w:fldChar w:fldCharType="end"/>
    </w:r>
    <w:r w:rsidRPr="00CA651E">
      <w:t>/</w:t>
    </w:r>
    <w:fldSimple w:instr=" NUMPAGES  \* MERGEFORMAT ">
      <w:r w:rsidRPr="00CA651E">
        <w:rPr>
          <w:noProof/>
        </w:rPr>
        <w:t>4</w:t>
      </w:r>
    </w:fldSimple>
    <w:r w:rsidRPr="00CA651E">
      <w:tab/>
    </w:r>
    <w:r w:rsidRPr="00CA651E">
      <w:rPr>
        <w:rStyle w:val="HideTWBExt"/>
      </w:rPr>
      <w:t>&lt;PathFdR&gt;</w:t>
    </w:r>
    <w:r w:rsidRPr="00CA651E">
      <w:t>RR\1298747MT.docx</w:t>
    </w:r>
    <w:r w:rsidRPr="00CA651E">
      <w:rPr>
        <w:rStyle w:val="HideTWBExt"/>
      </w:rPr>
      <w:t>&lt;/PathFdR&gt;</w:t>
    </w:r>
  </w:p>
  <w:p w:rsidR="00FD499C" w:rsidRPr="00CA651E" w:rsidRDefault="00FD499C" w:rsidP="00007457">
    <w:pPr>
      <w:pStyle w:val="EPFooter2"/>
    </w:pPr>
    <w:r w:rsidRPr="00CA651E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99C" w:rsidRPr="00CA651E" w:rsidRDefault="00FD499C" w:rsidP="00007457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99C" w:rsidRPr="00CA651E" w:rsidRDefault="00FD499C" w:rsidP="00007457">
    <w:pPr>
      <w:pStyle w:val="EPFooter"/>
    </w:pPr>
    <w:r w:rsidRPr="00CA651E">
      <w:rPr>
        <w:rStyle w:val="HideTWBExt"/>
      </w:rPr>
      <w:t>&lt;PathFdR&gt;</w:t>
    </w:r>
    <w:r w:rsidRPr="00CA651E">
      <w:t>RR\1298747MT.docx</w:t>
    </w:r>
    <w:r w:rsidRPr="00CA651E">
      <w:rPr>
        <w:rStyle w:val="HideTWBExt"/>
      </w:rPr>
      <w:t>&lt;/PathFdR&gt;</w:t>
    </w:r>
    <w:r w:rsidRPr="00CA651E">
      <w:tab/>
    </w:r>
    <w:r w:rsidRPr="00CA651E">
      <w:tab/>
      <w:t>PE</w:t>
    </w:r>
    <w:r w:rsidRPr="00CA651E">
      <w:rPr>
        <w:rStyle w:val="HideTWBExt"/>
      </w:rPr>
      <w:t>&lt;NoPE&gt;</w:t>
    </w:r>
    <w:r w:rsidRPr="00CA651E">
      <w:t>753.521</w:t>
    </w:r>
    <w:r w:rsidRPr="00CA651E">
      <w:rPr>
        <w:rStyle w:val="HideTWBExt"/>
      </w:rPr>
      <w:t>&lt;/NoPE&gt;&lt;Version&gt;</w:t>
    </w:r>
    <w:r w:rsidRPr="00CA651E">
      <w:t>v01-00</w:t>
    </w:r>
    <w:r w:rsidRPr="00CA651E">
      <w:rPr>
        <w:rStyle w:val="HideTWBExt"/>
      </w:rPr>
      <w:t>&lt;/Version&gt;</w:t>
    </w:r>
  </w:p>
  <w:p w:rsidR="00FD499C" w:rsidRPr="00CA651E" w:rsidRDefault="00FD499C" w:rsidP="00007457">
    <w:pPr>
      <w:pStyle w:val="EPFooter2"/>
    </w:pPr>
    <w:r w:rsidRPr="00CA651E">
      <w:t>MT</w:t>
    </w:r>
    <w:r w:rsidRPr="00CA651E">
      <w:tab/>
    </w:r>
    <w:r w:rsidRPr="00CA651E">
      <w:rPr>
        <w:b w:val="0"/>
        <w:i/>
        <w:color w:val="C0C0C0"/>
        <w:sz w:val="22"/>
      </w:rPr>
      <w:t>Magħquda fid-diversità</w:t>
    </w:r>
    <w:r w:rsidRPr="00CA651E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651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651E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651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FE6" w:rsidRPr="00CA651E" w:rsidRDefault="00DA4FE6">
      <w:r w:rsidRPr="00CA651E">
        <w:separator/>
      </w:r>
    </w:p>
  </w:footnote>
  <w:footnote w:type="continuationSeparator" w:id="0">
    <w:p w:rsidR="00DA4FE6" w:rsidRPr="00CA651E" w:rsidRDefault="00DA4FE6">
      <w:r w:rsidRPr="00CA651E">
        <w:continuationSeparator/>
      </w:r>
    </w:p>
  </w:footnote>
  <w:footnote w:id="1">
    <w:p w:rsidR="00FD499C" w:rsidRPr="00CA651E" w:rsidRDefault="00FD499C" w:rsidP="00CA651E">
      <w:pPr>
        <w:pStyle w:val="FootnoteText"/>
        <w:ind w:left="567" w:hanging="567"/>
        <w:rPr>
          <w:sz w:val="24"/>
          <w:lang w:val="mt-MT"/>
        </w:rPr>
      </w:pPr>
      <w:r w:rsidRPr="00CA651E">
        <w:rPr>
          <w:rStyle w:val="FootnoteReference"/>
          <w:sz w:val="24"/>
          <w:lang w:val="mt-MT"/>
        </w:rPr>
        <w:footnoteRef/>
      </w:r>
      <w:r w:rsidR="00CA651E" w:rsidRPr="00CA651E">
        <w:rPr>
          <w:sz w:val="24"/>
          <w:lang w:val="mt-MT"/>
        </w:rPr>
        <w:t xml:space="preserve"> </w:t>
      </w:r>
      <w:r w:rsidR="00CA651E" w:rsidRPr="00CA651E">
        <w:rPr>
          <w:sz w:val="24"/>
          <w:lang w:val="mt-MT"/>
        </w:rPr>
        <w:tab/>
      </w:r>
      <w:r w:rsidRPr="00CA651E">
        <w:rPr>
          <w:sz w:val="24"/>
          <w:lang w:val="mt-MT"/>
        </w:rPr>
        <w:t>ĠU C, C/2023/594, 27.10.2023.</w:t>
      </w:r>
    </w:p>
  </w:footnote>
  <w:footnote w:id="2">
    <w:p w:rsidR="00FD499C" w:rsidRPr="00CA651E" w:rsidRDefault="00FD499C" w:rsidP="00CA651E">
      <w:pPr>
        <w:pStyle w:val="FootnoteText"/>
        <w:ind w:left="567" w:hanging="567"/>
        <w:rPr>
          <w:sz w:val="24"/>
          <w:lang w:val="mt-MT"/>
        </w:rPr>
      </w:pPr>
      <w:r w:rsidRPr="00CA651E">
        <w:rPr>
          <w:rStyle w:val="FootnoteReference"/>
          <w:sz w:val="24"/>
          <w:lang w:val="mt-MT"/>
        </w:rPr>
        <w:footnoteRef/>
      </w:r>
      <w:r w:rsidR="00CA651E" w:rsidRPr="00CA651E">
        <w:rPr>
          <w:sz w:val="24"/>
          <w:lang w:val="mt-MT"/>
        </w:rPr>
        <w:t xml:space="preserve"> </w:t>
      </w:r>
      <w:r w:rsidR="00CA651E" w:rsidRPr="00CA651E">
        <w:rPr>
          <w:sz w:val="24"/>
          <w:lang w:val="mt-MT"/>
        </w:rPr>
        <w:tab/>
      </w:r>
      <w:r w:rsidRPr="00CA651E">
        <w:rPr>
          <w:sz w:val="24"/>
          <w:lang w:val="mt-MT"/>
        </w:rPr>
        <w:t>ĠU C, C/2023/112, 12.10.2023.</w:t>
      </w:r>
    </w:p>
  </w:footnote>
  <w:footnote w:id="3">
    <w:p w:rsidR="00FD499C" w:rsidRPr="00CA651E" w:rsidRDefault="00FD499C" w:rsidP="00CA651E">
      <w:pPr>
        <w:pStyle w:val="FootnoteText"/>
        <w:ind w:left="567" w:hanging="567"/>
        <w:rPr>
          <w:sz w:val="24"/>
          <w:lang w:val="mt-MT"/>
        </w:rPr>
      </w:pPr>
      <w:r w:rsidRPr="00CA651E">
        <w:rPr>
          <w:rStyle w:val="FootnoteReference"/>
          <w:sz w:val="24"/>
          <w:lang w:val="mt-MT"/>
        </w:rPr>
        <w:footnoteRef/>
      </w:r>
      <w:r w:rsidR="00CA651E" w:rsidRPr="00CA651E">
        <w:rPr>
          <w:sz w:val="24"/>
          <w:lang w:val="mt-MT"/>
        </w:rPr>
        <w:t xml:space="preserve"> </w:t>
      </w:r>
      <w:r w:rsidR="00CA651E" w:rsidRPr="00CA651E">
        <w:rPr>
          <w:sz w:val="24"/>
          <w:lang w:val="mt-MT"/>
        </w:rPr>
        <w:tab/>
      </w:r>
      <w:r w:rsidRPr="00CA651E">
        <w:rPr>
          <w:sz w:val="24"/>
          <w:lang w:val="mt-MT"/>
        </w:rPr>
        <w:t>ĠU L 193, 30.7.2018, p. 1.</w:t>
      </w:r>
    </w:p>
  </w:footnote>
  <w:footnote w:id="4">
    <w:p w:rsidR="00FD499C" w:rsidRPr="00CA651E" w:rsidRDefault="00FD499C" w:rsidP="00CA651E">
      <w:pPr>
        <w:pStyle w:val="FootnoteText"/>
        <w:ind w:left="567" w:hanging="567"/>
        <w:rPr>
          <w:sz w:val="24"/>
          <w:lang w:val="mt-MT"/>
        </w:rPr>
      </w:pPr>
      <w:r w:rsidRPr="00CA651E">
        <w:rPr>
          <w:rStyle w:val="FootnoteReference"/>
          <w:sz w:val="24"/>
          <w:lang w:val="mt-MT"/>
        </w:rPr>
        <w:footnoteRef/>
      </w:r>
      <w:r w:rsidR="00CA651E" w:rsidRPr="00CA651E">
        <w:rPr>
          <w:sz w:val="24"/>
          <w:lang w:val="mt-MT"/>
        </w:rPr>
        <w:t xml:space="preserve"> </w:t>
      </w:r>
      <w:r w:rsidR="00CA651E" w:rsidRPr="00CA651E">
        <w:rPr>
          <w:sz w:val="24"/>
          <w:lang w:val="mt-MT"/>
        </w:rPr>
        <w:tab/>
      </w:r>
      <w:r w:rsidRPr="00CA651E">
        <w:rPr>
          <w:sz w:val="24"/>
          <w:lang w:val="mt-MT"/>
        </w:rPr>
        <w:t>ĠU L 331, 15.12.2010, p. 48.</w:t>
      </w:r>
    </w:p>
  </w:footnote>
  <w:footnote w:id="5">
    <w:p w:rsidR="00FD499C" w:rsidRPr="00CA651E" w:rsidRDefault="00FD499C" w:rsidP="00CA651E">
      <w:pPr>
        <w:pStyle w:val="FootnoteText"/>
        <w:ind w:left="567" w:hanging="567"/>
        <w:rPr>
          <w:sz w:val="24"/>
          <w:szCs w:val="24"/>
          <w:lang w:val="mt-MT"/>
        </w:rPr>
      </w:pPr>
      <w:r w:rsidRPr="00CA651E">
        <w:rPr>
          <w:rStyle w:val="FootnoteReference"/>
          <w:sz w:val="24"/>
          <w:lang w:val="mt-MT"/>
        </w:rPr>
        <w:footnoteRef/>
      </w:r>
      <w:r w:rsidR="00CA651E" w:rsidRPr="00CA651E">
        <w:rPr>
          <w:sz w:val="24"/>
          <w:lang w:val="mt-MT"/>
        </w:rPr>
        <w:t xml:space="preserve"> </w:t>
      </w:r>
      <w:r w:rsidR="00CA651E" w:rsidRPr="00CA651E">
        <w:rPr>
          <w:sz w:val="24"/>
          <w:lang w:val="mt-MT"/>
        </w:rPr>
        <w:tab/>
      </w:r>
      <w:r w:rsidRPr="00CA651E">
        <w:rPr>
          <w:sz w:val="24"/>
          <w:lang w:val="mt-MT"/>
        </w:rPr>
        <w:t>ĠU L 122, 10.5.2019, p. 1.</w:t>
      </w:r>
    </w:p>
  </w:footnote>
  <w:footnote w:id="6">
    <w:p w:rsidR="00FD499C" w:rsidRPr="00CA651E" w:rsidRDefault="00FD499C" w:rsidP="00CA651E">
      <w:pPr>
        <w:pStyle w:val="FootnoteText"/>
        <w:ind w:left="567" w:hanging="567"/>
        <w:rPr>
          <w:sz w:val="24"/>
          <w:lang w:val="mt-MT"/>
        </w:rPr>
      </w:pPr>
      <w:r w:rsidRPr="00CA651E">
        <w:rPr>
          <w:rStyle w:val="FootnoteReference"/>
          <w:sz w:val="24"/>
          <w:lang w:val="mt-MT"/>
        </w:rPr>
        <w:footnoteRef/>
      </w:r>
      <w:r w:rsidR="00CA651E" w:rsidRPr="00CA651E">
        <w:rPr>
          <w:sz w:val="24"/>
          <w:lang w:val="mt-MT"/>
        </w:rPr>
        <w:t xml:space="preserve"> </w:t>
      </w:r>
      <w:r w:rsidR="00CA651E" w:rsidRPr="00CA651E">
        <w:rPr>
          <w:sz w:val="24"/>
          <w:lang w:val="mt-MT"/>
        </w:rPr>
        <w:tab/>
      </w:r>
      <w:r w:rsidRPr="00CA651E">
        <w:rPr>
          <w:sz w:val="24"/>
          <w:lang w:val="mt-MT"/>
        </w:rPr>
        <w:t>ĠU C, C/2023/594, 27.10.2023.</w:t>
      </w:r>
    </w:p>
  </w:footnote>
  <w:footnote w:id="7">
    <w:p w:rsidR="00FD499C" w:rsidRPr="00CA651E" w:rsidRDefault="00FD499C" w:rsidP="00CA651E">
      <w:pPr>
        <w:pStyle w:val="FootnoteText"/>
        <w:ind w:left="567" w:hanging="567"/>
        <w:rPr>
          <w:sz w:val="24"/>
          <w:lang w:val="mt-MT"/>
        </w:rPr>
      </w:pPr>
      <w:r w:rsidRPr="00CA651E">
        <w:rPr>
          <w:rStyle w:val="FootnoteReference"/>
          <w:sz w:val="24"/>
          <w:lang w:val="mt-MT"/>
        </w:rPr>
        <w:footnoteRef/>
      </w:r>
      <w:r w:rsidR="00CA651E" w:rsidRPr="00CA651E">
        <w:rPr>
          <w:sz w:val="24"/>
          <w:lang w:val="mt-MT"/>
        </w:rPr>
        <w:t xml:space="preserve"> </w:t>
      </w:r>
      <w:r w:rsidR="00CA651E" w:rsidRPr="00CA651E">
        <w:rPr>
          <w:sz w:val="24"/>
          <w:lang w:val="mt-MT"/>
        </w:rPr>
        <w:tab/>
      </w:r>
      <w:r w:rsidRPr="00CA651E">
        <w:rPr>
          <w:sz w:val="24"/>
          <w:lang w:val="mt-MT"/>
        </w:rPr>
        <w:t>ĠU C, C/2023/112, 12.10.2023.</w:t>
      </w:r>
    </w:p>
  </w:footnote>
  <w:footnote w:id="8">
    <w:p w:rsidR="00FD499C" w:rsidRPr="00CA651E" w:rsidRDefault="00FD499C" w:rsidP="00CA651E">
      <w:pPr>
        <w:pStyle w:val="FootnoteText"/>
        <w:ind w:left="567" w:hanging="567"/>
        <w:rPr>
          <w:sz w:val="24"/>
          <w:lang w:val="mt-MT"/>
        </w:rPr>
      </w:pPr>
      <w:r w:rsidRPr="00CA651E">
        <w:rPr>
          <w:rStyle w:val="FootnoteReference"/>
          <w:sz w:val="24"/>
          <w:lang w:val="mt-MT"/>
        </w:rPr>
        <w:footnoteRef/>
      </w:r>
      <w:r w:rsidR="00CA651E" w:rsidRPr="00CA651E">
        <w:rPr>
          <w:sz w:val="24"/>
          <w:lang w:val="mt-MT"/>
        </w:rPr>
        <w:t xml:space="preserve"> </w:t>
      </w:r>
      <w:r w:rsidR="00CA651E" w:rsidRPr="00CA651E">
        <w:rPr>
          <w:sz w:val="24"/>
          <w:lang w:val="mt-MT"/>
        </w:rPr>
        <w:tab/>
      </w:r>
      <w:r w:rsidRPr="00CA651E">
        <w:rPr>
          <w:sz w:val="24"/>
          <w:lang w:val="mt-MT"/>
        </w:rPr>
        <w:t>ĠU L 193, 30.7.2018, p. 1.</w:t>
      </w:r>
    </w:p>
  </w:footnote>
  <w:footnote w:id="9">
    <w:p w:rsidR="00FD499C" w:rsidRPr="00CA651E" w:rsidRDefault="00FD499C" w:rsidP="00CA651E">
      <w:pPr>
        <w:pStyle w:val="FootnoteText"/>
        <w:ind w:left="567" w:hanging="567"/>
        <w:rPr>
          <w:sz w:val="24"/>
          <w:lang w:val="mt-MT"/>
        </w:rPr>
      </w:pPr>
      <w:r w:rsidRPr="00CA651E">
        <w:rPr>
          <w:rStyle w:val="FootnoteReference"/>
          <w:sz w:val="24"/>
          <w:lang w:val="mt-MT"/>
        </w:rPr>
        <w:footnoteRef/>
      </w:r>
      <w:r w:rsidR="00CA651E" w:rsidRPr="00CA651E">
        <w:rPr>
          <w:sz w:val="24"/>
          <w:lang w:val="mt-MT"/>
        </w:rPr>
        <w:t xml:space="preserve"> </w:t>
      </w:r>
      <w:r w:rsidR="00CA651E" w:rsidRPr="00CA651E">
        <w:rPr>
          <w:sz w:val="24"/>
          <w:lang w:val="mt-MT"/>
        </w:rPr>
        <w:tab/>
      </w:r>
      <w:r w:rsidRPr="00CA651E">
        <w:rPr>
          <w:sz w:val="24"/>
          <w:lang w:val="mt-MT"/>
        </w:rPr>
        <w:t>ĠU L 331, 15.12.2010, p. 48.</w:t>
      </w:r>
    </w:p>
  </w:footnote>
  <w:footnote w:id="10">
    <w:p w:rsidR="00FD499C" w:rsidRPr="00CA651E" w:rsidRDefault="00FD499C" w:rsidP="00CA651E">
      <w:pPr>
        <w:pStyle w:val="FootnoteText"/>
        <w:ind w:left="567" w:hanging="567"/>
        <w:rPr>
          <w:sz w:val="24"/>
          <w:szCs w:val="24"/>
          <w:lang w:val="mt-MT"/>
        </w:rPr>
      </w:pPr>
      <w:r w:rsidRPr="00CA651E">
        <w:rPr>
          <w:rStyle w:val="FootnoteReference"/>
          <w:sz w:val="24"/>
          <w:lang w:val="mt-MT"/>
        </w:rPr>
        <w:footnoteRef/>
      </w:r>
      <w:r w:rsidR="00CA651E" w:rsidRPr="00CA651E">
        <w:rPr>
          <w:sz w:val="24"/>
          <w:lang w:val="mt-MT"/>
        </w:rPr>
        <w:t xml:space="preserve"> </w:t>
      </w:r>
      <w:r w:rsidR="00CA651E" w:rsidRPr="00CA651E">
        <w:rPr>
          <w:sz w:val="24"/>
          <w:lang w:val="mt-MT"/>
        </w:rPr>
        <w:tab/>
      </w:r>
      <w:r w:rsidRPr="00CA651E">
        <w:rPr>
          <w:sz w:val="24"/>
          <w:lang w:val="mt-MT"/>
        </w:rPr>
        <w:t>ĠU L 122, 10.5.2019, p. 1.</w:t>
      </w:r>
    </w:p>
  </w:footnote>
  <w:footnote w:id="11">
    <w:p w:rsidR="00FD499C" w:rsidRPr="00CA651E" w:rsidRDefault="00FD499C" w:rsidP="00CA651E">
      <w:pPr>
        <w:pStyle w:val="FootnoteText"/>
        <w:ind w:left="567" w:hanging="567"/>
        <w:rPr>
          <w:sz w:val="24"/>
          <w:lang w:val="mt-MT"/>
        </w:rPr>
      </w:pPr>
      <w:r w:rsidRPr="00CA651E">
        <w:rPr>
          <w:rStyle w:val="FootnoteReference"/>
          <w:sz w:val="24"/>
          <w:lang w:val="mt-MT"/>
        </w:rPr>
        <w:footnoteRef/>
      </w:r>
      <w:r w:rsidR="00CA651E" w:rsidRPr="00CA651E">
        <w:rPr>
          <w:sz w:val="24"/>
          <w:lang w:val="mt-MT"/>
        </w:rPr>
        <w:t xml:space="preserve"> </w:t>
      </w:r>
      <w:r w:rsidR="00CA651E" w:rsidRPr="00CA651E">
        <w:rPr>
          <w:sz w:val="24"/>
          <w:lang w:val="mt-MT"/>
        </w:rPr>
        <w:tab/>
      </w:r>
      <w:r w:rsidRPr="00CA651E">
        <w:rPr>
          <w:sz w:val="24"/>
          <w:lang w:val="mt-MT"/>
        </w:rPr>
        <w:t>ĠU C 38, 31.1.2023, p. 78.</w:t>
      </w:r>
    </w:p>
  </w:footnote>
  <w:footnote w:id="12">
    <w:p w:rsidR="00FD499C" w:rsidRPr="00CA651E" w:rsidRDefault="00FD499C" w:rsidP="00CA651E">
      <w:pPr>
        <w:pStyle w:val="FootnoteText"/>
        <w:ind w:left="567" w:hanging="567"/>
        <w:rPr>
          <w:sz w:val="24"/>
          <w:lang w:val="mt-MT"/>
        </w:rPr>
      </w:pPr>
      <w:r w:rsidRPr="00CA651E">
        <w:rPr>
          <w:rStyle w:val="FootnoteReference"/>
          <w:sz w:val="24"/>
          <w:lang w:val="mt-MT"/>
        </w:rPr>
        <w:footnoteRef/>
      </w:r>
      <w:r w:rsidR="00CA651E" w:rsidRPr="00CA651E">
        <w:rPr>
          <w:sz w:val="24"/>
          <w:lang w:val="mt-MT"/>
        </w:rPr>
        <w:t xml:space="preserve"> </w:t>
      </w:r>
      <w:r w:rsidR="00CA651E" w:rsidRPr="00CA651E">
        <w:rPr>
          <w:sz w:val="24"/>
          <w:lang w:val="mt-MT"/>
        </w:rPr>
        <w:tab/>
      </w:r>
      <w:r w:rsidRPr="00CA651E">
        <w:rPr>
          <w:sz w:val="24"/>
          <w:lang w:val="mt-MT"/>
        </w:rPr>
        <w:t>Testi adottati, P9_TA(2024)</w:t>
      </w:r>
      <w:r w:rsidR="00AB7738">
        <w:rPr>
          <w:sz w:val="24"/>
          <w:lang w:val="mt-MT"/>
        </w:rPr>
        <w:t>028</w:t>
      </w:r>
      <w:r w:rsidR="00B34CAC">
        <w:rPr>
          <w:sz w:val="24"/>
          <w:lang w:val="mt-MT"/>
        </w:rPr>
        <w:t>0</w:t>
      </w:r>
      <w:r w:rsidRPr="00CA651E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99C" w:rsidRPr="00CA651E" w:rsidRDefault="00FD49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99C" w:rsidRPr="00CA651E" w:rsidRDefault="00FD49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99C" w:rsidRPr="00CA651E" w:rsidRDefault="00FD499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651E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651E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651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7/2024"/>
    <w:docVar w:name="dvlangue" w:val="MT"/>
    <w:docVar w:name="dvnumam" w:val="0"/>
    <w:docVar w:name="dvpe" w:val="753.521"/>
    <w:docVar w:name="dvrapporteur" w:val="Rapporteur: "/>
    <w:docVar w:name="dvtitre" w:val="Deċiżjoni tal-Parlament Ewropew tal-11 ta' April 2024 dwar il-kwittanza għall-implimentazzjoni tal-baġit tal-Awtorità Ewropea tal-Assigurazzjoni u l-Pensjonijiet tax-Xogħol għas-sena finanzjarja 2022(2023/2153(DEC))"/>
  </w:docVars>
  <w:rsids>
    <w:rsidRoot w:val="00DA4FE6"/>
    <w:rsid w:val="00002272"/>
    <w:rsid w:val="00064002"/>
    <w:rsid w:val="000677B9"/>
    <w:rsid w:val="000779CA"/>
    <w:rsid w:val="000831BA"/>
    <w:rsid w:val="000A42CC"/>
    <w:rsid w:val="000E5325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4F9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E0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2E2F"/>
    <w:rsid w:val="00981893"/>
    <w:rsid w:val="00A1687D"/>
    <w:rsid w:val="00A43E52"/>
    <w:rsid w:val="00A4678D"/>
    <w:rsid w:val="00A778C7"/>
    <w:rsid w:val="00AB441E"/>
    <w:rsid w:val="00AB6293"/>
    <w:rsid w:val="00AB7738"/>
    <w:rsid w:val="00AE0928"/>
    <w:rsid w:val="00AF3B82"/>
    <w:rsid w:val="00B12E95"/>
    <w:rsid w:val="00B22876"/>
    <w:rsid w:val="00B34CAC"/>
    <w:rsid w:val="00B558F0"/>
    <w:rsid w:val="00BD48FE"/>
    <w:rsid w:val="00BD7BD8"/>
    <w:rsid w:val="00BE6ADC"/>
    <w:rsid w:val="00C05BFE"/>
    <w:rsid w:val="00C23CD4"/>
    <w:rsid w:val="00C61C0C"/>
    <w:rsid w:val="00C941CB"/>
    <w:rsid w:val="00CA651E"/>
    <w:rsid w:val="00CC2357"/>
    <w:rsid w:val="00CF071A"/>
    <w:rsid w:val="00D058B8"/>
    <w:rsid w:val="00D56C11"/>
    <w:rsid w:val="00D834A0"/>
    <w:rsid w:val="00D872DF"/>
    <w:rsid w:val="00D91E21"/>
    <w:rsid w:val="00DA4FE6"/>
    <w:rsid w:val="00DA7FCD"/>
    <w:rsid w:val="00E365E1"/>
    <w:rsid w:val="00E817C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DF6BA1"/>
  <w15:chartTrackingRefBased/>
  <w15:docId w15:val="{D4E99C3B-883F-4941-ABA2-DDDAE0DA1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D499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D499C"/>
    <w:pPr>
      <w:spacing w:before="480" w:after="240"/>
    </w:pPr>
  </w:style>
  <w:style w:type="paragraph" w:customStyle="1" w:styleId="PageHeading">
    <w:name w:val="PageHeading"/>
    <w:basedOn w:val="Normal"/>
    <w:rsid w:val="00FD499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D499C"/>
    <w:rPr>
      <w:b/>
    </w:rPr>
  </w:style>
  <w:style w:type="paragraph" w:customStyle="1" w:styleId="NormalHanging12a">
    <w:name w:val="NormalHanging12a"/>
    <w:basedOn w:val="Normal"/>
    <w:link w:val="NormalHanging12aChar"/>
    <w:rsid w:val="00FD499C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FD499C"/>
    <w:pPr>
      <w:spacing w:after="240"/>
      <w:jc w:val="center"/>
    </w:pPr>
  </w:style>
  <w:style w:type="paragraph" w:styleId="Header">
    <w:name w:val="header"/>
    <w:basedOn w:val="Normal"/>
    <w:link w:val="HeaderChar"/>
    <w:rsid w:val="00FD49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D499C"/>
    <w:rPr>
      <w:sz w:val="24"/>
      <w:lang w:val="mt-MT"/>
    </w:rPr>
  </w:style>
  <w:style w:type="paragraph" w:customStyle="1" w:styleId="EPFooter">
    <w:name w:val="EPFooter"/>
    <w:basedOn w:val="Normal"/>
    <w:rsid w:val="00FD49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FD499C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D3793-7F7A-4700-8272-A9628036F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3711</Words>
  <Characters>21153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CAMILLERI Denise</cp:lastModifiedBy>
  <cp:revision>2</cp:revision>
  <cp:lastPrinted>2004-11-19T15:42:00Z</cp:lastPrinted>
  <dcterms:created xsi:type="dcterms:W3CDTF">2024-04-11T15:23:00Z</dcterms:created>
  <dcterms:modified xsi:type="dcterms:W3CDTF">2024-04-11T15:23:00Z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A9-0097/2024</vt:lpwstr>
  </property>
  <property fmtid="{D5CDD505-2E9C-101B-9397-08002B2CF9AE}" pid="4" name="&lt;Type&gt;">
    <vt:lpwstr>RR</vt:lpwstr>
  </property>
</Properties>
</file>