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2E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2E21" w:rsidRDefault="00850955" w:rsidP="0010095E">
            <w:pPr>
              <w:pStyle w:val="EPName"/>
            </w:pPr>
            <w:r w:rsidRPr="00382E21">
              <w:t>Parlament Europejski</w:t>
            </w:r>
          </w:p>
          <w:p w:rsidR="00751A4A" w:rsidRPr="00382E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E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2E21" w:rsidRDefault="00187494" w:rsidP="0010095E">
            <w:pPr>
              <w:pStyle w:val="EPLogo"/>
            </w:pPr>
            <w:r w:rsidRPr="00382E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2E21" w:rsidRDefault="00D058B8" w:rsidP="004C5D52">
      <w:pPr>
        <w:pStyle w:val="LineTop"/>
      </w:pPr>
    </w:p>
    <w:p w:rsidR="00680577" w:rsidRPr="00382E21" w:rsidRDefault="00850955" w:rsidP="00680577">
      <w:pPr>
        <w:pStyle w:val="EPBodyTA1"/>
      </w:pPr>
      <w:r w:rsidRPr="00382E21">
        <w:t>TEKSTY PRZYJĘTE</w:t>
      </w:r>
    </w:p>
    <w:p w:rsidR="00D058B8" w:rsidRPr="00382E21" w:rsidRDefault="00D058B8" w:rsidP="00D058B8">
      <w:pPr>
        <w:pStyle w:val="LineBottom"/>
      </w:pPr>
    </w:p>
    <w:p w:rsidR="00850955" w:rsidRPr="00382E21" w:rsidRDefault="00850955" w:rsidP="00850955">
      <w:pPr>
        <w:pStyle w:val="ATHeading1"/>
      </w:pPr>
      <w:bookmarkStart w:id="0" w:name="TANumber"/>
      <w:r w:rsidRPr="00382E21">
        <w:t>P9_TA(2024)0</w:t>
      </w:r>
      <w:bookmarkEnd w:id="0"/>
      <w:r w:rsidR="00F53423">
        <w:t>2</w:t>
      </w:r>
      <w:r w:rsidR="00002115">
        <w:t>63</w:t>
      </w:r>
    </w:p>
    <w:p w:rsidR="00850955" w:rsidRPr="00382E21" w:rsidRDefault="00850955" w:rsidP="00850955">
      <w:pPr>
        <w:pStyle w:val="ATHeading2"/>
      </w:pPr>
      <w:bookmarkStart w:id="1" w:name="title"/>
      <w:r w:rsidRPr="00382E21">
        <w:t>Absolutorium za rok 2022: Europejski Urząd Nadzoru Ubezpieczeń i Pracowniczych Programów Emerytalnych</w:t>
      </w:r>
      <w:bookmarkEnd w:id="1"/>
    </w:p>
    <w:p w:rsidR="00850955" w:rsidRPr="00382E21" w:rsidRDefault="00850955" w:rsidP="00850955">
      <w:pPr>
        <w:rPr>
          <w:i/>
          <w:vanish/>
        </w:rPr>
      </w:pPr>
      <w:r w:rsidRPr="00382E21">
        <w:rPr>
          <w:i/>
        </w:rPr>
        <w:fldChar w:fldCharType="begin"/>
      </w:r>
      <w:r w:rsidRPr="00382E21">
        <w:rPr>
          <w:i/>
        </w:rPr>
        <w:instrText xml:space="preserve"> TC"(</w:instrText>
      </w:r>
      <w:bookmarkStart w:id="2" w:name="DocNumber"/>
      <w:r w:rsidRPr="00382E21">
        <w:rPr>
          <w:i/>
        </w:rPr>
        <w:instrText>A9-0097/2024</w:instrText>
      </w:r>
      <w:bookmarkEnd w:id="2"/>
      <w:r w:rsidRPr="00382E21">
        <w:rPr>
          <w:i/>
        </w:rPr>
        <w:instrText xml:space="preserve"> - Sprawozdawca: </w:instrText>
      </w:r>
      <w:proofErr w:type="spellStart"/>
      <w:r w:rsidRPr="00382E21">
        <w:rPr>
          <w:i/>
        </w:rPr>
        <w:instrText>Petri</w:instrText>
      </w:r>
      <w:proofErr w:type="spellEnd"/>
      <w:r w:rsidRPr="00382E21">
        <w:rPr>
          <w:i/>
        </w:rPr>
        <w:instrText xml:space="preserve"> </w:instrText>
      </w:r>
      <w:proofErr w:type="spellStart"/>
      <w:r w:rsidRPr="00382E21">
        <w:rPr>
          <w:i/>
        </w:rPr>
        <w:instrText>Sarvamaa</w:instrText>
      </w:r>
      <w:proofErr w:type="spellEnd"/>
      <w:proofErr w:type="gramStart"/>
      <w:r w:rsidRPr="00382E21">
        <w:rPr>
          <w:i/>
        </w:rPr>
        <w:instrText>)"\l</w:instrText>
      </w:r>
      <w:proofErr w:type="gramEnd"/>
      <w:r w:rsidRPr="00382E21">
        <w:rPr>
          <w:i/>
        </w:rPr>
        <w:instrText xml:space="preserve">3 \n&gt; \* MERGEFORMAT </w:instrText>
      </w:r>
      <w:r w:rsidRPr="00382E21">
        <w:rPr>
          <w:i/>
        </w:rPr>
        <w:fldChar w:fldCharType="end"/>
      </w:r>
    </w:p>
    <w:p w:rsidR="00850955" w:rsidRPr="00382E21" w:rsidRDefault="00850955" w:rsidP="00850955">
      <w:pPr>
        <w:rPr>
          <w:vanish/>
        </w:rPr>
      </w:pPr>
      <w:bookmarkStart w:id="3" w:name="Commission"/>
      <w:r w:rsidRPr="00382E21">
        <w:rPr>
          <w:vanish/>
        </w:rPr>
        <w:t>Komisja Kontroli Budżetowej</w:t>
      </w:r>
      <w:bookmarkEnd w:id="3"/>
    </w:p>
    <w:p w:rsidR="00850955" w:rsidRPr="00382E21" w:rsidRDefault="00850955" w:rsidP="00850955">
      <w:pPr>
        <w:rPr>
          <w:vanish/>
        </w:rPr>
      </w:pPr>
      <w:bookmarkStart w:id="4" w:name="PE"/>
      <w:r w:rsidRPr="00382E21">
        <w:rPr>
          <w:vanish/>
        </w:rPr>
        <w:t>PE753.521</w:t>
      </w:r>
      <w:bookmarkEnd w:id="4"/>
    </w:p>
    <w:p w:rsidR="00850955" w:rsidRPr="00382E21" w:rsidRDefault="00260517" w:rsidP="00850955">
      <w:pPr>
        <w:pStyle w:val="ATHeading3"/>
      </w:pPr>
      <w:bookmarkStart w:id="5" w:name="Sujet"/>
      <w:r>
        <w:t xml:space="preserve">1. </w:t>
      </w:r>
      <w:r w:rsidR="00850955" w:rsidRPr="00382E21">
        <w:t xml:space="preserve">Decyzja Parlamentu Europejskiego z dnia </w:t>
      </w:r>
      <w:r>
        <w:t>11 kwietnia</w:t>
      </w:r>
      <w:r w:rsidR="00850955" w:rsidRPr="00382E21">
        <w:t xml:space="preserve"> 2024 r. w sprawie absolutorium z wykonania budżetu Europejskiego Urzędu Nadzoru Ubezpieczeń i Pracowniczych Programów Emerytalnych za rok budżetowy 2022</w:t>
      </w:r>
      <w:bookmarkEnd w:id="5"/>
      <w:r w:rsidR="00850955" w:rsidRPr="00382E21">
        <w:t xml:space="preserve"> </w:t>
      </w:r>
      <w:bookmarkStart w:id="6" w:name="References"/>
      <w:r w:rsidR="00850955" w:rsidRPr="00382E21">
        <w:t>(2023/2153(DEC))</w:t>
      </w:r>
      <w:bookmarkEnd w:id="6"/>
    </w:p>
    <w:p w:rsidR="00AF6A12" w:rsidRPr="00382E21" w:rsidRDefault="00AF6A12" w:rsidP="00AF6A12">
      <w:pPr>
        <w:pStyle w:val="EPComma"/>
      </w:pPr>
      <w:bookmarkStart w:id="7" w:name="TextBodyBegin"/>
      <w:bookmarkEnd w:id="7"/>
      <w:r w:rsidRPr="00382E21">
        <w:rPr>
          <w:i/>
        </w:rPr>
        <w:t>Parlament Europejski</w:t>
      </w:r>
      <w:r w:rsidRPr="00382E21">
        <w:t>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końcowe roczne sprawozdanie finansowe Europejskiego Urzędu Nadzoru Ubezpieczeń i Pracowniczych Programów Emerytalnych za rok budżetowy 2022,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sprawozdanie roczne Trybunału Obrachunkowego dotyczące agencji UE za rok budżetowy 2022 wraz z odpowiedziami agencji</w:t>
      </w:r>
      <w:r w:rsidRPr="00382E21">
        <w:rPr>
          <w:rStyle w:val="FootnoteReference"/>
        </w:rPr>
        <w:footnoteReference w:id="1"/>
      </w:r>
      <w:r w:rsidRPr="00382E21">
        <w:t>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poświadczenie wiarygodności</w:t>
      </w:r>
      <w:r w:rsidRPr="00382E21">
        <w:rPr>
          <w:rStyle w:val="FootnoteReference"/>
        </w:rPr>
        <w:footnoteReference w:id="2"/>
      </w:r>
      <w:r w:rsidRPr="00382E21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 xml:space="preserve">uwzględniając zalecenie Rady z dnia 22 lutego 2024 r. w sprawie udzielenia Urzędowi </w:t>
      </w:r>
      <w:r w:rsidRPr="002616B2">
        <w:t>absolutorium z wykonania budżetu za rok budżetowy 2022 (</w:t>
      </w:r>
      <w:r w:rsidR="002616B2" w:rsidRPr="002616B2">
        <w:t>06180/2024 – C9</w:t>
      </w:r>
      <w:r w:rsidR="002616B2" w:rsidRPr="002616B2">
        <w:noBreakHyphen/>
        <w:t>0091/2024</w:t>
      </w:r>
      <w:r w:rsidRPr="002616B2">
        <w:t>),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art. 319 Traktatu o funkcjonowaniu Unii Europejskiej,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rozporządzenie Parlamentu Europe</w:t>
      </w:r>
      <w:r w:rsidR="00F53423">
        <w:t xml:space="preserve">jskiego i Rady (UE, </w:t>
      </w:r>
      <w:proofErr w:type="spellStart"/>
      <w:r w:rsidR="00F53423">
        <w:t>Euratom</w:t>
      </w:r>
      <w:proofErr w:type="spellEnd"/>
      <w:r w:rsidR="00F53423">
        <w:t xml:space="preserve">) </w:t>
      </w:r>
      <w:r w:rsidRPr="00382E21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382E21">
        <w:lastRenderedPageBreak/>
        <w:t xml:space="preserve">uchylające rozporządzenie (UE, </w:t>
      </w:r>
      <w:proofErr w:type="spellStart"/>
      <w:r w:rsidRPr="00382E21">
        <w:t>Euratom</w:t>
      </w:r>
      <w:proofErr w:type="spellEnd"/>
      <w:r w:rsidRPr="00382E21">
        <w:t>) nr 966/2012</w:t>
      </w:r>
      <w:r w:rsidRPr="00382E21">
        <w:rPr>
          <w:rStyle w:val="FootnoteReference"/>
        </w:rPr>
        <w:footnoteReference w:id="3"/>
      </w:r>
      <w:r w:rsidRPr="00382E21">
        <w:t>, w szczególności jego art. 70,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rozporządzenie Parlamentu Europejskiego i Rady (UE) nr 1094/2010 z dnia 24 listopada 2010 r. w sprawie ustanowienia Europejskiego Urzędu Nadzoru (Europejskiego Urzędu Nadzoru Ubezpieczeń i Pracowniczych Programów Emerytalnych), zmiany decyzji nr 716/2009/WE i uchylenia decyzji Komisji 2009/79/WE</w:t>
      </w:r>
      <w:r w:rsidRPr="00382E21">
        <w:rPr>
          <w:rStyle w:val="FootnoteReference"/>
        </w:rPr>
        <w:footnoteReference w:id="4"/>
      </w:r>
      <w:r w:rsidRPr="00382E21">
        <w:t>, w szczególności jego art. 64,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382E21">
        <w:t>Euratom</w:t>
      </w:r>
      <w:proofErr w:type="spellEnd"/>
      <w:r w:rsidRPr="00382E21">
        <w:t xml:space="preserve">, o których mowa w art. 70 rozporządzenia Parlamentu Europejskiego i Rady (UE, </w:t>
      </w:r>
      <w:proofErr w:type="spellStart"/>
      <w:r w:rsidRPr="00382E21">
        <w:t>Euratom</w:t>
      </w:r>
      <w:proofErr w:type="spellEnd"/>
      <w:r w:rsidRPr="00382E21">
        <w:t>) 2018/1046</w:t>
      </w:r>
      <w:r w:rsidRPr="00382E21">
        <w:rPr>
          <w:rStyle w:val="FootnoteReference"/>
        </w:rPr>
        <w:footnoteReference w:id="5"/>
      </w:r>
      <w:r w:rsidRPr="00382E21">
        <w:t>, w szczególności jego art. 105,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art. 100 Regulaminu i załącznik V do Regulaminu,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sprawozdanie Komisji Kontroli Budżetowej (A9-0097/2024),</w:t>
      </w:r>
    </w:p>
    <w:p w:rsidR="00AF6A12" w:rsidRPr="00382E21" w:rsidRDefault="00AF6A12" w:rsidP="00AF6A12">
      <w:pPr>
        <w:pStyle w:val="NormalHanging12a"/>
      </w:pPr>
      <w:r w:rsidRPr="00382E21">
        <w:t>1.</w:t>
      </w:r>
      <w:r w:rsidRPr="00382E21">
        <w:tab/>
      </w:r>
      <w:proofErr w:type="gramStart"/>
      <w:r w:rsidRPr="00382E21">
        <w:t>udziela</w:t>
      </w:r>
      <w:proofErr w:type="gramEnd"/>
      <w:r w:rsidRPr="00382E21">
        <w:t xml:space="preserve"> dyrektorowi wykonawczemu Europejskiego Urzędu Nadzoru Ubezpieczeń i Pracowniczych Programów Emerytalnych absolutorium z wykonania budżetu Urzędu za rok budżetowy 2022;</w:t>
      </w:r>
    </w:p>
    <w:p w:rsidR="00AF6A12" w:rsidRPr="00382E21" w:rsidRDefault="00AF6A12" w:rsidP="00AF6A12">
      <w:pPr>
        <w:pStyle w:val="NormalHanging12a"/>
      </w:pPr>
      <w:r w:rsidRPr="00382E21">
        <w:t>2.</w:t>
      </w:r>
      <w:r w:rsidRPr="00382E21">
        <w:tab/>
      </w:r>
      <w:proofErr w:type="gramStart"/>
      <w:r w:rsidRPr="00382E21">
        <w:t>przedstawia</w:t>
      </w:r>
      <w:proofErr w:type="gramEnd"/>
      <w:r w:rsidRPr="00382E21">
        <w:t xml:space="preserve"> swoje uwagi w poniższej rezolucji;</w:t>
      </w:r>
    </w:p>
    <w:p w:rsidR="00AF6A12" w:rsidRPr="00382E21" w:rsidRDefault="00AF6A12" w:rsidP="00AF6A12">
      <w:pPr>
        <w:pStyle w:val="NormalHanging12a"/>
      </w:pPr>
      <w:r w:rsidRPr="00382E21">
        <w:t>3.</w:t>
      </w:r>
      <w:r w:rsidRPr="00382E21">
        <w:tab/>
      </w:r>
      <w:proofErr w:type="gramStart"/>
      <w:r w:rsidRPr="00382E21">
        <w:t>zobowiązuje</w:t>
      </w:r>
      <w:proofErr w:type="gramEnd"/>
      <w:r w:rsidRPr="00382E21">
        <w:t xml:space="preserve"> swoją przewodniczącą do przekazania niniejszej decyzji wraz z rezolucją, która stanowi jej integralną część, dyrektorowi wykonawczemu Europejskiego Urzędu Nadzoru Ubezpieczeń i Pracowniczych Programów Emerytalnych, Radzie, Komisji i Trybunałowi Obrachunkowemu oraz do zarządzenia jej publikacji w </w:t>
      </w:r>
      <w:r w:rsidRPr="00382E21">
        <w:rPr>
          <w:i/>
        </w:rPr>
        <w:t>Dzienniku Urzędowym Unii Europejskiej</w:t>
      </w:r>
      <w:r w:rsidRPr="00382E21">
        <w:t xml:space="preserve"> (seria L).</w:t>
      </w:r>
    </w:p>
    <w:p w:rsidR="00AF6A12" w:rsidRPr="00382E21" w:rsidRDefault="00AF6A12" w:rsidP="00AF6A12"/>
    <w:p w:rsidR="00AF6A12" w:rsidRPr="00382E21" w:rsidRDefault="00AF6A12" w:rsidP="00AF6A12">
      <w:pPr>
        <w:widowControl/>
        <w:rPr>
          <w:rFonts w:ascii="Arial" w:hAnsi="Arial" w:cs="Arial"/>
          <w:b/>
        </w:rPr>
        <w:sectPr w:rsidR="00AF6A12" w:rsidRPr="00382E21" w:rsidSect="00382E2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AF6A12" w:rsidRPr="00382E21" w:rsidRDefault="00260517" w:rsidP="00260517">
      <w:pPr>
        <w:pStyle w:val="ATHeading3"/>
      </w:pPr>
      <w:bookmarkStart w:id="8" w:name="_Toc146789945"/>
      <w:bookmarkStart w:id="9" w:name="_Toc161743923"/>
      <w:r>
        <w:lastRenderedPageBreak/>
        <w:t>2. Decyzja</w:t>
      </w:r>
      <w:r w:rsidR="00AF6A12" w:rsidRPr="00382E21">
        <w:t xml:space="preserve"> P</w:t>
      </w:r>
      <w:r>
        <w:t>arlamentu</w:t>
      </w:r>
      <w:r w:rsidR="00AF6A12" w:rsidRPr="00382E21">
        <w:t xml:space="preserve"> E</w:t>
      </w:r>
      <w:bookmarkEnd w:id="8"/>
      <w:bookmarkEnd w:id="9"/>
      <w:r>
        <w:t xml:space="preserve">uropejskiego z dnia 11 kwietnia 2024 r. </w:t>
      </w:r>
      <w:r w:rsidR="00AF6A12" w:rsidRPr="00382E21">
        <w:t>w sprawie zamknięcia ksiąg dochodów i wydatków Europejskiego Urzędu Nadzoru Ubezpieczeń i Pracowniczych Programów Emerytalnych za rok budżetowy 2022</w:t>
      </w:r>
      <w:r>
        <w:t xml:space="preserve"> </w:t>
      </w:r>
      <w:r w:rsidR="00AF6A12" w:rsidRPr="00382E21">
        <w:t>(2023/2153(DEC))</w:t>
      </w:r>
    </w:p>
    <w:p w:rsidR="00AF6A12" w:rsidRPr="00382E21" w:rsidRDefault="00AF6A12" w:rsidP="00AF6A12">
      <w:pPr>
        <w:pStyle w:val="EPComma"/>
      </w:pPr>
      <w:r w:rsidRPr="00382E21">
        <w:rPr>
          <w:i/>
        </w:rPr>
        <w:t>Parlament Europejski</w:t>
      </w:r>
      <w:r w:rsidRPr="00382E21">
        <w:t>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końcowe roczne sprawozdanie finansowe Europejskiego Urzędu Nadzoru Ubezpieczeń i Pracowniczych Programów Emerytalnych za rok budżetowy 2022,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sprawozdanie roczne Trybunału Obrachunkowego dotyczące agencji UE za rok budżetowy 2022 wraz z odpowiedziami agencji</w:t>
      </w:r>
      <w:r w:rsidRPr="00382E21">
        <w:rPr>
          <w:rStyle w:val="FootnoteReference"/>
        </w:rPr>
        <w:footnoteReference w:id="6"/>
      </w:r>
      <w:r w:rsidRPr="00382E21">
        <w:t>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poświadczenie wiarygodności</w:t>
      </w:r>
      <w:r w:rsidRPr="00382E21">
        <w:rPr>
          <w:rStyle w:val="FootnoteReference"/>
        </w:rPr>
        <w:footnoteReference w:id="7"/>
      </w:r>
      <w:r w:rsidRPr="00382E21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 xml:space="preserve">uwzględniając zalecenie Rady z dnia 22 lutego 2024 r. w sprawie udzielenia Urzędowi </w:t>
      </w:r>
      <w:r w:rsidRPr="002616B2">
        <w:t>absolutorium z wykonania budżetu za rok budżetowy 2022 (</w:t>
      </w:r>
      <w:r w:rsidR="002616B2" w:rsidRPr="002616B2">
        <w:t>06180/2024 – C9</w:t>
      </w:r>
      <w:r w:rsidR="002616B2" w:rsidRPr="002616B2">
        <w:noBreakHyphen/>
        <w:t>0091/2024</w:t>
      </w:r>
      <w:r w:rsidRPr="002616B2">
        <w:t>),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art. 319 Traktatu o funkcjonowaniu Unii Europejskiej,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rozporządzenie Parlamentu Europe</w:t>
      </w:r>
      <w:r w:rsidR="00F53423">
        <w:t xml:space="preserve">jskiego i Rady (UE, </w:t>
      </w:r>
      <w:proofErr w:type="spellStart"/>
      <w:r w:rsidR="00F53423">
        <w:t>Euratom</w:t>
      </w:r>
      <w:proofErr w:type="spellEnd"/>
      <w:r w:rsidR="00F53423">
        <w:t xml:space="preserve">) </w:t>
      </w:r>
      <w:bookmarkStart w:id="10" w:name="_GoBack"/>
      <w:bookmarkEnd w:id="10"/>
      <w:r w:rsidRPr="00382E21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382E21">
        <w:t>Euratom</w:t>
      </w:r>
      <w:proofErr w:type="spellEnd"/>
      <w:r w:rsidRPr="00382E21">
        <w:t>) nr 966/2012</w:t>
      </w:r>
      <w:r w:rsidRPr="00382E21">
        <w:rPr>
          <w:rStyle w:val="FootnoteReference"/>
        </w:rPr>
        <w:footnoteReference w:id="8"/>
      </w:r>
      <w:r w:rsidRPr="00382E21">
        <w:t>, w szczególności jego art. 70,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rozporządzenie Parlamentu Europejskiego i Rady (UE) nr 1094/2010 z dnia 24 listopada 2010 r. w sprawie ustanowienia Europejskiego Urzędu Nadzoru (Europejskiego Urzędu Nadzoru Ubezpieczeń i Pracowniczych Programów Emerytalnych), zmiany decyzji nr 716/2009/WE i uchylenia decyzji Komisji 2009/79/WE</w:t>
      </w:r>
      <w:r w:rsidRPr="00382E21">
        <w:rPr>
          <w:rStyle w:val="FootnoteReference"/>
        </w:rPr>
        <w:footnoteReference w:id="9"/>
      </w:r>
      <w:r w:rsidRPr="00382E21">
        <w:t>, w szczególności jego art. 64,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382E21">
        <w:t>Euratom</w:t>
      </w:r>
      <w:proofErr w:type="spellEnd"/>
      <w:r w:rsidRPr="00382E21">
        <w:t xml:space="preserve">, o których mowa w art. 70 rozporządzenia Parlamentu Europejskiego i Rady (UE, </w:t>
      </w:r>
      <w:proofErr w:type="spellStart"/>
      <w:r w:rsidRPr="00382E21">
        <w:t>Euratom</w:t>
      </w:r>
      <w:proofErr w:type="spellEnd"/>
      <w:r w:rsidRPr="00382E21">
        <w:t>) 2018/1046</w:t>
      </w:r>
      <w:r w:rsidRPr="00382E21">
        <w:rPr>
          <w:rStyle w:val="FootnoteReference"/>
        </w:rPr>
        <w:footnoteReference w:id="10"/>
      </w:r>
      <w:r w:rsidRPr="00382E21">
        <w:t>, w szczególności jego art. 105,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art. 100 Regulaminu i załącznik V do Regulaminu,</w:t>
      </w:r>
    </w:p>
    <w:p w:rsidR="00AF6A12" w:rsidRPr="00382E21" w:rsidRDefault="00AF6A12" w:rsidP="00AF6A12">
      <w:pPr>
        <w:pStyle w:val="NormalHanging12a"/>
      </w:pPr>
      <w:r w:rsidRPr="00382E21">
        <w:lastRenderedPageBreak/>
        <w:t>–</w:t>
      </w:r>
      <w:r w:rsidRPr="00382E21">
        <w:tab/>
        <w:t>uwzględniając sprawozdanie Komisji Kontroli Budżetowej (A9-0097/2024),</w:t>
      </w:r>
    </w:p>
    <w:p w:rsidR="00AF6A12" w:rsidRPr="00382E21" w:rsidRDefault="00AF6A12" w:rsidP="00AF6A12">
      <w:pPr>
        <w:pStyle w:val="NormalHanging12a"/>
      </w:pPr>
      <w:r w:rsidRPr="00382E21">
        <w:t>1.</w:t>
      </w:r>
      <w:r w:rsidRPr="00382E21">
        <w:tab/>
      </w:r>
      <w:proofErr w:type="gramStart"/>
      <w:r w:rsidRPr="00382E21">
        <w:t>zatwierdza</w:t>
      </w:r>
      <w:proofErr w:type="gramEnd"/>
      <w:r w:rsidRPr="00382E21">
        <w:t xml:space="preserve"> zamknięcie ksiąg dochodów i wydatków Europejskiego Urzędu Nadzoru Ubezpieczeń i Pracowniczych Programów Emerytalnych za rok budżetowy 2022;</w:t>
      </w:r>
    </w:p>
    <w:p w:rsidR="00AF6A12" w:rsidRPr="00382E21" w:rsidRDefault="00AF6A12" w:rsidP="00AF6A12">
      <w:pPr>
        <w:pStyle w:val="NormalHanging12a"/>
      </w:pPr>
      <w:r w:rsidRPr="00382E21">
        <w:t>2.</w:t>
      </w:r>
      <w:r w:rsidRPr="00382E21">
        <w:tab/>
      </w:r>
      <w:proofErr w:type="gramStart"/>
      <w:r w:rsidRPr="00382E21">
        <w:t>zobowiązuje</w:t>
      </w:r>
      <w:proofErr w:type="gramEnd"/>
      <w:r w:rsidRPr="00382E21">
        <w:t xml:space="preserve"> swoją przewodniczącą do przekazania niniejszej decyzji dyrektorowi wykonawczemu Europejskiego Urzędu Nadzoru Ubezpieczeń i Pracowniczych Programów Emerytalnych, Radzie, Komisji i Trybunałowi Obrachunkowemu oraz do zarządzenia jej publikacji w </w:t>
      </w:r>
      <w:r w:rsidRPr="00382E21">
        <w:rPr>
          <w:i/>
        </w:rPr>
        <w:t>Dzienniku Urzędowym Unii Europejskiej</w:t>
      </w:r>
      <w:r w:rsidRPr="00382E21">
        <w:t xml:space="preserve"> (seria L).</w:t>
      </w:r>
    </w:p>
    <w:p w:rsidR="00AF6A12" w:rsidRPr="00382E21" w:rsidRDefault="00AF6A12" w:rsidP="00AF6A12"/>
    <w:p w:rsidR="00AF6A12" w:rsidRPr="00382E21" w:rsidRDefault="00AF6A12" w:rsidP="00AF6A12">
      <w:pPr>
        <w:widowControl/>
        <w:rPr>
          <w:rFonts w:ascii="Arial" w:hAnsi="Arial" w:cs="Arial"/>
          <w:b/>
        </w:rPr>
        <w:sectPr w:rsidR="00AF6A12" w:rsidRPr="00382E21" w:rsidSect="00382E2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AF6A12" w:rsidRPr="00382E21" w:rsidRDefault="00260517" w:rsidP="00260517">
      <w:pPr>
        <w:pStyle w:val="ATHeading3"/>
      </w:pPr>
      <w:bookmarkStart w:id="11" w:name="_Toc146789946"/>
      <w:bookmarkStart w:id="12" w:name="_Toc161743924"/>
      <w:r>
        <w:lastRenderedPageBreak/>
        <w:t>3. Rezolucja Parlamentu</w:t>
      </w:r>
      <w:r w:rsidR="00AF6A12" w:rsidRPr="00382E21">
        <w:t xml:space="preserve"> E</w:t>
      </w:r>
      <w:bookmarkEnd w:id="11"/>
      <w:bookmarkEnd w:id="12"/>
      <w:r>
        <w:t>uropejskiego z dnia 11 kwietnia 2024 r. zawierająca</w:t>
      </w:r>
      <w:r w:rsidR="00AF6A12" w:rsidRPr="00382E21">
        <w:t xml:space="preserve"> uwagi stanowiące integralną część decyzji w sprawie absolutorium z wykonania budżetu Europejskiego Urzędu Nadzoru Ubezpieczeń i Pracowniczych Programów Emerytalnych za rok budżetowy 2022</w:t>
      </w:r>
      <w:r>
        <w:t xml:space="preserve"> </w:t>
      </w:r>
      <w:r w:rsidR="00AF6A12" w:rsidRPr="00382E21">
        <w:t>(2023/2153(DEC))</w:t>
      </w:r>
    </w:p>
    <w:p w:rsidR="00AF6A12" w:rsidRPr="00382E21" w:rsidRDefault="00AF6A12" w:rsidP="00AF6A12">
      <w:pPr>
        <w:pStyle w:val="EPComma"/>
      </w:pPr>
      <w:r w:rsidRPr="00382E21">
        <w:rPr>
          <w:i/>
        </w:rPr>
        <w:t>Parlament Europejski</w:t>
      </w:r>
      <w:r w:rsidRPr="00382E21">
        <w:t>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swoją decyzję w sprawie absolutorium z wykonania budżetu Europejskiego Urzędu Nadzoru Ubezpieczeń i Pracowniczych Programów Emerytalnych za rok budżetowy 2022,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art. 100 Regulaminu i załącznik V do Regulaminu,</w:t>
      </w:r>
    </w:p>
    <w:p w:rsidR="00AF6A12" w:rsidRPr="00382E21" w:rsidRDefault="00AF6A12" w:rsidP="00AF6A12">
      <w:pPr>
        <w:pStyle w:val="NormalHanging12a"/>
      </w:pPr>
      <w:r w:rsidRPr="00382E21">
        <w:t>–</w:t>
      </w:r>
      <w:r w:rsidRPr="00382E21">
        <w:tab/>
        <w:t>uwzględniając sprawozdanie Komisji Kontroli Budżetowej (A9-0097/2024),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A.</w:t>
      </w:r>
      <w:r w:rsidRPr="00382E21">
        <w:tab/>
      </w:r>
      <w:proofErr w:type="gramStart"/>
      <w:r w:rsidRPr="00382E21">
        <w:t>mając</w:t>
      </w:r>
      <w:proofErr w:type="gramEnd"/>
      <w:r w:rsidRPr="00382E21">
        <w:t xml:space="preserve"> na uwadze, że zgodnie z zestawieniem dochodów i wydatków</w:t>
      </w:r>
      <w:r w:rsidRPr="00382E21">
        <w:rPr>
          <w:rStyle w:val="FootnoteReference"/>
          <w:szCs w:val="24"/>
        </w:rPr>
        <w:footnoteReference w:id="11"/>
      </w:r>
      <w:r w:rsidRPr="00382E21">
        <w:t xml:space="preserve"> ostateczny budżet Europejskiego Urzędu Nadzoru Ubezpieczeń i Pracowniczych Programów Emerytalnych („Urząd”) na rok budżetowy 2022 wyniósł 34 571 120 EUR, co stanowi wzrost o 5,27 % w porównaniu z rokiem 2021; mając na uwadze, że Urząd jest finansowany z wkładu Unii (12 932 000 EUR, czyli 37,40 %) i z wkładów krajowych organów nadzoru państw członkowskich (21 076 120 EUR, czyli 60,96 %);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B.</w:t>
      </w:r>
      <w:r w:rsidRPr="00382E21">
        <w:tab/>
        <w:t>mając na uwadze, że w swoim sprawozdaniu dotyczącym rocznego sprawozdania finansowego Europejskiego Urzędu Nadzoru Ubezpieczeń i Pracowniczych Programów Emerytalnych za rok budżetowy 2022 („sprawozdanie Trybunału”) Trybunał Obrachunkowy („Trybunał”) stwierdza, iż uzyskał wystarczającą pewność, że roczne sprawozdanie finansowe Urzędu jest wiarygodne oraz że transakcje leżące u jego podstaw są legalne i prawidłowe;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Zarządzanie budżetem i finansami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zauważa, że dzięki wysiłkom związanym z monitorowaniem budżetu w ciągu roku budżetowego 2022 osiągnięto wskaźnik wykonania budżetu w wysokości 99,46 %, co oznacza spadek o 0,52 % w porównaniu z rokiem 2021; zwraca jednak uwagę, że wskaźnik wykonania środków na płatności wyniósł 92,07 %, co oznacza wzrost o 12,95 % w porównaniu z rokiem 2021;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rPr>
          <w:b/>
          <w:i/>
        </w:rPr>
        <w:t>Wyniki działalności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2.</w:t>
      </w:r>
      <w:r w:rsidRPr="00382E21">
        <w:tab/>
      </w:r>
      <w:proofErr w:type="gramStart"/>
      <w:r w:rsidRPr="00382E21">
        <w:t>odnotowuje</w:t>
      </w:r>
      <w:proofErr w:type="gramEnd"/>
      <w:r w:rsidRPr="00382E21">
        <w:t>, że Urząd stosuje pewne środki, np. kluczowe wskaźniki skuteczności działania, do oceny wartości dodanej wynikającej z jego działalności oraz inne środki służące usprawnieniu zarządzania budżetem; zauważa, że w 2022 r. Urząd wyznaczył 17 strategicznych celów w zakresie skuteczności działania w siedmiu głównych obszarach swoich prac; docenia, że Urząd osiągnął lub przekroczył 15 z tych celów; uznano, że nie można odnieść się do dwóch innych celów ze względu na ich zależność od harmonogramu legislacyjnego aktu w sprawie operacyjnej odporności cyfrowej (DORA) i zakłócenia technologiczne;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lastRenderedPageBreak/>
        <w:t>3.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342 produkty i usługi, stanowiące 91 % całości, Urząd dostarczył zgodnie z planem, w przypadku 20 produktów i usług wystąpiły niewielkie opóźnienia, a 13 nie dostarczył, często ze względu na zależność od harmonogramów decyzji ustawodawczych, np. przeglądu dyrektywy Wypłacalność II lub od rozwoju technologicznego na rynku i konkurencyjnych priorytetów; pochwala większe zaangażowanie Urzędu w wystąpienia: ich liczba wzrosła ze 167 w 2021 r. do 214 w 2022 r.;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4.</w:t>
      </w:r>
      <w:r w:rsidRPr="00382E21">
        <w:tab/>
      </w:r>
      <w:proofErr w:type="gramStart"/>
      <w:r w:rsidRPr="00382E21">
        <w:t>wyraża</w:t>
      </w:r>
      <w:proofErr w:type="gramEnd"/>
      <w:r w:rsidRPr="00382E21">
        <w:t xml:space="preserve"> uznanie dla licznych osiągnięć Urzędu w 2022 r., dzięki którym w znacznym stopniu zrealizował on cele w dziedzinie ujednolicenia nadzoru, ochrony konsumentów i stabilności finansowej; zauważa w szczególności, że Urząd przeprowadził pierwszy test warunków skrajnych dotyczący klimatu w odniesieniu do instytucji pracowniczych programów emerytalnych, aby uzyskać wgląd w skutki ryzyka środowiskowego dla europejskich pracowniczych programów emerytalnych, przedłożył Komisji wykonawcze standardy techniczne określające wymogi w zakresie informacji dostarczanych do celów nadzoru i obowiązków informacyjnych zgodnie z dyrektywą Wypłacalność II, opublikował szereg dokumentów, sprawozdań i wytycznych dotyczących uwzględniania </w:t>
      </w:r>
      <w:proofErr w:type="spellStart"/>
      <w:r w:rsidRPr="00382E21">
        <w:t>ryzyk</w:t>
      </w:r>
      <w:proofErr w:type="spellEnd"/>
      <w:r w:rsidRPr="00382E21">
        <w:t xml:space="preserve"> dla zrównoważonego rozwoju w zarządzaniu ryzykiem przez ubezpieczycieli, reasekuratorów i pracownicze programy emerytalne </w:t>
      </w:r>
      <w:proofErr w:type="gramStart"/>
      <w:r w:rsidRPr="00382E21">
        <w:t>oraz</w:t>
      </w:r>
      <w:proofErr w:type="gramEnd"/>
      <w:r w:rsidRPr="00382E21">
        <w:t xml:space="preserve"> zapewnił Parlamentowi Europejskiemu i Radzie wkład i doradztwo techniczne w procesie legislacyjnym w odniesieniu do aktu w sprawie sztucznej inteligencji i DORA; wyraża uznanie dla Urzędu za jego różne inicjatywy i działania w dziedzinie transformacji cyfrowej wspierające realizację celów unijnej strategii w zakresie finansów cyfrowych, również poprzez wkład wnoszony z kilkoma zainteresowanymi stronami, takimi jak Europejski Instytut Uniwersytecki, w utworzenie EU </w:t>
      </w:r>
      <w:proofErr w:type="spellStart"/>
      <w:r w:rsidRPr="00382E21">
        <w:t>Supervisory</w:t>
      </w:r>
      <w:proofErr w:type="spellEnd"/>
      <w:r w:rsidRPr="00382E21">
        <w:t xml:space="preserve"> Digital Finance </w:t>
      </w:r>
      <w:proofErr w:type="spellStart"/>
      <w:r w:rsidRPr="00382E21">
        <w:t>Academy</w:t>
      </w:r>
      <w:proofErr w:type="spellEnd"/>
      <w:r w:rsidRPr="00382E21">
        <w:t xml:space="preserve"> (unijnej akademii nadzoru nad finansami cyfrowymi);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5.</w:t>
      </w:r>
      <w:r w:rsidRPr="00382E21">
        <w:tab/>
      </w:r>
      <w:proofErr w:type="gramStart"/>
      <w:r w:rsidRPr="00382E21">
        <w:t>zauważa</w:t>
      </w:r>
      <w:proofErr w:type="gramEnd"/>
      <w:r w:rsidRPr="00382E21">
        <w:t xml:space="preserve">, że Urząd po raz pierwszy skorzystał z szeregu uprawnień i narzędzi przyznanych mu w rozporządzeniu w sprawie EIOPA; zauważa w tym kontekście, że w 2022 r. Urząd wydał Narodowemu Bankowi Słowacji (NBS) zalecenie w związku z wnioskami Urzędu, że naruszenie wymogów kapitałowych, którego dopuścił się słowacki zakład ubezpieczeń, nie zostało odpowiednio uwzględnione z perspektywy nadzorczej; ponadto zauważa z zaniepokojeniem, że Urząd stwierdził naruszenie prawa Unii przez NBS, w związku z czym Komisja wydała formalną opinię zobowiązującą go do podjęcia działań niezbędnych do zapewnienia zgodności z prawem Unii i przeprowadzono dochodzenie na podstawie art. 22 rozporządzenia w sprawie EIOPA; apeluje do Urzędu, </w:t>
      </w:r>
      <w:proofErr w:type="gramStart"/>
      <w:r w:rsidRPr="00382E21">
        <w:t>aby</w:t>
      </w:r>
      <w:proofErr w:type="gramEnd"/>
      <w:r w:rsidRPr="00382E21">
        <w:t xml:space="preserve"> na bieżąco informował organ udzielający absolutorium o działaniach następczych podejmowanych w związku z tym dochodzeniem oraz jego wynikach;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6.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Urząd przyczynił się do zapewnienia stabilności finansowej i ochrony konsumentów, dokładnie monitorując rynki i oceniając skutki w nowym kontekście niczym niesprowokowanej i nielegalnej inwazji Rosji na Ukrainę oraz stopniowego zaostrzania polityki pieniężnej w odpowiedzi na rekordowo wysokie stopy inflacji w całej Europie; z zadowoleniem przyjmuje terminowe opublikowanie w 2022 r. oświadczenia dla organów nadzoru na temat inflacji, w którym skupiono się na tym, jak inflacja wpływa na rezerwy techniczne, inwestycje i kapitałowe wymogi wypłacalności;</w:t>
      </w:r>
    </w:p>
    <w:p w:rsidR="00AF6A12" w:rsidRPr="00382E21" w:rsidRDefault="00AF6A12" w:rsidP="00AF6A12">
      <w:pPr>
        <w:pStyle w:val="NormalHanging12a"/>
      </w:pPr>
      <w:r w:rsidRPr="00382E21">
        <w:t>7.</w:t>
      </w:r>
      <w:r w:rsidRPr="00382E21">
        <w:tab/>
      </w:r>
      <w:proofErr w:type="gramStart"/>
      <w:r w:rsidRPr="00382E21">
        <w:t>zauważa</w:t>
      </w:r>
      <w:proofErr w:type="gramEnd"/>
      <w:r w:rsidRPr="00382E21">
        <w:t xml:space="preserve">, że we wrześniu 2022 r. Urząd określił swoją strategię na lata 2023–2026, w której wskazał swoje priorytety strategiczne, w tym wzmocnienie odporności i stabilności sektorów ubezpieczeń i emerytur oraz zapewnienie silnej i spójnej ochrony </w:t>
      </w:r>
      <w:r w:rsidRPr="00382E21">
        <w:lastRenderedPageBreak/>
        <w:t>interesów konsumentów w całej Unii Europejskiej;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Wydajność i poprawa wyników</w:t>
      </w:r>
    </w:p>
    <w:p w:rsidR="00AF6A12" w:rsidRPr="00382E21" w:rsidRDefault="00AF6A12" w:rsidP="00AF6A12">
      <w:pPr>
        <w:widowControl/>
        <w:spacing w:after="240"/>
        <w:ind w:left="567" w:hanging="567"/>
        <w:rPr>
          <w:rFonts w:cstheme="minorHAnsi"/>
        </w:rPr>
      </w:pPr>
      <w:r w:rsidRPr="00382E21">
        <w:t>8.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Europejskie Urzędy Nadzoru (EUN) współdzielą i koordynują wiele obszarów, zarówno w zakresie podstawowej działalności, jak i wsparcia, oraz pomagają sobie nawzajem; z zadowoleniem przyjmuje fakt, że EUN połączyły siły w zakresie inicjatyw strategicznych, takich jak opracowywanie oprogramowania, infrastruktura sieciowa i doradztwo informatyczne, na przykład korzystając z tych samych dostawców; w tym kontekście odnotowuje zatwierdzoną w 2022 r. strategię Urzędu dotyczącą przetwarzania w chmurze, opracowaną przez Urząd we współpracy z dwoma pozostałymi EUN, innymi instytucjami Unii i właściwymi organami krajowymi, która ma zapewnić bardziej autonomiczne, zautomatyzowane i samoobsługowe produkty dla ekspertów Urzędu i właściwych organów krajowych;</w:t>
      </w:r>
    </w:p>
    <w:p w:rsidR="00AF6A12" w:rsidRPr="00382E21" w:rsidRDefault="00AF6A12" w:rsidP="00AF6A12">
      <w:pPr>
        <w:widowControl/>
        <w:spacing w:after="240"/>
        <w:ind w:left="567" w:hanging="567"/>
        <w:rPr>
          <w:rFonts w:cstheme="minorHAnsi"/>
        </w:rPr>
      </w:pPr>
      <w:r w:rsidRPr="00382E21">
        <w:t>9.</w:t>
      </w:r>
      <w:r w:rsidRPr="00382E21">
        <w:tab/>
      </w:r>
      <w:proofErr w:type="gramStart"/>
      <w:r w:rsidRPr="00382E21">
        <w:t>pochwala</w:t>
      </w:r>
      <w:proofErr w:type="gramEnd"/>
      <w:r w:rsidRPr="00382E21">
        <w:t xml:space="preserve"> Urząd za inwestycje i przydzielanie personelu na potrzeby projektów w dziedzinie transformacji cyfrowej z myślą o osiągnięciu nowych poziomów efektywności m.in. przez automatyzację i usprawnienie procesów biznesowych oraz poprawę czasu wprowadzania na rynek i współpracę w ramach funkcji i między nimi w tym kontekście z zadowoleniem przyjmuje przeprowadzone w 2022 r. projekty Urzędu, koncentrujące się na poprawie zdolności w zakresie analizy danych z myślą o osiągnięciu celu, jakim jest przekształcenie Urzędu w organizację w pełni cyfrową i opartą na danych;</w:t>
      </w:r>
    </w:p>
    <w:p w:rsidR="00AF6A12" w:rsidRPr="00382E21" w:rsidRDefault="00AF6A12" w:rsidP="00AF6A12">
      <w:pPr>
        <w:pStyle w:val="NormalHanging12a"/>
      </w:pPr>
      <w:r w:rsidRPr="00382E21">
        <w:t>10.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w odniesieniu do codziennych praktyk biznesowych Urząd wdrożył szereg środków służących zwiększeniu efektywności kosztowej, takich jak praca hybrydowa, dzielenie biurek, a także nowoczesne rozwiązania w zakresie wideokonferencji, które doprowadziły do ograniczenia podróży służbowych; zauważa, że aby zachować wiedzę instytucjonalną, wiedzę fachową i skuteczność w wykonywaniu podstawowych zadań, Urząd jeszcze udoskonalił zintegrowany system zarządzania talentami, który umożliwia strategiczne dostosowanie procesów kadrowych, lepsze pozyskiwanie kandydatów oraz skuteczniejsze uczenie się i rozwój; zwraca się do Urzędu o dostarczenie organowi udzielającemu absolutorium informacji i danych liczbowych dotyczących oddziaływania tego systemu;</w:t>
      </w:r>
    </w:p>
    <w:p w:rsidR="00AF6A12" w:rsidRPr="00382E21" w:rsidRDefault="00AF6A12" w:rsidP="00AF6A12">
      <w:pPr>
        <w:widowControl/>
        <w:spacing w:after="240"/>
        <w:ind w:left="567" w:hanging="567"/>
        <w:rPr>
          <w:rFonts w:cstheme="minorHAnsi"/>
          <w:iCs/>
        </w:rPr>
      </w:pPr>
      <w:r w:rsidRPr="00382E21">
        <w:t>11.</w:t>
      </w:r>
      <w:r w:rsidRPr="00382E21">
        <w:tab/>
      </w:r>
      <w:proofErr w:type="gramStart"/>
      <w:r w:rsidRPr="00382E21">
        <w:t>na</w:t>
      </w:r>
      <w:proofErr w:type="gramEnd"/>
      <w:r w:rsidRPr="00382E21">
        <w:t xml:space="preserve"> podstawie sprawozdania Trybunału zauważa, że Urząd jest jedną z agencji, które w roczne sprawozdania z działalności włączyły plan korporacyjny mający na celu poprawę efektywności energetycznej i neutralności klimatycznej ich działalności oraz wydają deklarację środowiskową (np. dotyczącą informacji na temat śladu węglowego); ponadto pochwala Urząd za przejście certyfikacji EMAS (unijny system </w:t>
      </w:r>
      <w:proofErr w:type="spellStart"/>
      <w:r w:rsidRPr="00382E21">
        <w:t>ekozarządzania</w:t>
      </w:r>
      <w:proofErr w:type="spellEnd"/>
      <w:r w:rsidRPr="00382E21">
        <w:t xml:space="preserve"> i audytu) w 2022 r. w celu uzyskania formalnej akredytacji EMAS w 2023 r.;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Polityka kadrowa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12.</w:t>
      </w:r>
      <w:r w:rsidRPr="00382E21">
        <w:tab/>
      </w:r>
      <w:proofErr w:type="gramStart"/>
      <w:r w:rsidRPr="00382E21">
        <w:t>przyjmuje</w:t>
      </w:r>
      <w:proofErr w:type="gramEnd"/>
      <w:r w:rsidRPr="00382E21">
        <w:t xml:space="preserve"> do wiadomości, że do 31 grudnia 2022 r. plan zatrudnienia zrealizowano w 99 % (tak samo jak w 2021 r.) – przyjęto 137 na 138 przewidzianych w budżecie Unii pracowników na czas określony; zauważa, że w 2022 r. Urząd zatrudniał ponadto 36 pracowników kontraktowych i 24 oddelegowanych ekspertów krajowych;</w:t>
      </w:r>
    </w:p>
    <w:p w:rsidR="00AF6A12" w:rsidRPr="00382E21" w:rsidRDefault="00AF6A12" w:rsidP="00AF6A12">
      <w:pPr>
        <w:pStyle w:val="NormalHanging12a"/>
      </w:pPr>
      <w:r w:rsidRPr="00382E21">
        <w:t>13.</w:t>
      </w:r>
      <w:r w:rsidRPr="00382E21">
        <w:tab/>
      </w:r>
      <w:proofErr w:type="gramStart"/>
      <w:r w:rsidRPr="00382E21">
        <w:t>odnotowuje</w:t>
      </w:r>
      <w:proofErr w:type="gramEnd"/>
      <w:r w:rsidRPr="00382E21">
        <w:t xml:space="preserve">, że w 2022 r. kierownictwo średniego i wyższego szczebla oraz zarząd Urzędu liczyły piętnastu mężczyzn (65,20 %) i osiem kobiet (34,80 %), a personel </w:t>
      </w:r>
      <w:r w:rsidRPr="00382E21">
        <w:lastRenderedPageBreak/>
        <w:t>ogółem – 104 mężczyzn (53,60 %) i 90 kobiet (46,40 %); przypomina o znaczeniu zapewnienia równowagi płci i wzywa Urząd do uwzględnienia tego podczas przyszłych naborów pracowników i nominacji na stanowiska kadry kierowniczej wyższego i średniego szczebla;</w:t>
      </w:r>
    </w:p>
    <w:p w:rsidR="00AF6A12" w:rsidRPr="00382E21" w:rsidRDefault="00AF6A12" w:rsidP="00AF6A12">
      <w:pPr>
        <w:pStyle w:val="NormalHanging12a"/>
      </w:pPr>
      <w:r w:rsidRPr="00382E21">
        <w:t>14.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przyjmuje fakt, że w 2022 r. Urząd kontynuował wdrażanie strategii na rzecz różnorodności i włączenia społecznego (przyjętej w 2021 r.) oraz szczegółowego planu działania zgodnie z Kartą EUAN na rzecz różnorodności poprzez inicjatywy obejmujące środki przekrojowe, takie jak współpraca z innymi instytucjami, przyciąganie i wybieranie bardziej zróżnicowanej siły roboczej, zapobieganie dyskryminacji, molestowaniu, świadomym i nieświadomym uprzedzeniom oraz monitorowanie danych dotyczących różnorodności i włączenia społecznego; zauważa, że w 2022 r. zgłoszono przypadek zarzucanego molestowania, ale sprawa została zamknięta bez dalszych działań, ponieważ po wstępnej ocenie nie znaleziono dowodów prima </w:t>
      </w:r>
      <w:proofErr w:type="spellStart"/>
      <w:r w:rsidRPr="00382E21">
        <w:t>faciae</w:t>
      </w:r>
      <w:proofErr w:type="spellEnd"/>
      <w:r w:rsidRPr="00382E21">
        <w:t>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15.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przyjmuje fakt, że Urząd angażuje się we wspieranie i zapewnianie zróżnicowanego i </w:t>
      </w:r>
      <w:proofErr w:type="spellStart"/>
      <w:r w:rsidRPr="00382E21">
        <w:t>inkluzywnego</w:t>
      </w:r>
      <w:proofErr w:type="spellEnd"/>
      <w:r w:rsidRPr="00382E21">
        <w:t xml:space="preserve"> środowiska pracy, które jest dostosowane również do potrzeb osób z niepełnosprawnościami; w tym kontekście zauważa, że w 2022 r. w Urzędzie powołano wewnętrznego koordynatora i ambasadora ds. niepełnosprawności, aby uwypuklić ten konkretny obszar i zwrócić na niego uwagę, a także przeprowadzono specjalną ankietę wśród personelu i kierownictwa oraz podjęto działania podnoszące świadomość;</w:t>
      </w:r>
    </w:p>
    <w:p w:rsidR="00AF6A12" w:rsidRPr="00382E21" w:rsidRDefault="00AF6A12" w:rsidP="00AF6A12">
      <w:pPr>
        <w:pStyle w:val="NormalHanging12a"/>
      </w:pPr>
      <w:r w:rsidRPr="00382E21">
        <w:t>16.</w:t>
      </w:r>
      <w:r w:rsidRPr="00382E21">
        <w:tab/>
      </w:r>
      <w:proofErr w:type="gramStart"/>
      <w:r w:rsidRPr="00382E21">
        <w:t>zauważa</w:t>
      </w:r>
      <w:proofErr w:type="gramEnd"/>
      <w:r w:rsidRPr="00382E21">
        <w:t xml:space="preserve"> z zadowoleniem, że Urząd nadal przywiązuje wielką wagę do poprawę dobrostanu pracowników i równowagi między życiem zawodowym a prywatnym, a w zakresie zaangażowania i zadowolenia pracowników odnotowano pozytywne rezultaty; zauważa, że skupiono się między innymi na elastycznej organizacji pracy, telepracy, doradztwie i rozwoju kariery zawodowej przez całe życie, programach na rzecz dobrostanu i zarządzaniu wspierającym;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Zamówienia publiczne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17.</w:t>
      </w:r>
      <w:r w:rsidRPr="00382E21">
        <w:tab/>
      </w:r>
      <w:proofErr w:type="gramStart"/>
      <w:r w:rsidRPr="00382E21">
        <w:t>odnotowuje</w:t>
      </w:r>
      <w:proofErr w:type="gramEnd"/>
      <w:r w:rsidRPr="00382E21">
        <w:t xml:space="preserve"> uwagę w sprawozdaniu Trybunału, że Urząd dokonał płatności na łączną kwotę 25 607 EUR po zakończeniu umowy, w ramach której zamówił usługi telekomunikacyjne telefonii komórkowej na okres czterech lat (2017–2021); odnotowuje wniosek Trybunału, że płatności te były nieprawidłowe; odnotowuje ponadto uwagę Trybunału, że aneks do tej umowy, podpisany w kwietniu 2022 r., zawarto z naruszeniem pkt 1.1 załącznika I do rozporządzenia finansowego;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18.</w:t>
      </w:r>
      <w:r w:rsidRPr="00382E21">
        <w:tab/>
      </w:r>
      <w:proofErr w:type="gramStart"/>
      <w:r w:rsidRPr="00382E21">
        <w:t>przypomina</w:t>
      </w:r>
      <w:proofErr w:type="gramEnd"/>
      <w:r w:rsidRPr="00382E21">
        <w:t xml:space="preserve">, że w sprawozdaniu rocznym dotyczącym agencji Unii za 2021 r. Trybunał zawarł uwagę dotyczącą kwoty 288 125 EUR nienależnie wypłaconej przez Urząd w związku z umową najmu zajmowanych pomieszczeń; na podstawie sprawozdania Urzędu w sprawie środków wprowadzonych w świetle zaleceń organu udzielającego absolutorium (absolutorium za 2021 r.) odnotowuje w tym kontekście stanowisko Urzędu, zgodnie z którym nieprzestrzeganie zobowiązań umownych miałoby negatywne skutki prawne i wpływ na reputację Urzędu; odnotowuje, że zgodnie ze sprawozdaniem Trybunału uwaga ta nadal ma status otwartej; apeluje do Urzędu o dołożenie wszelkich niezbędnych starań przy uruchamianiu postępowania o udzielenie zamówienia na nową umowę najmu, aby zapobiec wszelkim konfliktom między </w:t>
      </w:r>
      <w:proofErr w:type="gramStart"/>
      <w:r w:rsidRPr="00382E21">
        <w:lastRenderedPageBreak/>
        <w:t>obowiązkami</w:t>
      </w:r>
      <w:proofErr w:type="gramEnd"/>
      <w:r w:rsidRPr="00382E21">
        <w:t xml:space="preserve"> wynikającymi z umowy najmu a odpowiednimi przepisami rozporządzenia finansowego;</w:t>
      </w:r>
    </w:p>
    <w:p w:rsidR="00AF6A12" w:rsidRPr="00382E21" w:rsidRDefault="00AF6A12" w:rsidP="00AF6A12">
      <w:pPr>
        <w:widowControl/>
        <w:spacing w:after="240"/>
        <w:rPr>
          <w:szCs w:val="24"/>
        </w:rPr>
      </w:pPr>
      <w:r w:rsidRPr="00382E21">
        <w:rPr>
          <w:b/>
          <w:i/>
        </w:rPr>
        <w:t>Zapobieganie konfliktom interesów i zarządzanie nimi oraz przejrzystość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19.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przyjmuje fakt, że zgodnie z wymogami prawnymi Urzędu życiorysy członków rady organów nadzoru i zarządu Urzędu, przewodniczącej i dyrektora wykonawczego Urzędu oraz skrócone życiorysy kierowników departamentów Urzędu są publikowane na stronie internetowej Urzędu; zauważa, że publicznie dostępne są indywidualne deklaracje interesów i deklaracje intencji każdego członka zarządu oraz każdego członka rady organów nadzoru i kadry kierowniczej wyższego szczebla Urzędu; ponadto z zadowoleniem przyjmuje publikację na stronie internetowej Urzędu informacji o spotkaniach pracowników Urzędu z lobbystami;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20.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przyjmuje fakt, że w 2022 r. Urząd zaostrzył swoje zasady etyczne dotyczące pracowników i osób niebędących pracownikami, a tym samym odniósł się do uwag Trybunału zawartych w sprawozdaniu dotyczącym rocznego sprawozdania finansowego Urzędu za 2021 r., w celu zachowania bezstronnego, obiektywnego i niezależnego procesu decyzyjnego oraz szybkiego identyfikowania i rozwiązywania ewentualnych konfliktów interesów; odnotowuje w związku z tym przegląd regulaminu wewnętrznego Urzędu, przyjęcie polityki w zakresie niezależności i procesów decyzyjnych w celu unikania konfliktu interesów w przypadku osób niebędących pracownikami, zatwierdzenie zmiany decyzji dotyczącej oceny przewodniczącego i dyrektora wykonawczego oraz przyjęcie przeglądu zasad etycznych Urzędu dotyczących pracowników;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21.</w:t>
      </w:r>
      <w:r w:rsidRPr="00382E21">
        <w:tab/>
      </w:r>
      <w:proofErr w:type="gramStart"/>
      <w:r w:rsidRPr="00382E21">
        <w:t>w</w:t>
      </w:r>
      <w:proofErr w:type="gramEnd"/>
      <w:r w:rsidRPr="00382E21">
        <w:t xml:space="preserve"> odniesieniu do informowania o nieprawidłowościach zauważa, że w 2022 r. jeden pracownik wyraził obawy dotyczące potencjalnego przypadku nieprawidłowości i że Urząd odniósł się do tych obaw zgodnie z obowiązującymi przepisami; zauważa w tym kontekście, że Urząd natychmiast poinformował o tym Europejski Urząd ds. Zwalczania Nadużyć Finansowych (OLAF), który przeprowadził ocenę i oddalił sprawę ze względu na brak wystarczających podejrzeń do wszczęcia dochodzenia;</w:t>
      </w:r>
    </w:p>
    <w:p w:rsidR="00AF6A12" w:rsidRPr="00382E21" w:rsidRDefault="00AF6A12" w:rsidP="00AF6A12">
      <w:pPr>
        <w:spacing w:after="240"/>
        <w:ind w:left="567" w:hanging="567"/>
        <w:rPr>
          <w:sz w:val="22"/>
        </w:rPr>
      </w:pPr>
      <w:r w:rsidRPr="00382E21">
        <w:t>22.</w:t>
      </w:r>
      <w:r w:rsidRPr="00382E21">
        <w:tab/>
      </w:r>
      <w:proofErr w:type="gramStart"/>
      <w:r w:rsidRPr="00382E21">
        <w:t>z</w:t>
      </w:r>
      <w:proofErr w:type="gramEnd"/>
      <w:r w:rsidRPr="00382E21">
        <w:t xml:space="preserve"> zadowoleniem przyjmuje fakt, że w lipcu 2022 r. rada organów nadzoru Urzędu zmieniła swój regulamin wewnętrzny, wdrażając zalecenie Trybunału dotyczące obecności jej członków, którzy pozostają w konflikcie interesów, podczas dyskusji i głosowania; zauważa ponadto, że zgodnie z uwagami Trybunału w grudniu 2022 r. zarząd Urzędu zatwierdził zmienioną decyzję dotyczącą oceny przewodniczącego i dyrektora wykonawczego;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Kontrola wewnętrzna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23.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w 2022 r. Urząd przeprowadził roczną ocenę ram kontroli wewnętrznej i stwierdził, że wszystkie elementy i zasady są realizowane i funkcjonują zgodnie z założeniami, choć wykryte umiarkowane niedociągnięcie wymaga wprowadzenia usprawnień;</w:t>
      </w:r>
    </w:p>
    <w:p w:rsidR="00AF6A12" w:rsidRPr="00382E21" w:rsidRDefault="00AF6A12" w:rsidP="00AF6A12">
      <w:pPr>
        <w:widowControl/>
        <w:spacing w:after="240"/>
        <w:ind w:left="567" w:hanging="567"/>
        <w:rPr>
          <w:szCs w:val="24"/>
        </w:rPr>
      </w:pPr>
      <w:r w:rsidRPr="00382E21">
        <w:t>24.</w:t>
      </w:r>
      <w:r w:rsidRPr="00382E21">
        <w:tab/>
      </w:r>
      <w:proofErr w:type="gramStart"/>
      <w:r w:rsidRPr="00382E21">
        <w:t>zauważa</w:t>
      </w:r>
      <w:proofErr w:type="gramEnd"/>
      <w:r w:rsidRPr="00382E21">
        <w:t xml:space="preserve">, że w 2022 r. służba audytu wewnętrznego opublikowała sprawozdanie dotyczące przeprowadzonego w 2021 r. audytu dotyczącego „środków interwencyjnych EIOPA” skierowanych do właściwych organów krajowych i podmiotów gospodarczych w unijnym sektorze ubezpieczeń i pracowniczych programów emerytalnych; zauważa </w:t>
      </w:r>
      <w:r w:rsidRPr="00382E21">
        <w:lastRenderedPageBreak/>
        <w:t>ponadto, że komitet Urzędu ds. kontroli jakości wydał sprawozdanie z przeglądu pt. „Wnioski wyciągnięte ze współpracy i interakcji między EIOPA a właściwymi organami krajowymi podczas pandemii COVID-19”; apeluje do Urzędu, aby informował organ udzielający absolutorium o wdrażaniu zaleceń wydanych przez służbę audytu wewnętrznego i komitet ds. kontroli jakości;</w:t>
      </w:r>
    </w:p>
    <w:p w:rsidR="00AF6A12" w:rsidRPr="00382E21" w:rsidRDefault="00AF6A12" w:rsidP="00AF6A12">
      <w:pPr>
        <w:widowControl/>
        <w:spacing w:after="240"/>
        <w:ind w:left="567" w:hanging="567"/>
      </w:pPr>
      <w:r w:rsidRPr="00382E21">
        <w:t>25.</w:t>
      </w:r>
      <w:r w:rsidRPr="00382E21">
        <w:tab/>
      </w:r>
      <w:proofErr w:type="gramStart"/>
      <w:r w:rsidRPr="00382E21">
        <w:t>zauważa</w:t>
      </w:r>
      <w:proofErr w:type="gramEnd"/>
      <w:r w:rsidRPr="00382E21">
        <w:t xml:space="preserve"> z uznaniem, że w 2022 r. Urząd określił, monitorował i wprowadził środki w celu złagodzenia skutków ryzyka w związku z brakiem wystarczających zdolności do wdrażania nowych uprawnień i zadań (przy wypełnieniu istniejących zobowiązań), z brakiem wykwalifikowanych pracowników o wymaganych kompetencjach ze względu na kwestie związane z atrakcyjnością i rekrutacją oraz z zagrożeniami dla </w:t>
      </w:r>
      <w:proofErr w:type="spellStart"/>
      <w:r w:rsidRPr="00382E21">
        <w:t>cyberbezpieczeństwa</w:t>
      </w:r>
      <w:proofErr w:type="spellEnd"/>
      <w:r w:rsidRPr="00382E21">
        <w:t xml:space="preserve"> i ciągłości działania;</w:t>
      </w:r>
    </w:p>
    <w:p w:rsidR="00AF6A12" w:rsidRPr="00382E21" w:rsidRDefault="00AF6A12" w:rsidP="00AF6A12">
      <w:pPr>
        <w:widowControl/>
        <w:spacing w:after="240"/>
        <w:ind w:left="567" w:hanging="567"/>
      </w:pPr>
      <w:r w:rsidRPr="00382E21">
        <w:t>26.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w 2022 r. Urząd nadal realizował pozostałe zalecenia z audytu dotyczącego narzędzi nadzoru w dziedzinie ochrony konsumentów (2019–2020); zauważa ponadto, że w wyniku tego audytu sformułowano cztery zalecenia, które uwzględniono, a służba audytu wewnętrznego oficjalnie zamknęła dwa zalecenia w listopadzie 2021 r. i dwa w czerwcu 2022 r.;</w:t>
      </w:r>
    </w:p>
    <w:p w:rsidR="00AF6A12" w:rsidRPr="00382E21" w:rsidRDefault="00AF6A12" w:rsidP="00AF6A12">
      <w:pPr>
        <w:widowControl/>
        <w:spacing w:after="240"/>
        <w:ind w:left="567" w:hanging="567"/>
        <w:rPr>
          <w:b/>
          <w:i/>
          <w:szCs w:val="24"/>
        </w:rPr>
      </w:pPr>
      <w:r w:rsidRPr="00382E21">
        <w:rPr>
          <w:b/>
          <w:i/>
        </w:rPr>
        <w:t>Inne uwagi</w:t>
      </w:r>
    </w:p>
    <w:p w:rsidR="00AF6A12" w:rsidRPr="00382E21" w:rsidRDefault="00AF6A12" w:rsidP="00AF6A12">
      <w:pPr>
        <w:spacing w:after="240"/>
        <w:ind w:left="567" w:hanging="567"/>
        <w:rPr>
          <w:szCs w:val="24"/>
        </w:rPr>
      </w:pPr>
      <w:r w:rsidRPr="00382E21">
        <w:t>27.</w:t>
      </w:r>
      <w:r w:rsidRPr="00382E21">
        <w:tab/>
      </w:r>
      <w:proofErr w:type="gramStart"/>
      <w:r w:rsidRPr="00382E21">
        <w:t>stwierdza</w:t>
      </w:r>
      <w:proofErr w:type="gramEnd"/>
      <w:r w:rsidRPr="00382E21">
        <w:t xml:space="preserve">, że w 2022 r. Urząd wraz z pozostałymi EUN ostrzegał konsumentów przed wysokim ryzykiem związanym z wieloma </w:t>
      </w:r>
      <w:proofErr w:type="spellStart"/>
      <w:r w:rsidRPr="00382E21">
        <w:t>kryptowalutami</w:t>
      </w:r>
      <w:proofErr w:type="spellEnd"/>
      <w:r w:rsidRPr="00382E21">
        <w:t xml:space="preserve"> i spekulowaniem nimi;</w:t>
      </w:r>
    </w:p>
    <w:p w:rsidR="00AF6A12" w:rsidRPr="00382E21" w:rsidRDefault="00AF6A12" w:rsidP="00AF6A12">
      <w:pPr>
        <w:spacing w:after="240"/>
        <w:ind w:left="567" w:hanging="567"/>
        <w:rPr>
          <w:szCs w:val="24"/>
        </w:rPr>
      </w:pPr>
      <w:r w:rsidRPr="00382E21">
        <w:t>28.</w:t>
      </w:r>
      <w:r w:rsidRPr="00382E21">
        <w:tab/>
      </w:r>
      <w:proofErr w:type="gramStart"/>
      <w:r w:rsidRPr="00382E21">
        <w:t>na</w:t>
      </w:r>
      <w:proofErr w:type="gramEnd"/>
      <w:r w:rsidRPr="00382E21">
        <w:t xml:space="preserve"> podstawie odpowiedzi Urzędu na pytania organu udzielającego absolutorium zauważa, że Urząd korzysta obecnie z narzędzi Komisji do e-przetargów (e-przetargi, elektroniczne składanie ofert, e-fakturowanie) i że wdrożono narzędzie do zarządzania zamówieniami publicznymi (PPMT) (od lipca 2023 r.); z zadowoleniem przyjmuje fakt, że procedury przetargowe EIOPA w miarę możliwości obejmują wymogi dotyczące kryteriów zielonych zamówień publicznych, a oferenci EIOPA muszą podpisać m.in. oświadczenie o przestrzeganiu zobowiązań środowiskowych i społecznych;</w:t>
      </w:r>
    </w:p>
    <w:p w:rsidR="00AF6A12" w:rsidRPr="00382E21" w:rsidRDefault="00AF6A12" w:rsidP="00AF6A12">
      <w:pPr>
        <w:spacing w:after="240"/>
        <w:ind w:left="567" w:hanging="567"/>
        <w:rPr>
          <w:szCs w:val="24"/>
        </w:rPr>
      </w:pPr>
      <w:r w:rsidRPr="00382E21">
        <w:t>29.</w:t>
      </w:r>
      <w:r w:rsidRPr="00382E21">
        <w:tab/>
      </w:r>
      <w:proofErr w:type="gramStart"/>
      <w:r w:rsidRPr="00382E21">
        <w:t>zauważa</w:t>
      </w:r>
      <w:proofErr w:type="gramEnd"/>
      <w:r w:rsidRPr="00382E21">
        <w:t>, że w 2022 r. Urząd publikował wyniki swoich prac w formie sprawozdań na swojej stronie internetowej i w mediach społecznościowych, a większości sprawozdań towarzyszył komunikat prasowy; z zadowoleniem przyjmuje fakt, że w niektórych przypadkach do sprawozdań dołączano streszczenia, krótkie klipy w mediach społecznościowych lub krótkie wywiady, aby przedstawić treść w bardziej przystępny sposób;</w:t>
      </w:r>
    </w:p>
    <w:p w:rsidR="00AF6A12" w:rsidRPr="00382E21" w:rsidRDefault="00AF6A12" w:rsidP="00AF6A12">
      <w:pPr>
        <w:pStyle w:val="NormalCenter12a"/>
      </w:pPr>
      <w:r w:rsidRPr="00382E21">
        <w:t>°</w:t>
      </w:r>
    </w:p>
    <w:p w:rsidR="00AF6A12" w:rsidRPr="00382E21" w:rsidRDefault="00AF6A12" w:rsidP="00AF6A12">
      <w:pPr>
        <w:pStyle w:val="NormalCenter12a"/>
      </w:pPr>
      <w:r w:rsidRPr="00382E21">
        <w:t>°</w:t>
      </w:r>
      <w:r w:rsidRPr="00382E21">
        <w:tab/>
        <w:t>°</w:t>
      </w:r>
    </w:p>
    <w:p w:rsidR="00AF6A12" w:rsidRPr="00382E21" w:rsidRDefault="00AF6A12" w:rsidP="00AF6A12">
      <w:pPr>
        <w:pStyle w:val="NormalHanging12a"/>
      </w:pPr>
      <w:r w:rsidRPr="00382E21">
        <w:t>30.</w:t>
      </w:r>
      <w:r w:rsidRPr="00382E21">
        <w:tab/>
      </w:r>
      <w:proofErr w:type="gramStart"/>
      <w:r w:rsidRPr="00382E21">
        <w:t>w</w:t>
      </w:r>
      <w:proofErr w:type="gramEnd"/>
      <w:r w:rsidRPr="00382E21">
        <w:t xml:space="preserve"> odniesieniu do innych uwag towarzyszących decyzji w sprawie absolutorium, które mają charakter przekrojowy, odsyła do swojej rezolucji z </w:t>
      </w:r>
      <w:r w:rsidR="002616B2">
        <w:t>11</w:t>
      </w:r>
      <w:r w:rsidRPr="00382E21">
        <w:t xml:space="preserve"> kwietnia 2024 r.</w:t>
      </w:r>
      <w:r w:rsidRPr="00382E21">
        <w:rPr>
          <w:rStyle w:val="FootnoteReference"/>
        </w:rPr>
        <w:footnoteReference w:id="12"/>
      </w:r>
      <w:r w:rsidRPr="00382E21">
        <w:t xml:space="preserve"> w sprawie wyników, zarządzania finansami i kontroli agencji.</w:t>
      </w:r>
    </w:p>
    <w:sectPr w:rsidR="00AF6A12" w:rsidRPr="00382E21" w:rsidSect="00382E2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955" w:rsidRPr="00382E21" w:rsidRDefault="00850955">
      <w:r w:rsidRPr="00382E21">
        <w:separator/>
      </w:r>
    </w:p>
  </w:endnote>
  <w:endnote w:type="continuationSeparator" w:id="0">
    <w:p w:rsidR="00850955" w:rsidRPr="00382E21" w:rsidRDefault="00850955">
      <w:r w:rsidRPr="00382E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 w:rsidP="009909A2">
    <w:pPr>
      <w:pStyle w:val="EPFooter"/>
    </w:pPr>
    <w:r w:rsidRPr="00382E21">
      <w:t>PE</w:t>
    </w:r>
    <w:r w:rsidRPr="00382E21">
      <w:rPr>
        <w:rStyle w:val="HideTWBExt"/>
      </w:rPr>
      <w:t>&lt;</w:t>
    </w:r>
    <w:proofErr w:type="spellStart"/>
    <w:r w:rsidRPr="00382E21">
      <w:rPr>
        <w:rStyle w:val="HideTWBExt"/>
      </w:rPr>
      <w:t>NoPE</w:t>
    </w:r>
    <w:proofErr w:type="spellEnd"/>
    <w:r w:rsidRPr="00382E21">
      <w:rPr>
        <w:rStyle w:val="HideTWBExt"/>
      </w:rPr>
      <w:t>&gt;</w:t>
    </w:r>
    <w:r w:rsidRPr="00382E21">
      <w:t>753.521</w:t>
    </w:r>
    <w:r w:rsidRPr="00382E21">
      <w:rPr>
        <w:rStyle w:val="HideTWBExt"/>
      </w:rPr>
      <w:t>&lt;/</w:t>
    </w:r>
    <w:proofErr w:type="spellStart"/>
    <w:r w:rsidRPr="00382E21">
      <w:rPr>
        <w:rStyle w:val="HideTWBExt"/>
      </w:rPr>
      <w:t>NoPE</w:t>
    </w:r>
    <w:proofErr w:type="spellEnd"/>
    <w:r w:rsidRPr="00382E21">
      <w:rPr>
        <w:rStyle w:val="HideTWBExt"/>
      </w:rPr>
      <w:t>&gt;&lt;Version&gt;</w:t>
    </w:r>
    <w:r w:rsidRPr="00382E21">
      <w:t>v02-00</w:t>
    </w:r>
    <w:r w:rsidRPr="00382E21">
      <w:rPr>
        <w:rStyle w:val="HideTWBExt"/>
      </w:rPr>
      <w:t>&lt;/Version&gt;</w:t>
    </w:r>
    <w:r w:rsidRPr="00382E21">
      <w:tab/>
    </w:r>
    <w:r w:rsidRPr="00382E21">
      <w:fldChar w:fldCharType="begin"/>
    </w:r>
    <w:r w:rsidRPr="00382E21">
      <w:instrText xml:space="preserve"> PAGE  \* MERGEFORMAT </w:instrText>
    </w:r>
    <w:r w:rsidRPr="00382E21">
      <w:fldChar w:fldCharType="separate"/>
    </w:r>
    <w:r w:rsidR="00382E21" w:rsidRPr="00382E21">
      <w:rPr>
        <w:noProof/>
      </w:rPr>
      <w:t>2</w:t>
    </w:r>
    <w:r w:rsidRPr="00382E21">
      <w:fldChar w:fldCharType="end"/>
    </w:r>
    <w:r w:rsidRPr="00382E21">
      <w:t>/</w:t>
    </w:r>
    <w:fldSimple w:instr=" NUMPAGES  \* MERGEFORMAT ">
      <w:r w:rsidR="00382E21" w:rsidRPr="00382E21">
        <w:rPr>
          <w:noProof/>
        </w:rPr>
        <w:t>3</w:t>
      </w:r>
    </w:fldSimple>
    <w:r w:rsidRPr="00382E21">
      <w:tab/>
    </w:r>
    <w:r w:rsidRPr="00382E21">
      <w:rPr>
        <w:rStyle w:val="HideTWBExt"/>
      </w:rPr>
      <w:t>&lt;PathFdR&gt;</w:t>
    </w:r>
    <w:r w:rsidRPr="00382E21">
      <w:t>RR\1298747PL.docx</w:t>
    </w:r>
    <w:r w:rsidRPr="00382E21">
      <w:rPr>
        <w:rStyle w:val="HideTWBExt"/>
      </w:rPr>
      <w:t>&lt;/</w:t>
    </w:r>
    <w:proofErr w:type="spellStart"/>
    <w:r w:rsidRPr="00382E21">
      <w:rPr>
        <w:rStyle w:val="HideTWBExt"/>
      </w:rPr>
      <w:t>PathFdR</w:t>
    </w:r>
    <w:proofErr w:type="spellEnd"/>
    <w:r w:rsidRPr="00382E21">
      <w:rPr>
        <w:rStyle w:val="HideTWBExt"/>
      </w:rPr>
      <w:t>&gt;</w:t>
    </w:r>
  </w:p>
  <w:p w:rsidR="00AF6A12" w:rsidRPr="00382E21" w:rsidRDefault="00AF6A12" w:rsidP="009909A2">
    <w:pPr>
      <w:pStyle w:val="EPFooter2"/>
    </w:pPr>
    <w:r w:rsidRPr="00382E2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 w:rsidP="009909A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 w:rsidP="009909A2">
    <w:pPr>
      <w:pStyle w:val="EPFooter"/>
    </w:pPr>
    <w:r w:rsidRPr="00382E21">
      <w:rPr>
        <w:rStyle w:val="HideTWBExt"/>
      </w:rPr>
      <w:t>&lt;PathFdR&gt;</w:t>
    </w:r>
    <w:r w:rsidRPr="00382E21">
      <w:t>RR\1298747PL.docx</w:t>
    </w:r>
    <w:r w:rsidRPr="00382E21">
      <w:rPr>
        <w:rStyle w:val="HideTWBExt"/>
      </w:rPr>
      <w:t>&lt;/</w:t>
    </w:r>
    <w:proofErr w:type="spellStart"/>
    <w:r w:rsidRPr="00382E21">
      <w:rPr>
        <w:rStyle w:val="HideTWBExt"/>
      </w:rPr>
      <w:t>PathFdR</w:t>
    </w:r>
    <w:proofErr w:type="spellEnd"/>
    <w:r w:rsidRPr="00382E21">
      <w:rPr>
        <w:rStyle w:val="HideTWBExt"/>
      </w:rPr>
      <w:t>&gt;</w:t>
    </w:r>
    <w:r w:rsidRPr="00382E21">
      <w:tab/>
    </w:r>
    <w:r w:rsidRPr="00382E21">
      <w:tab/>
      <w:t>PE</w:t>
    </w:r>
    <w:r w:rsidRPr="00382E21">
      <w:rPr>
        <w:rStyle w:val="HideTWBExt"/>
      </w:rPr>
      <w:t>&lt;</w:t>
    </w:r>
    <w:proofErr w:type="spellStart"/>
    <w:r w:rsidRPr="00382E21">
      <w:rPr>
        <w:rStyle w:val="HideTWBExt"/>
      </w:rPr>
      <w:t>NoPE</w:t>
    </w:r>
    <w:proofErr w:type="spellEnd"/>
    <w:r w:rsidRPr="00382E21">
      <w:rPr>
        <w:rStyle w:val="HideTWBExt"/>
      </w:rPr>
      <w:t>&gt;</w:t>
    </w:r>
    <w:r w:rsidRPr="00382E21">
      <w:t>753.521</w:t>
    </w:r>
    <w:r w:rsidRPr="00382E21">
      <w:rPr>
        <w:rStyle w:val="HideTWBExt"/>
      </w:rPr>
      <w:t>&lt;/</w:t>
    </w:r>
    <w:proofErr w:type="spellStart"/>
    <w:r w:rsidRPr="00382E21">
      <w:rPr>
        <w:rStyle w:val="HideTWBExt"/>
      </w:rPr>
      <w:t>NoPE</w:t>
    </w:r>
    <w:proofErr w:type="spellEnd"/>
    <w:r w:rsidRPr="00382E21">
      <w:rPr>
        <w:rStyle w:val="HideTWBExt"/>
      </w:rPr>
      <w:t>&gt;&lt;Version&gt;</w:t>
    </w:r>
    <w:r w:rsidRPr="00382E21">
      <w:t>v02-00</w:t>
    </w:r>
    <w:r w:rsidRPr="00382E21">
      <w:rPr>
        <w:rStyle w:val="HideTWBExt"/>
      </w:rPr>
      <w:t>&lt;/Version&gt;</w:t>
    </w:r>
  </w:p>
  <w:p w:rsidR="00AF6A12" w:rsidRPr="00382E21" w:rsidRDefault="00AF6A12" w:rsidP="009909A2">
    <w:pPr>
      <w:pStyle w:val="EPFooter2"/>
    </w:pPr>
    <w:r w:rsidRPr="00382E21">
      <w:t>PL</w:t>
    </w:r>
    <w:r w:rsidRPr="00382E21">
      <w:tab/>
    </w:r>
    <w:r w:rsidRPr="00382E21">
      <w:rPr>
        <w:b w:val="0"/>
        <w:i/>
        <w:color w:val="C0C0C0"/>
        <w:sz w:val="22"/>
      </w:rPr>
      <w:t>Zjednoczona w różnorodności</w:t>
    </w:r>
    <w:r w:rsidRPr="00382E2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955" w:rsidRPr="00382E21" w:rsidRDefault="00850955">
      <w:r w:rsidRPr="00382E21">
        <w:separator/>
      </w:r>
    </w:p>
  </w:footnote>
  <w:footnote w:type="continuationSeparator" w:id="0">
    <w:p w:rsidR="00850955" w:rsidRPr="00382E21" w:rsidRDefault="00850955">
      <w:r w:rsidRPr="00382E21">
        <w:continuationSeparator/>
      </w:r>
    </w:p>
  </w:footnote>
  <w:footnote w:id="1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>Dz.U. C, C/2023/594 z 27.10.2023.</w:t>
      </w:r>
    </w:p>
  </w:footnote>
  <w:footnote w:id="2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>Dz.U. C, C/2023/112 z 12.10.2023.</w:t>
      </w:r>
    </w:p>
  </w:footnote>
  <w:footnote w:id="3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193 z 30.7.2018,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1.</w:t>
      </w:r>
    </w:p>
  </w:footnote>
  <w:footnote w:id="4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331 z 15.12.2010,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48</w:t>
      </w:r>
    </w:p>
  </w:footnote>
  <w:footnote w:id="5">
    <w:p w:rsidR="00AF6A12" w:rsidRPr="00382E21" w:rsidRDefault="00AF6A12" w:rsidP="00382E21">
      <w:pPr>
        <w:pStyle w:val="FootnoteText"/>
        <w:ind w:left="567" w:hanging="567"/>
        <w:rPr>
          <w:sz w:val="24"/>
          <w:szCs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122 z 10.5.2019,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1.</w:t>
      </w:r>
    </w:p>
  </w:footnote>
  <w:footnote w:id="6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>Dz.U. C, C/2023/594 z 27.10.2023.</w:t>
      </w:r>
    </w:p>
  </w:footnote>
  <w:footnote w:id="7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>Dz.U. C, C/2023/112 z 12.10.2023.</w:t>
      </w:r>
    </w:p>
  </w:footnote>
  <w:footnote w:id="8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193 z 30.7.2018,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1.</w:t>
      </w:r>
    </w:p>
  </w:footnote>
  <w:footnote w:id="9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331 z 15.12.2010,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48.</w:t>
      </w:r>
    </w:p>
  </w:footnote>
  <w:footnote w:id="10">
    <w:p w:rsidR="00AF6A12" w:rsidRPr="00382E21" w:rsidRDefault="00AF6A12" w:rsidP="00382E21">
      <w:pPr>
        <w:pStyle w:val="FootnoteText"/>
        <w:ind w:left="567" w:hanging="567"/>
        <w:rPr>
          <w:sz w:val="24"/>
          <w:szCs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L 122 z 10.5.2019,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1.</w:t>
      </w:r>
    </w:p>
  </w:footnote>
  <w:footnote w:id="11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 xml:space="preserve">Dz.U. C 38 z 31.1.2023, </w:t>
      </w:r>
      <w:proofErr w:type="gramStart"/>
      <w:r w:rsidRPr="00382E21">
        <w:rPr>
          <w:sz w:val="24"/>
          <w:lang w:val="pl-PL"/>
        </w:rPr>
        <w:t>s</w:t>
      </w:r>
      <w:proofErr w:type="gramEnd"/>
      <w:r w:rsidRPr="00382E21">
        <w:rPr>
          <w:sz w:val="24"/>
          <w:lang w:val="pl-PL"/>
        </w:rPr>
        <w:t>. 78.</w:t>
      </w:r>
    </w:p>
  </w:footnote>
  <w:footnote w:id="12">
    <w:p w:rsidR="00AF6A12" w:rsidRPr="00382E21" w:rsidRDefault="00AF6A12" w:rsidP="00382E21">
      <w:pPr>
        <w:pStyle w:val="FootnoteText"/>
        <w:ind w:left="567" w:hanging="567"/>
        <w:rPr>
          <w:sz w:val="24"/>
          <w:lang w:val="pl-PL"/>
        </w:rPr>
      </w:pPr>
      <w:r w:rsidRPr="00382E21">
        <w:rPr>
          <w:rStyle w:val="FootnoteReference"/>
          <w:sz w:val="24"/>
          <w:lang w:val="pl-PL"/>
        </w:rPr>
        <w:footnoteRef/>
      </w:r>
      <w:r w:rsidR="00382E21" w:rsidRPr="00382E21">
        <w:rPr>
          <w:sz w:val="24"/>
          <w:lang w:val="pl-PL"/>
        </w:rPr>
        <w:t xml:space="preserve"> </w:t>
      </w:r>
      <w:r w:rsidR="00382E21" w:rsidRPr="00382E21">
        <w:rPr>
          <w:sz w:val="24"/>
          <w:lang w:val="pl-PL"/>
        </w:rPr>
        <w:tab/>
      </w:r>
      <w:r w:rsidRPr="00382E21">
        <w:rPr>
          <w:sz w:val="24"/>
          <w:lang w:val="pl-PL"/>
        </w:rPr>
        <w:t>Teksty przyjęte, P9_TA(2024)0</w:t>
      </w:r>
      <w:r w:rsidR="002616B2">
        <w:rPr>
          <w:sz w:val="24"/>
          <w:lang w:val="pl-PL"/>
        </w:rPr>
        <w:t>280</w:t>
      </w:r>
      <w:r w:rsidRPr="00382E21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12" w:rsidRPr="00382E21" w:rsidRDefault="00AF6A1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E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7/2024"/>
    <w:docVar w:name="dvlangue" w:val="PL"/>
    <w:docVar w:name="dvnumam" w:val="0"/>
    <w:docVar w:name="dvpe" w:val="753.521"/>
    <w:docVar w:name="dvrapporteur" w:val="Sprawozdawca: "/>
    <w:docVar w:name="dvtitre" w:val="Decyzja Parlamentu Europejskiego z dnia  2024 r. w sprawie absolutorium z wykonania budżetu Europejskiego Urzędu Nadzoru Ubezpieczeń i Pracowniczych Programów Emerytalnych za rok budżetowy 2022(2023/2153(DEC))"/>
  </w:docVars>
  <w:rsids>
    <w:rsidRoot w:val="00850955"/>
    <w:rsid w:val="000021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517"/>
    <w:rsid w:val="002616B2"/>
    <w:rsid w:val="002767FF"/>
    <w:rsid w:val="002B18FE"/>
    <w:rsid w:val="002B5493"/>
    <w:rsid w:val="00343214"/>
    <w:rsid w:val="00361C00"/>
    <w:rsid w:val="00382E2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95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A1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42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1C6B6"/>
  <w15:chartTrackingRefBased/>
  <w15:docId w15:val="{AA9705E2-8430-467C-8AF9-61290056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F6A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F6A12"/>
    <w:pPr>
      <w:spacing w:before="480" w:after="240"/>
    </w:pPr>
  </w:style>
  <w:style w:type="paragraph" w:customStyle="1" w:styleId="PageHeading">
    <w:name w:val="PageHeading"/>
    <w:basedOn w:val="Normal"/>
    <w:rsid w:val="00AF6A1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F6A12"/>
    <w:rPr>
      <w:b/>
    </w:rPr>
  </w:style>
  <w:style w:type="paragraph" w:customStyle="1" w:styleId="NormalHanging12a">
    <w:name w:val="NormalHanging12a"/>
    <w:basedOn w:val="Normal"/>
    <w:link w:val="NormalHanging12aChar"/>
    <w:rsid w:val="00AF6A1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F6A12"/>
    <w:pPr>
      <w:spacing w:after="240"/>
      <w:jc w:val="center"/>
    </w:pPr>
  </w:style>
  <w:style w:type="paragraph" w:styleId="Header">
    <w:name w:val="header"/>
    <w:basedOn w:val="Normal"/>
    <w:link w:val="HeaderChar"/>
    <w:rsid w:val="00AF6A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6A12"/>
    <w:rPr>
      <w:sz w:val="24"/>
      <w:lang w:val="pl-PL"/>
    </w:rPr>
  </w:style>
  <w:style w:type="paragraph" w:customStyle="1" w:styleId="EPFooter">
    <w:name w:val="EPFooter"/>
    <w:basedOn w:val="Normal"/>
    <w:rsid w:val="00AF6A1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AF6A1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CF414-89FD-4802-9368-77D3C464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3159</Words>
  <Characters>20938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2024-05-28T09:20:00Z</dcterms:created>
  <dcterms:modified xsi:type="dcterms:W3CDTF">2024-05-28T09:20:00Z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P9_TA(2024)0263_</vt:lpwstr>
  </property>
  <property fmtid="{D5CDD505-2E9C-101B-9397-08002B2CF9AE}" pid="4" name="&lt;Type&gt;">
    <vt:lpwstr>RR</vt:lpwstr>
  </property>
</Properties>
</file>