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4716" w:rsidTr="0010095E">
        <w:trPr>
          <w:trHeight w:hRule="exact" w:val="1418"/>
        </w:trPr>
        <w:tc>
          <w:tcPr>
            <w:tcW w:w="6804" w:type="dxa"/>
            <w:shd w:val="clear" w:color="auto" w:fill="auto"/>
            <w:vAlign w:val="center"/>
          </w:tcPr>
          <w:p w:rsidR="00751A4A" w:rsidRPr="00314716" w:rsidRDefault="001C5782" w:rsidP="0010095E">
            <w:pPr>
              <w:pStyle w:val="EPName"/>
            </w:pPr>
            <w:bookmarkStart w:id="0" w:name="_GoBack"/>
            <w:bookmarkEnd w:id="0"/>
            <w:r w:rsidRPr="00314716">
              <w:t>Parlamentul European</w:t>
            </w:r>
          </w:p>
          <w:p w:rsidR="00751A4A" w:rsidRPr="00314716" w:rsidRDefault="00817416" w:rsidP="00756632">
            <w:pPr>
              <w:pStyle w:val="EPTerm"/>
              <w:rPr>
                <w:rStyle w:val="HideTWBExt"/>
                <w:noProof w:val="0"/>
                <w:vanish w:val="0"/>
                <w:color w:val="auto"/>
              </w:rPr>
            </w:pPr>
            <w:r w:rsidRPr="00314716">
              <w:t>2019-2024</w:t>
            </w:r>
          </w:p>
        </w:tc>
        <w:tc>
          <w:tcPr>
            <w:tcW w:w="2268" w:type="dxa"/>
            <w:shd w:val="clear" w:color="auto" w:fill="auto"/>
          </w:tcPr>
          <w:p w:rsidR="00751A4A" w:rsidRPr="00314716" w:rsidRDefault="00187494" w:rsidP="0010095E">
            <w:pPr>
              <w:pStyle w:val="EPLogo"/>
            </w:pPr>
            <w:r w:rsidRPr="00314716">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4716" w:rsidRDefault="00D058B8" w:rsidP="004C5D52">
      <w:pPr>
        <w:pStyle w:val="LineTop"/>
      </w:pPr>
    </w:p>
    <w:p w:rsidR="00680577" w:rsidRPr="00314716" w:rsidRDefault="001C5782" w:rsidP="00680577">
      <w:pPr>
        <w:pStyle w:val="EPBodyTA1"/>
      </w:pPr>
      <w:r w:rsidRPr="00314716">
        <w:t>TEXTE ADOPTATE</w:t>
      </w:r>
    </w:p>
    <w:p w:rsidR="00D058B8" w:rsidRPr="00314716" w:rsidRDefault="00D058B8" w:rsidP="00D058B8">
      <w:pPr>
        <w:pStyle w:val="LineBottom"/>
      </w:pPr>
    </w:p>
    <w:p w:rsidR="001C5782" w:rsidRPr="00314716" w:rsidRDefault="001C5782" w:rsidP="001C5782">
      <w:pPr>
        <w:pStyle w:val="ATHeading1"/>
      </w:pPr>
      <w:bookmarkStart w:id="1" w:name="TANumber"/>
      <w:r w:rsidRPr="00314716">
        <w:t>P9_TA(2024)</w:t>
      </w:r>
      <w:bookmarkEnd w:id="1"/>
      <w:r w:rsidR="002D503F" w:rsidRPr="00314716">
        <w:t>0263</w:t>
      </w:r>
    </w:p>
    <w:p w:rsidR="001C5782" w:rsidRPr="00314716" w:rsidRDefault="001C5782" w:rsidP="001C5782">
      <w:pPr>
        <w:pStyle w:val="ATHeading2"/>
      </w:pPr>
      <w:bookmarkStart w:id="2" w:name="title"/>
      <w:r w:rsidRPr="00314716">
        <w:t>Descărcarea de gestiune 2022: Autoritatea Europeană de Asigurări și Pensii Ocupaționale</w:t>
      </w:r>
      <w:bookmarkEnd w:id="2"/>
    </w:p>
    <w:p w:rsidR="001C5782" w:rsidRPr="00314716" w:rsidRDefault="001C5782" w:rsidP="001C5782">
      <w:pPr>
        <w:rPr>
          <w:i/>
          <w:vanish/>
        </w:rPr>
      </w:pPr>
      <w:r w:rsidRPr="00314716">
        <w:rPr>
          <w:i/>
        </w:rPr>
        <w:fldChar w:fldCharType="begin"/>
      </w:r>
      <w:r w:rsidRPr="00314716">
        <w:rPr>
          <w:i/>
        </w:rPr>
        <w:instrText xml:space="preserve"> TC"(</w:instrText>
      </w:r>
      <w:bookmarkStart w:id="3" w:name="DocNumber"/>
      <w:r w:rsidRPr="00314716">
        <w:rPr>
          <w:i/>
        </w:rPr>
        <w:instrText>A9-0097/2024</w:instrText>
      </w:r>
      <w:bookmarkEnd w:id="3"/>
      <w:r w:rsidRPr="00314716">
        <w:rPr>
          <w:i/>
        </w:rPr>
        <w:instrText xml:space="preserve"> - Raportor: Petri Sarvamaa)"\l3 \n&gt; \* MERGEFORMAT </w:instrText>
      </w:r>
      <w:r w:rsidRPr="00314716">
        <w:rPr>
          <w:i/>
        </w:rPr>
        <w:fldChar w:fldCharType="end"/>
      </w:r>
    </w:p>
    <w:p w:rsidR="001C5782" w:rsidRPr="00314716" w:rsidRDefault="001C5782" w:rsidP="001C5782">
      <w:pPr>
        <w:rPr>
          <w:vanish/>
        </w:rPr>
      </w:pPr>
      <w:bookmarkStart w:id="4" w:name="Commission"/>
      <w:r w:rsidRPr="00314716">
        <w:rPr>
          <w:vanish/>
        </w:rPr>
        <w:t>Comisia pentru control bugetar</w:t>
      </w:r>
      <w:bookmarkEnd w:id="4"/>
    </w:p>
    <w:p w:rsidR="001C5782" w:rsidRPr="00314716" w:rsidRDefault="001C5782" w:rsidP="001C5782">
      <w:pPr>
        <w:rPr>
          <w:vanish/>
        </w:rPr>
      </w:pPr>
      <w:bookmarkStart w:id="5" w:name="PE"/>
      <w:r w:rsidRPr="00314716">
        <w:rPr>
          <w:vanish/>
        </w:rPr>
        <w:t>PE753.521</w:t>
      </w:r>
      <w:bookmarkEnd w:id="5"/>
    </w:p>
    <w:p w:rsidR="001C5782" w:rsidRPr="00314716" w:rsidRDefault="001C5782" w:rsidP="009A6CEA">
      <w:pPr>
        <w:pStyle w:val="ATHeading3"/>
      </w:pPr>
      <w:bookmarkStart w:id="6" w:name="Sujet"/>
      <w:r w:rsidRPr="00314716">
        <w:t>1. Decizia Parlamentului European din 11 aprilie 2024 privind descărcarea de gestiune pentru execuția bugetului Autorității Europene de Asigurări și Pensii Ocupaționale aferent exercițiului financiar 2022</w:t>
      </w:r>
      <w:bookmarkEnd w:id="6"/>
      <w:r w:rsidRPr="00314716">
        <w:t xml:space="preserve"> </w:t>
      </w:r>
      <w:bookmarkStart w:id="7" w:name="References"/>
      <w:r w:rsidRPr="00314716">
        <w:t>(2023/2153(DEC))</w:t>
      </w:r>
      <w:bookmarkEnd w:id="7"/>
    </w:p>
    <w:p w:rsidR="000A2730" w:rsidRPr="00314716" w:rsidRDefault="000A2730" w:rsidP="000A2730">
      <w:pPr>
        <w:pStyle w:val="EPComma"/>
      </w:pPr>
      <w:bookmarkStart w:id="8" w:name="TextBodyBegin"/>
      <w:bookmarkEnd w:id="8"/>
      <w:r w:rsidRPr="00314716">
        <w:rPr>
          <w:i/>
          <w:iCs/>
        </w:rPr>
        <w:t>Parlamentul European</w:t>
      </w:r>
      <w:r w:rsidRPr="00314716">
        <w:t>,</w:t>
      </w:r>
    </w:p>
    <w:p w:rsidR="000A2730" w:rsidRPr="00314716" w:rsidRDefault="000A2730" w:rsidP="000A2730">
      <w:pPr>
        <w:pStyle w:val="NormalHanging12a"/>
      </w:pPr>
      <w:r w:rsidRPr="00314716">
        <w:t>–</w:t>
      </w:r>
      <w:r w:rsidRPr="00314716">
        <w:tab/>
        <w:t>având în vedere conturile anuale finale ale Autorității Europene de Asigurări și Pensii Ocupaționale pentru exercițiul financiar 2022,</w:t>
      </w:r>
    </w:p>
    <w:p w:rsidR="000A2730" w:rsidRPr="00314716" w:rsidRDefault="000A2730" w:rsidP="000A2730">
      <w:pPr>
        <w:pStyle w:val="NormalHanging12a"/>
      </w:pPr>
      <w:r w:rsidRPr="00314716">
        <w:t>–</w:t>
      </w:r>
      <w:r w:rsidRPr="00314716">
        <w:tab/>
        <w:t>având în vedere Raportul anual al Curții de Conturi privind agențiile UE pentru exercițiul financiar 2022, însoțit de răspunsurile agențiilor</w:t>
      </w:r>
      <w:r w:rsidRPr="00314716">
        <w:rPr>
          <w:rStyle w:val="FootnoteReference"/>
        </w:rPr>
        <w:footnoteReference w:id="1"/>
      </w:r>
      <w:r w:rsidRPr="00314716">
        <w:t>,</w:t>
      </w:r>
    </w:p>
    <w:p w:rsidR="000A2730" w:rsidRPr="00314716" w:rsidRDefault="000A2730" w:rsidP="000A2730">
      <w:pPr>
        <w:pStyle w:val="NormalHanging12a"/>
      </w:pPr>
      <w:r w:rsidRPr="00314716">
        <w:t>–</w:t>
      </w:r>
      <w:r w:rsidRPr="00314716">
        <w:tab/>
        <w:t>având în vedere declarația de asigurare</w:t>
      </w:r>
      <w:r w:rsidRPr="00314716">
        <w:rPr>
          <w:rStyle w:val="FootnoteReference"/>
        </w:rPr>
        <w:footnoteReference w:id="2"/>
      </w:r>
      <w:r w:rsidRPr="00314716">
        <w:t xml:space="preserve"> privind fiabilitatea conturilor și legalitatea și regularitatea operațiunilor subiacente întocmită de Curtea de Conturi pentru exercițiul 2022 în temeiul articolului 287 din Tratatul privind funcționarea Uniunii Europene,</w:t>
      </w:r>
    </w:p>
    <w:p w:rsidR="000A2730" w:rsidRPr="00314716" w:rsidRDefault="000A2730" w:rsidP="000A2730">
      <w:pPr>
        <w:pStyle w:val="NormalHanging12a"/>
      </w:pPr>
      <w:r w:rsidRPr="00314716">
        <w:t>–</w:t>
      </w:r>
      <w:r w:rsidRPr="00314716">
        <w:tab/>
        <w:t>având în vedere Recomandarea Consiliului din 22 februarie 2024 privind descărcarea de gestiune a Autorității cu privire la execuția bugetară pentru exercițiul financiar 2022 (</w:t>
      </w:r>
      <w:r w:rsidR="00033DFC" w:rsidRPr="00314716">
        <w:t>06180/2024 – C9</w:t>
      </w:r>
      <w:r w:rsidR="00033DFC" w:rsidRPr="00314716">
        <w:noBreakHyphen/>
        <w:t>0091/2024</w:t>
      </w:r>
      <w:r w:rsidRPr="00314716">
        <w:t>),</w:t>
      </w:r>
    </w:p>
    <w:p w:rsidR="000A2730" w:rsidRPr="00314716" w:rsidRDefault="000A2730" w:rsidP="000A2730">
      <w:pPr>
        <w:pStyle w:val="NormalHanging12a"/>
      </w:pPr>
      <w:r w:rsidRPr="00314716">
        <w:t>–</w:t>
      </w:r>
      <w:r w:rsidRPr="00314716">
        <w:tab/>
        <w:t>având în vedere articolul 319 din Tratatul privind funcționarea Uniunii Europene,</w:t>
      </w:r>
    </w:p>
    <w:p w:rsidR="000A2730" w:rsidRPr="00314716" w:rsidRDefault="000A2730" w:rsidP="000A2730">
      <w:pPr>
        <w:pStyle w:val="NormalHanging12a"/>
      </w:pPr>
      <w:r w:rsidRPr="00314716">
        <w:t>–</w:t>
      </w:r>
      <w:r w:rsidRPr="00314716">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14716">
        <w:rPr>
          <w:rStyle w:val="FootnoteReference"/>
        </w:rPr>
        <w:footnoteReference w:id="3"/>
      </w:r>
      <w:r w:rsidRPr="00314716">
        <w:t>, în special articolul 70,</w:t>
      </w:r>
    </w:p>
    <w:p w:rsidR="000A2730" w:rsidRPr="00314716" w:rsidRDefault="000A2730" w:rsidP="000A2730">
      <w:pPr>
        <w:pStyle w:val="NormalHanging12a"/>
      </w:pPr>
      <w:r w:rsidRPr="00314716">
        <w:t>–</w:t>
      </w:r>
      <w:r w:rsidRPr="00314716">
        <w:tab/>
        <w:t xml:space="preserve">având în vedere Regulamentul (UE) nr. 1094/2010 al Parlamentului European și al </w:t>
      </w:r>
      <w:r w:rsidRPr="00314716">
        <w:lastRenderedPageBreak/>
        <w:t>Consiliului din 24 noiembrie 2010 de instituire a Autorității europene de supraveghere (Autoritatea europeană de asigurări și pensii ocupaționale), de modificare a Deciziei nr. 716/2009/CE și de abrogare a Deciziei 2009/79/CE a Comisiei</w:t>
      </w:r>
      <w:r w:rsidRPr="00314716">
        <w:rPr>
          <w:rStyle w:val="FootnoteReference"/>
        </w:rPr>
        <w:footnoteReference w:id="4"/>
      </w:r>
      <w:r w:rsidRPr="00314716">
        <w:t>, în special articolul 64,</w:t>
      </w:r>
    </w:p>
    <w:p w:rsidR="000A2730" w:rsidRPr="00314716" w:rsidRDefault="000A2730" w:rsidP="000A2730">
      <w:pPr>
        <w:pStyle w:val="NormalHanging12a"/>
      </w:pPr>
      <w:r w:rsidRPr="00314716">
        <w:t>–</w:t>
      </w:r>
      <w:r w:rsidRPr="00314716">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314716">
        <w:rPr>
          <w:rStyle w:val="FootnoteReference"/>
        </w:rPr>
        <w:footnoteReference w:id="5"/>
      </w:r>
      <w:r w:rsidRPr="00314716">
        <w:t>, în special articolul 105,</w:t>
      </w:r>
    </w:p>
    <w:p w:rsidR="000A2730" w:rsidRPr="00314716" w:rsidRDefault="000A2730" w:rsidP="000A2730">
      <w:pPr>
        <w:pStyle w:val="NormalHanging12a"/>
      </w:pPr>
      <w:r w:rsidRPr="00314716">
        <w:t>–</w:t>
      </w:r>
      <w:r w:rsidRPr="00314716">
        <w:tab/>
        <w:t>având în vedere articolul 100 și anexa V la Regulamentul său de procedură,</w:t>
      </w:r>
    </w:p>
    <w:p w:rsidR="000A2730" w:rsidRPr="00314716" w:rsidRDefault="000A2730" w:rsidP="000A2730">
      <w:pPr>
        <w:pStyle w:val="NormalHanging12a"/>
      </w:pPr>
      <w:r w:rsidRPr="00314716">
        <w:t>–</w:t>
      </w:r>
      <w:r w:rsidRPr="00314716">
        <w:tab/>
        <w:t>având în vedere raportul Comisiei pentru control bugetar (A9-0097/2024),</w:t>
      </w:r>
    </w:p>
    <w:p w:rsidR="000A2730" w:rsidRPr="00314716" w:rsidRDefault="000A2730" w:rsidP="000A2730">
      <w:pPr>
        <w:pStyle w:val="NormalHanging12a"/>
      </w:pPr>
      <w:r w:rsidRPr="00314716">
        <w:t>1.</w:t>
      </w:r>
      <w:r w:rsidRPr="00314716">
        <w:tab/>
        <w:t>acordă directorului executiv al Autorității Europene de Asigurări și Pensii Ocupaționale descărcarea de gestiune pentru execuția bugetului Autorității aferent exercițiului financiar 2022;</w:t>
      </w:r>
    </w:p>
    <w:p w:rsidR="000A2730" w:rsidRPr="00314716" w:rsidRDefault="000A2730" w:rsidP="000A2730">
      <w:pPr>
        <w:pStyle w:val="NormalHanging12a"/>
      </w:pPr>
      <w:r w:rsidRPr="00314716">
        <w:t>2.</w:t>
      </w:r>
      <w:r w:rsidRPr="00314716">
        <w:tab/>
        <w:t>își prezintă observațiile în cadrul rezoluției de mai jos;</w:t>
      </w:r>
    </w:p>
    <w:p w:rsidR="000A2730" w:rsidRPr="00314716" w:rsidRDefault="000A2730" w:rsidP="000A2730">
      <w:pPr>
        <w:pStyle w:val="NormalHanging12a"/>
      </w:pPr>
      <w:r w:rsidRPr="00314716">
        <w:t>3.</w:t>
      </w:r>
      <w:r w:rsidRPr="00314716">
        <w:tab/>
        <w:t xml:space="preserve">încredințează Președintei sarcina de a transmite prezenta decizie împreună cu rezoluția Parlamentului, ca parte integrantă a acesteia, directorului executiv al Autorității Europene de Asigurări și Pensii Ocupaționale, Consiliului, Comisiei și Curții de Conturi și de a asigura publicarea acestora în </w:t>
      </w:r>
      <w:r w:rsidRPr="00314716">
        <w:rPr>
          <w:i/>
        </w:rPr>
        <w:t>Jurnalul Oficial al Uniunii Europene</w:t>
      </w:r>
      <w:r w:rsidRPr="00314716">
        <w:t xml:space="preserve"> (seria L).</w:t>
      </w:r>
    </w:p>
    <w:p w:rsidR="000A2730" w:rsidRPr="00314716" w:rsidRDefault="000A2730" w:rsidP="000A2730"/>
    <w:p w:rsidR="000A2730" w:rsidRPr="00314716" w:rsidRDefault="000A2730" w:rsidP="000A2730">
      <w:pPr>
        <w:widowControl/>
        <w:rPr>
          <w:rFonts w:ascii="Arial" w:hAnsi="Arial" w:cs="Arial"/>
          <w:b/>
        </w:rPr>
        <w:sectPr w:rsidR="000A2730" w:rsidRPr="00314716" w:rsidSect="003E14C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A2730" w:rsidRPr="00314716" w:rsidRDefault="009A6CEA" w:rsidP="009A6CEA">
      <w:pPr>
        <w:pStyle w:val="ATHeading3"/>
      </w:pPr>
      <w:r w:rsidRPr="00314716">
        <w:lastRenderedPageBreak/>
        <w:t xml:space="preserve">2. Decizia Parlamentului European din 11 aprilie 2024 </w:t>
      </w:r>
      <w:r w:rsidR="000A2730" w:rsidRPr="00314716">
        <w:t>privind închiderea conturilor Autorității Europene de Asigurări și Pensii Ocupaționale pentru exercițiul financiar</w:t>
      </w:r>
      <w:r w:rsidRPr="00314716">
        <w:t> </w:t>
      </w:r>
      <w:r w:rsidR="000A2730" w:rsidRPr="00314716">
        <w:t>2022</w:t>
      </w:r>
      <w:r w:rsidRPr="00314716">
        <w:t xml:space="preserve"> </w:t>
      </w:r>
      <w:r w:rsidR="000A2730" w:rsidRPr="00314716">
        <w:t>(2023/2153(DEC))</w:t>
      </w:r>
    </w:p>
    <w:p w:rsidR="000A2730" w:rsidRPr="00314716" w:rsidRDefault="000A2730" w:rsidP="000A2730">
      <w:pPr>
        <w:pStyle w:val="EPComma"/>
      </w:pPr>
      <w:r w:rsidRPr="00314716">
        <w:rPr>
          <w:i/>
          <w:iCs/>
        </w:rPr>
        <w:t>Parlamentul European</w:t>
      </w:r>
      <w:r w:rsidRPr="00314716">
        <w:t>,</w:t>
      </w:r>
    </w:p>
    <w:p w:rsidR="000A2730" w:rsidRPr="00314716" w:rsidRDefault="000A2730" w:rsidP="000A2730">
      <w:pPr>
        <w:pStyle w:val="NormalHanging12a"/>
      </w:pPr>
      <w:r w:rsidRPr="00314716">
        <w:t>–</w:t>
      </w:r>
      <w:r w:rsidRPr="00314716">
        <w:tab/>
        <w:t>având în vedere conturile anuale finale ale Autorității Europene de Asigurări și Pensii Ocupaționale pentru exercițiul financiar 2022,</w:t>
      </w:r>
    </w:p>
    <w:p w:rsidR="000A2730" w:rsidRPr="00314716" w:rsidRDefault="000A2730" w:rsidP="000A2730">
      <w:pPr>
        <w:pStyle w:val="NormalHanging12a"/>
      </w:pPr>
      <w:r w:rsidRPr="00314716">
        <w:t>–</w:t>
      </w:r>
      <w:r w:rsidRPr="00314716">
        <w:tab/>
        <w:t>având în vedere Raportul anual al Curții de Conturi privind agențiile UE pentru exercițiul financiar 2022, însoțit de răspunsurile agențiilor</w:t>
      </w:r>
      <w:r w:rsidRPr="00314716">
        <w:rPr>
          <w:rStyle w:val="FootnoteReference"/>
        </w:rPr>
        <w:footnoteReference w:id="6"/>
      </w:r>
      <w:r w:rsidRPr="00314716">
        <w:t>,</w:t>
      </w:r>
    </w:p>
    <w:p w:rsidR="000A2730" w:rsidRPr="00314716" w:rsidRDefault="000A2730" w:rsidP="000A2730">
      <w:pPr>
        <w:pStyle w:val="NormalHanging12a"/>
      </w:pPr>
      <w:r w:rsidRPr="00314716">
        <w:t>–</w:t>
      </w:r>
      <w:r w:rsidRPr="00314716">
        <w:tab/>
        <w:t>având în vedere declarația de asigurare</w:t>
      </w:r>
      <w:r w:rsidRPr="00314716">
        <w:rPr>
          <w:rStyle w:val="FootnoteReference"/>
        </w:rPr>
        <w:footnoteReference w:id="7"/>
      </w:r>
      <w:r w:rsidRPr="00314716">
        <w:t xml:space="preserve"> privind fiabilitatea conturilor și legalitatea și regularitatea operațiunilor subiacente întocmită de Curtea de Conturi pentru exercițiul 2022 în temeiul articolului 287 din Tratatul privind funcționarea Uniunii Europene,</w:t>
      </w:r>
    </w:p>
    <w:p w:rsidR="000A2730" w:rsidRPr="00314716" w:rsidRDefault="000A2730" w:rsidP="000A2730">
      <w:pPr>
        <w:pStyle w:val="NormalHanging12a"/>
      </w:pPr>
      <w:r w:rsidRPr="00314716">
        <w:t>–</w:t>
      </w:r>
      <w:r w:rsidRPr="00314716">
        <w:tab/>
        <w:t>având în vedere Recomandarea Consiliului din 22 februarie 2024 privind descărcarea de gestiune a Autorității cu privire la execuția bugetului pentru exercițiul financiar 2022 (</w:t>
      </w:r>
      <w:r w:rsidR="00033DFC" w:rsidRPr="00314716">
        <w:t>06180/2024 – C9</w:t>
      </w:r>
      <w:r w:rsidR="00033DFC" w:rsidRPr="00314716">
        <w:noBreakHyphen/>
        <w:t>0091/2024</w:t>
      </w:r>
      <w:r w:rsidRPr="00314716">
        <w:t>),</w:t>
      </w:r>
    </w:p>
    <w:p w:rsidR="000A2730" w:rsidRPr="00314716" w:rsidRDefault="000A2730" w:rsidP="000A2730">
      <w:pPr>
        <w:pStyle w:val="NormalHanging12a"/>
      </w:pPr>
      <w:r w:rsidRPr="00314716">
        <w:t>–</w:t>
      </w:r>
      <w:r w:rsidRPr="00314716">
        <w:tab/>
        <w:t>având în vedere articolul 319 din Tratatul privind funcționarea Uniunii Europene,</w:t>
      </w:r>
    </w:p>
    <w:p w:rsidR="000A2730" w:rsidRPr="00314716" w:rsidRDefault="000A2730" w:rsidP="000A2730">
      <w:pPr>
        <w:pStyle w:val="NormalHanging12a"/>
      </w:pPr>
      <w:r w:rsidRPr="00314716">
        <w:t>–</w:t>
      </w:r>
      <w:r w:rsidRPr="00314716">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314716">
        <w:rPr>
          <w:rStyle w:val="FootnoteReference"/>
        </w:rPr>
        <w:footnoteReference w:id="8"/>
      </w:r>
      <w:r w:rsidRPr="00314716">
        <w:t>, în special articolul 70,</w:t>
      </w:r>
    </w:p>
    <w:p w:rsidR="000A2730" w:rsidRPr="00314716" w:rsidRDefault="000A2730" w:rsidP="000A2730">
      <w:pPr>
        <w:pStyle w:val="NormalHanging12a"/>
      </w:pPr>
      <w:r w:rsidRPr="00314716">
        <w:t>–</w:t>
      </w:r>
      <w:r w:rsidRPr="00314716">
        <w:tab/>
        <w:t>având în vedere Regulamentul (UE) nr. 1094/2010 al Parlamentului European și al Consiliului din 24 noiembrie 2010 de instituire a Autorității europene de supraveghere (Autoritatea europeană de asigurări și pensii ocupaționale), de modificare a Deciziei nr. 716/2009/CE și de abrogare a Deciziei 2009/79/CE a Comisiei</w:t>
      </w:r>
      <w:r w:rsidRPr="00314716">
        <w:rPr>
          <w:rStyle w:val="FootnoteReference"/>
        </w:rPr>
        <w:footnoteReference w:id="9"/>
      </w:r>
      <w:r w:rsidRPr="00314716">
        <w:t>, în special articolul 64,</w:t>
      </w:r>
    </w:p>
    <w:p w:rsidR="000A2730" w:rsidRPr="00314716" w:rsidRDefault="000A2730" w:rsidP="000A2730">
      <w:pPr>
        <w:pStyle w:val="NormalHanging12a"/>
      </w:pPr>
      <w:r w:rsidRPr="00314716">
        <w:t>–</w:t>
      </w:r>
      <w:r w:rsidRPr="00314716">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314716">
        <w:rPr>
          <w:rStyle w:val="FootnoteReference"/>
        </w:rPr>
        <w:footnoteReference w:id="10"/>
      </w:r>
      <w:r w:rsidRPr="00314716">
        <w:t>, în special articolul 105,</w:t>
      </w:r>
    </w:p>
    <w:p w:rsidR="000A2730" w:rsidRPr="00314716" w:rsidRDefault="000A2730" w:rsidP="000A2730">
      <w:pPr>
        <w:pStyle w:val="NormalHanging12a"/>
      </w:pPr>
      <w:r w:rsidRPr="00314716">
        <w:t>–</w:t>
      </w:r>
      <w:r w:rsidRPr="00314716">
        <w:tab/>
        <w:t>având în vedere articolul 100 și anexa V la Regulamentul său de procedură,</w:t>
      </w:r>
    </w:p>
    <w:p w:rsidR="000A2730" w:rsidRPr="00314716" w:rsidRDefault="000A2730" w:rsidP="000A2730">
      <w:pPr>
        <w:pStyle w:val="NormalHanging12a"/>
      </w:pPr>
      <w:r w:rsidRPr="00314716">
        <w:t>–</w:t>
      </w:r>
      <w:r w:rsidRPr="00314716">
        <w:tab/>
        <w:t>având în vedere raportul Comisiei pentru control bugetar (A9-0097/2024),</w:t>
      </w:r>
    </w:p>
    <w:p w:rsidR="000A2730" w:rsidRPr="00314716" w:rsidRDefault="000A2730" w:rsidP="000A2730">
      <w:pPr>
        <w:pStyle w:val="NormalHanging12a"/>
      </w:pPr>
      <w:r w:rsidRPr="00314716">
        <w:t>1.</w:t>
      </w:r>
      <w:r w:rsidRPr="00314716">
        <w:tab/>
        <w:t>aprobă închiderea conturilor Autorității Europene de Asigurări și Pensii Ocupaționale pentru exercițiul financiar 2022;</w:t>
      </w:r>
    </w:p>
    <w:p w:rsidR="000A2730" w:rsidRPr="00314716" w:rsidRDefault="000A2730" w:rsidP="000A2730">
      <w:pPr>
        <w:pStyle w:val="NormalHanging12a"/>
      </w:pPr>
      <w:r w:rsidRPr="00314716">
        <w:lastRenderedPageBreak/>
        <w:t>2.</w:t>
      </w:r>
      <w:r w:rsidRPr="00314716">
        <w:tab/>
        <w:t xml:space="preserve">încredințează Președintei sarcina de a transmite prezenta decizie directorului executiv al Autorității Europene de Asigurări și Pensii Ocupaționale, Consiliului, Comisiei și Curții de Conturi și de a asigura publicarea acesteia în </w:t>
      </w:r>
      <w:r w:rsidRPr="00314716">
        <w:rPr>
          <w:i/>
        </w:rPr>
        <w:t>Jurnalul Oficial al Uniunii Europene</w:t>
      </w:r>
      <w:r w:rsidRPr="00314716">
        <w:t xml:space="preserve"> (seria L).</w:t>
      </w:r>
    </w:p>
    <w:p w:rsidR="000A2730" w:rsidRPr="00314716" w:rsidRDefault="000A2730" w:rsidP="000A2730"/>
    <w:p w:rsidR="000A2730" w:rsidRPr="00314716" w:rsidRDefault="000A2730" w:rsidP="000A2730">
      <w:pPr>
        <w:widowControl/>
        <w:rPr>
          <w:rFonts w:ascii="Arial" w:hAnsi="Arial" w:cs="Arial"/>
          <w:b/>
        </w:rPr>
        <w:sectPr w:rsidR="000A2730" w:rsidRPr="00314716" w:rsidSect="003E14C0">
          <w:footnotePr>
            <w:numRestart w:val="eachPage"/>
          </w:footnotePr>
          <w:endnotePr>
            <w:numFmt w:val="decimal"/>
          </w:endnotePr>
          <w:pgSz w:w="11906" w:h="16838"/>
          <w:pgMar w:top="1134" w:right="1418" w:bottom="1418" w:left="1418" w:header="567" w:footer="567" w:gutter="0"/>
          <w:cols w:space="720"/>
          <w:docGrid w:linePitch="326"/>
        </w:sectPr>
      </w:pPr>
    </w:p>
    <w:p w:rsidR="000A2730" w:rsidRPr="00314716" w:rsidRDefault="009A6CEA" w:rsidP="009A6CEA">
      <w:pPr>
        <w:pStyle w:val="ATHeading3"/>
      </w:pPr>
      <w:r w:rsidRPr="00314716">
        <w:lastRenderedPageBreak/>
        <w:t xml:space="preserve">3. Rezoluția Parlamentului European din 11 aprilie 2024 </w:t>
      </w:r>
      <w:r w:rsidR="000A2730" w:rsidRPr="00314716">
        <w:t>conținând observațiile care fac parte integrantă din decizia privind descărcarea de gestiune pentru execuția bugetului Autorității Europene de Asigurări și Pensii Ocupaționale aferent exercițiului financiar</w:t>
      </w:r>
      <w:r w:rsidRPr="00314716">
        <w:t> </w:t>
      </w:r>
      <w:r w:rsidR="000A2730" w:rsidRPr="00314716">
        <w:t>2022</w:t>
      </w:r>
      <w:r w:rsidRPr="00314716">
        <w:t xml:space="preserve"> </w:t>
      </w:r>
      <w:r w:rsidR="000A2730" w:rsidRPr="00314716">
        <w:t>(2023/2153(DEC))</w:t>
      </w:r>
    </w:p>
    <w:p w:rsidR="000A2730" w:rsidRPr="00314716" w:rsidRDefault="000A2730" w:rsidP="000A2730">
      <w:pPr>
        <w:pStyle w:val="EPComma"/>
      </w:pPr>
      <w:r w:rsidRPr="00314716">
        <w:rPr>
          <w:i/>
          <w:iCs/>
        </w:rPr>
        <w:t>Parlamentul European</w:t>
      </w:r>
      <w:r w:rsidRPr="00314716">
        <w:t>,</w:t>
      </w:r>
    </w:p>
    <w:p w:rsidR="000A2730" w:rsidRPr="00314716" w:rsidRDefault="000A2730" w:rsidP="000A2730">
      <w:pPr>
        <w:pStyle w:val="NormalHanging12a"/>
      </w:pPr>
      <w:r w:rsidRPr="00314716">
        <w:t>–</w:t>
      </w:r>
      <w:r w:rsidRPr="00314716">
        <w:tab/>
        <w:t>având în vedere decizia sa privind descărcarea de gestiune pentru execuția bugetului Autorității Europene de Asigurări și Pensii Ocupaționale aferent exercițiului financiar 2022,</w:t>
      </w:r>
    </w:p>
    <w:p w:rsidR="000A2730" w:rsidRPr="00314716" w:rsidRDefault="000A2730" w:rsidP="000A2730">
      <w:pPr>
        <w:pStyle w:val="NormalHanging12a"/>
      </w:pPr>
      <w:r w:rsidRPr="00314716">
        <w:t>–</w:t>
      </w:r>
      <w:r w:rsidRPr="00314716">
        <w:tab/>
        <w:t>având în vedere articolul 100 și anexa V la Regulamentul său de procedură,</w:t>
      </w:r>
    </w:p>
    <w:p w:rsidR="000A2730" w:rsidRPr="00314716" w:rsidRDefault="000A2730" w:rsidP="000A2730">
      <w:pPr>
        <w:pStyle w:val="NormalHanging12a"/>
      </w:pPr>
      <w:r w:rsidRPr="00314716">
        <w:t>–</w:t>
      </w:r>
      <w:r w:rsidRPr="00314716">
        <w:tab/>
        <w:t>având în vedere raportul Comisiei pentru control bugetar (A9-0097/2024),</w:t>
      </w:r>
    </w:p>
    <w:p w:rsidR="000A2730" w:rsidRPr="00314716" w:rsidRDefault="000A2730" w:rsidP="000A2730">
      <w:pPr>
        <w:widowControl/>
        <w:spacing w:after="240"/>
        <w:ind w:left="567" w:hanging="567"/>
        <w:rPr>
          <w:szCs w:val="24"/>
        </w:rPr>
      </w:pPr>
      <w:r w:rsidRPr="00314716">
        <w:t>A.</w:t>
      </w:r>
      <w:r w:rsidRPr="00314716">
        <w:tab/>
        <w:t>întrucât, potrivit situației veniturilor și cheltuielilor sale</w:t>
      </w:r>
      <w:r w:rsidRPr="00314716">
        <w:rPr>
          <w:rStyle w:val="FootnoteReference"/>
          <w:szCs w:val="24"/>
        </w:rPr>
        <w:footnoteReference w:id="11"/>
      </w:r>
      <w:r w:rsidRPr="00314716">
        <w:t>, bugetul definitiv al Autorității Europene de Asigurări și Pensii Ocupaționale („Autoritatea”) aferent exercițiului financiar 2022 a fost de 34 571 120 EUR, ceea ce reprezintă o majorare cu 5,27 % față de bugetul pe 2021; întrucât Autoritatea este finanțată prin contribuții din partea Uniunii (12 932 000 EUR, ceea ce reprezintă 37,40 %) și prin contribuții din partea autorităților naționale de supraveghere din statele membre (21 076 120 EUR, ceea ce reprezintă 60,96 %);</w:t>
      </w:r>
    </w:p>
    <w:p w:rsidR="000A2730" w:rsidRPr="00314716" w:rsidRDefault="000A2730" w:rsidP="000A2730">
      <w:pPr>
        <w:widowControl/>
        <w:spacing w:after="240"/>
        <w:ind w:left="567" w:hanging="567"/>
        <w:rPr>
          <w:szCs w:val="24"/>
        </w:rPr>
      </w:pPr>
      <w:r w:rsidRPr="00314716">
        <w:t>B.</w:t>
      </w:r>
      <w:r w:rsidRPr="00314716">
        <w:tab/>
        <w:t>întrucât Curtea de Conturi („Curtea”), în raportul său privind conturile anuale ale Autorității Europene de Asigurări și Pensii Ocupaționale pentru exercițiul financiar 2022 („raportul Curții”), a declarat că a obținut asigurări rezonabile cu privire la fiabilitatea conturilor anuale ale Autorității și cu privire la legalitatea și regularitatea operațiunilor subiacente,</w:t>
      </w:r>
    </w:p>
    <w:p w:rsidR="000A2730" w:rsidRPr="00314716" w:rsidRDefault="000A2730" w:rsidP="000A2730">
      <w:pPr>
        <w:widowControl/>
        <w:spacing w:after="240"/>
        <w:ind w:left="567" w:hanging="567"/>
        <w:rPr>
          <w:b/>
          <w:i/>
          <w:szCs w:val="24"/>
        </w:rPr>
      </w:pPr>
      <w:r w:rsidRPr="00314716">
        <w:rPr>
          <w:b/>
          <w:i/>
        </w:rPr>
        <w:t>Gestiunea bugetară și financiară</w:t>
      </w:r>
    </w:p>
    <w:p w:rsidR="000A2730" w:rsidRPr="00314716" w:rsidRDefault="000A2730" w:rsidP="000A2730">
      <w:pPr>
        <w:widowControl/>
        <w:spacing w:after="240"/>
        <w:ind w:left="567" w:hanging="567"/>
        <w:rPr>
          <w:szCs w:val="24"/>
        </w:rPr>
      </w:pPr>
      <w:r w:rsidRPr="00314716">
        <w:t>1.</w:t>
      </w:r>
      <w:r w:rsidRPr="00314716">
        <w:tab/>
        <w:t>constată cu satisfacție că eforturile de monitorizare a bugetului în cursul exercițiului financiar 2022 au condus la o rată de execuție bugetară de 99,46 %, ceea ce reprezintă totuși o scădere de 0,52 % față de 2021; constată însă că rata de execuție a creditelor de plată a fost de 92,07 %, ceea ce reprezintă o creștere de 12,95 % în comparație cu 2021;</w:t>
      </w:r>
    </w:p>
    <w:p w:rsidR="000A2730" w:rsidRPr="00314716" w:rsidRDefault="000A2730" w:rsidP="000A2730">
      <w:pPr>
        <w:widowControl/>
        <w:spacing w:after="240"/>
        <w:ind w:left="567" w:hanging="567"/>
        <w:rPr>
          <w:szCs w:val="24"/>
        </w:rPr>
      </w:pPr>
      <w:r w:rsidRPr="00314716">
        <w:rPr>
          <w:b/>
          <w:i/>
        </w:rPr>
        <w:t>Performanța</w:t>
      </w:r>
    </w:p>
    <w:p w:rsidR="000A2730" w:rsidRPr="00314716" w:rsidRDefault="000A2730" w:rsidP="000A2730">
      <w:pPr>
        <w:widowControl/>
        <w:spacing w:after="240"/>
        <w:ind w:left="567" w:hanging="567"/>
        <w:rPr>
          <w:szCs w:val="24"/>
        </w:rPr>
      </w:pPr>
      <w:r w:rsidRPr="00314716">
        <w:t>2.</w:t>
      </w:r>
      <w:r w:rsidRPr="00314716">
        <w:tab/>
        <w:t>constată că Autoritatea utilizează anumite măsuri, cum ar fi indicatorii-cheie de performanță, pentru a determina valoarea adăugată generată de activitățile sale și alte măsuri, cu scopul de a-și îmbunătăți gestiunea bugetară; ia act de faptul că în 2022 Autoritatea a stabilit 17 obiective de nivel strategic pentru performanță în cele șapte domenii principale de activitate ale sale; constată cu satisfacție că Autoritatea a atins sau a depășit 15 dintre aceste obiective, în timp ce celelalte două obiective au fost considerate neaplicabile a fi raportate din cauza dependenței lor de termenele legislative ale Actului legislativ privind reziliența operațională digitală (DORA) și a perturbărilor tehnologice;</w:t>
      </w:r>
    </w:p>
    <w:p w:rsidR="000A2730" w:rsidRPr="00314716" w:rsidRDefault="000A2730" w:rsidP="000A2730">
      <w:pPr>
        <w:widowControl/>
        <w:spacing w:after="240"/>
        <w:ind w:left="567" w:hanging="567"/>
        <w:rPr>
          <w:szCs w:val="24"/>
        </w:rPr>
      </w:pPr>
      <w:r w:rsidRPr="00314716">
        <w:lastRenderedPageBreak/>
        <w:t>3.</w:t>
      </w:r>
      <w:r w:rsidRPr="00314716">
        <w:tab/>
        <w:t>observă că 342 de produse și servicii, reprezentând 91 % din total, au fost furnizate conform planificării Autorității, alte 20 de produse și servicii înregistrând întârzieri minore, iar 13 necontinuând, adesea din cauza dependenței de termenele deciziilor legislative, cum ar fi revizuirea Directivei Solvabilitate II, sau de evoluțiile tehnologice de pe piață și de prioritățile concurente; felicită Autoritatea pentru o creștere a numărului luărilor de cuvânt, de la 167 în 2021 la 214 în 2022;</w:t>
      </w:r>
    </w:p>
    <w:p w:rsidR="000A2730" w:rsidRPr="00314716" w:rsidRDefault="000A2730" w:rsidP="000A2730">
      <w:pPr>
        <w:widowControl/>
        <w:spacing w:after="240"/>
        <w:ind w:left="567" w:hanging="567"/>
        <w:rPr>
          <w:szCs w:val="24"/>
        </w:rPr>
      </w:pPr>
      <w:r w:rsidRPr="00314716">
        <w:t>4.</w:t>
      </w:r>
      <w:r w:rsidRPr="00314716">
        <w:tab/>
        <w:t>recunoaște numeroasele realizări ale Autorității din 2022 în ceea ce privește îndeplinirea în mare măsură a obiectivelor sale în domeniul convergenței supravegherii, al protecției consumatorilor și al stabilității financiare; ia act, în special, de faptul că Autoritatea a efectuat primul test de rezistență climatică IORP pentru a obține informații cu privire la efectele riscurilor de mediu asupra sectorului european al pensiilor ocupaționale, a prezentat Comisiei standardele tehnice de punere în aplicare care stabilesc cerințele de raportare în scopuri de supraveghere și de publicare în temeiul Directivei Solvabilitate II, a publicat o serie de documente, rapoarte și orientări privind integrarea riscurilor legate de sustenabilitate în gestionarea riscurilor asigurătorilor, reasigurătorilor și fondurilor de pensii ocupaționale și a furnizat informații și consiliere tehnică Parlamentului European și Consiliului pe parcursul întregului proces legislativ în ceea ce privește Legea privind inteligența artificială și DORA; felicită Autoritatea pentru diferitele sale inițiative și acțiuni în domeniul transformării digitale, sprijinind obiectivele Strategiei Uniunii privind finanțele digitale, inclusiv prin contribuția, împreună cu mai multe părți interesate, cum ar fi Institutul Universitar European, la înființarea „Academiei de supraveghere a finanțelor digitale a UE”;</w:t>
      </w:r>
    </w:p>
    <w:p w:rsidR="000A2730" w:rsidRPr="00314716" w:rsidRDefault="000A2730" w:rsidP="000A2730">
      <w:pPr>
        <w:widowControl/>
        <w:spacing w:after="240"/>
        <w:ind w:left="567" w:hanging="567"/>
        <w:rPr>
          <w:szCs w:val="24"/>
        </w:rPr>
      </w:pPr>
      <w:r w:rsidRPr="00314716">
        <w:t>5.</w:t>
      </w:r>
      <w:r w:rsidRPr="00314716">
        <w:tab/>
        <w:t>ia act de faptul că Autoritatea a utilizat pentru prima dată o serie de competențe și instrumente conferite ei de Regulamentul EIOPA; ia act, în acest context, de faptul că, în 2022, Autoritatea a adresat Băncii Naționale a Slovaciei (BNS) o recomandare în urma concluziilor Autorității potrivit cărora o încălcare a cerințelor de capital comisă de o societate de asigurări slovacă nu a fost abordată în mod corespunzător din perspectiva supravegherii; constată, de asemenea, cu îngrijorare că Autoritatea a constatat că BNS încalcă dreptul Uniunii și, în consecință, Comisia a emis un aviz formal prin care solicita BNS să ia măsurile necesare pentru a respecta dreptul Uniunii și că a fost efectuată o anchetă în temeiul articolului 22 din Regulamentul EIOPA; invită Autoritatea să țină la curent autoritatea care acordă descărcarea de gestiune cu privire la măsurile adoptate și rezultatul acestei anchete;</w:t>
      </w:r>
    </w:p>
    <w:p w:rsidR="000A2730" w:rsidRPr="00314716" w:rsidRDefault="000A2730" w:rsidP="000A2730">
      <w:pPr>
        <w:widowControl/>
        <w:spacing w:after="240"/>
        <w:ind w:left="567" w:hanging="567"/>
        <w:rPr>
          <w:szCs w:val="24"/>
        </w:rPr>
      </w:pPr>
      <w:r w:rsidRPr="00314716">
        <w:t>6.</w:t>
      </w:r>
      <w:r w:rsidRPr="00314716">
        <w:tab/>
        <w:t>ia act de faptul că Autoritatea a contribuit la asigurarea stabilității financiare și la protejarea consumatorilor prin monitorizarea atentă a piețelor și evaluarea impactului în noul context al invadării neprovocate și ilegale a Ucrainei de către Rusia și al înăspririi progresive a politicii monetare ca răspuns la ratele record ale inflației din întreaga Europă; salută publicarea în timp util, în 2022, a unei declarații de supraveghere privind inflația, care pune accentul pe modul în care inflația afectează provizioanele tehnice, investițiile și cerințele de capital de solvabilitate;</w:t>
      </w:r>
    </w:p>
    <w:p w:rsidR="000A2730" w:rsidRPr="00314716" w:rsidRDefault="000A2730" w:rsidP="000A2730">
      <w:pPr>
        <w:pStyle w:val="NormalHanging12a"/>
      </w:pPr>
      <w:r w:rsidRPr="00314716">
        <w:t>7.</w:t>
      </w:r>
      <w:r w:rsidRPr="00314716">
        <w:tab/>
        <w:t>ia act de faptul că, în septembrie 2022, Autoritatea și-a prezentat strategia pentru perioada 2023-2026, în care a identificat priorități strategice, inclusiv consolidarea rezilienței și a sustenabilității sectorului asigurărilor și al pensiilor și asigurarea unei protecții solide și consecvente a intereselor consumatorilor în întreaga Uniune;</w:t>
      </w:r>
    </w:p>
    <w:p w:rsidR="000A2730" w:rsidRPr="00314716" w:rsidRDefault="000A2730" w:rsidP="000A2730">
      <w:pPr>
        <w:widowControl/>
        <w:spacing w:after="240"/>
        <w:ind w:left="567" w:hanging="567"/>
        <w:rPr>
          <w:b/>
          <w:i/>
          <w:szCs w:val="24"/>
        </w:rPr>
      </w:pPr>
      <w:r w:rsidRPr="00314716">
        <w:rPr>
          <w:b/>
          <w:i/>
        </w:rPr>
        <w:t>Eficiența și realizările</w:t>
      </w:r>
    </w:p>
    <w:p w:rsidR="000A2730" w:rsidRPr="00314716" w:rsidRDefault="000A2730" w:rsidP="000A2730">
      <w:pPr>
        <w:widowControl/>
        <w:spacing w:after="240"/>
        <w:ind w:left="567" w:hanging="567"/>
        <w:rPr>
          <w:rFonts w:cstheme="minorHAnsi"/>
        </w:rPr>
      </w:pPr>
      <w:r w:rsidRPr="00314716">
        <w:lastRenderedPageBreak/>
        <w:t>8.</w:t>
      </w:r>
      <w:r w:rsidRPr="00314716">
        <w:tab/>
        <w:t>ia act de faptul că autoritățile europene de supraveghere (AES) se coordonează, partajează și se sprijină reciproc în multe domenii, atât în ceea ce privește activitatea de bază, cât și în domeniile de sprijin; salută faptul că AES și-au unit forțele în ceea ce privește inițiativele strategice, cum ar fi dezvoltarea de aplicații software, infrastructura de rețea și consultanța în domeniul informatic, de exemplu prin utilizarea în comun a acelorași furnizori; ia act, în acest context, de Strategia în domeniul cloud computingului a Autorității, aprobată în 2022, elaborată de Autoritate împreună cu celelalte două AES, cu alte instituții ale Uniunii și cu autoritățile naționale competente (ANC) și care vizează furnizarea de produse mai autonome, automatizate și cu autoservire pentru a servi experților Autorității și ANC;</w:t>
      </w:r>
    </w:p>
    <w:p w:rsidR="000A2730" w:rsidRPr="00314716" w:rsidRDefault="000A2730" w:rsidP="000A2730">
      <w:pPr>
        <w:widowControl/>
        <w:spacing w:after="240"/>
        <w:ind w:left="567" w:hanging="567"/>
        <w:rPr>
          <w:rFonts w:cstheme="minorHAnsi"/>
        </w:rPr>
      </w:pPr>
      <w:r w:rsidRPr="00314716">
        <w:t>9.</w:t>
      </w:r>
      <w:r w:rsidRPr="00314716">
        <w:tab/>
        <w:t>felicită Autoritatea pentru investițiile sale în proiecte din domeniul transformării digitale și alocarea de personal pentru acestea, pentru a atinge noi niveluri de eficiență prin automatizarea și raționalizarea proceselor operaționale și prin îmbunătățirea timpului de introducere pe piață și a colaborării în cadrul funcțiilor și între acestea, printre altele; salută, în acest context, proiectele Autorității desfășurate în 2022, axate pe îmbunătățirea capacităților de analiză a datelor pentru a atinge obiectivul de a transforma Autoritatea într-o organizație complet digitală, bazată pe date;</w:t>
      </w:r>
    </w:p>
    <w:p w:rsidR="000A2730" w:rsidRPr="00314716" w:rsidRDefault="000A2730" w:rsidP="000A2730">
      <w:pPr>
        <w:pStyle w:val="NormalHanging12a"/>
      </w:pPr>
      <w:r w:rsidRPr="00314716">
        <w:t>10.</w:t>
      </w:r>
      <w:r w:rsidRPr="00314716">
        <w:tab/>
        <w:t>observă că, în ceea ce privește practicile comerciale de zi cu zi, Autoritatea a pus în aplicare o serie de măsuri pentru a spori eficiența din punctul de vedere al costurilor, cum ar fi munca hibridă, partajarea birourilor, precum și soluțiile moderne de videoconferință care au determinat reducerea călătoriilor de afaceri; ia act de faptul că, pentru a păstra cunoștințele instituționale, expertiza și eficiența în îndeplinirea sarcinilor principale, Autoritatea și-a consolidat și mai mult sistemul integrat de gestionare a talentelor, care permite procese RU aliniate strategic, o mai bună selecție de candidați și o învățare și o dezvoltare mai eficace; invită Autoritatea să furnizeze autorității care acordă descărcarea de gestiune date și cifre privind impactul acestui sistem;</w:t>
      </w:r>
    </w:p>
    <w:p w:rsidR="000A2730" w:rsidRPr="00314716" w:rsidRDefault="000A2730" w:rsidP="000A2730">
      <w:pPr>
        <w:widowControl/>
        <w:spacing w:after="240"/>
        <w:ind w:left="567" w:hanging="567"/>
        <w:rPr>
          <w:rFonts w:cstheme="minorHAnsi"/>
          <w:iCs/>
        </w:rPr>
      </w:pPr>
      <w:r w:rsidRPr="00314716">
        <w:t>11.</w:t>
      </w:r>
      <w:r w:rsidRPr="00314716">
        <w:tab/>
        <w:t>constată din raportul Curții că Autoritatea se numără printre agențiile care au un plan instituțional de îmbunătățire a eficienței energetice și a neutralității climatice a operațiunilor lor și care emit o declarație de mediu (de exemplu, cu privire la raportarea amprentei de carbon) integrată în rapoartele lor anuale de activitate; felicită, de asemenea, Autoritatea pentru certificarea EMAS (sistemul de management de mediu și audit al Uniunii Europene) primită în 2022, în vederea obținerii acreditării oficiale EMAS în 2023;</w:t>
      </w:r>
    </w:p>
    <w:p w:rsidR="000A2730" w:rsidRPr="00314716" w:rsidRDefault="000A2730" w:rsidP="000A2730">
      <w:pPr>
        <w:widowControl/>
        <w:spacing w:after="240"/>
        <w:ind w:left="567" w:hanging="567"/>
        <w:rPr>
          <w:b/>
          <w:i/>
          <w:szCs w:val="24"/>
        </w:rPr>
      </w:pPr>
      <w:r w:rsidRPr="00314716">
        <w:rPr>
          <w:b/>
          <w:i/>
        </w:rPr>
        <w:t>Politica de personal</w:t>
      </w:r>
    </w:p>
    <w:p w:rsidR="000A2730" w:rsidRPr="00314716" w:rsidRDefault="000A2730" w:rsidP="000A2730">
      <w:pPr>
        <w:widowControl/>
        <w:spacing w:after="240"/>
        <w:ind w:left="567" w:hanging="567"/>
        <w:rPr>
          <w:szCs w:val="24"/>
        </w:rPr>
      </w:pPr>
      <w:r w:rsidRPr="00314716">
        <w:t>12.</w:t>
      </w:r>
      <w:r w:rsidRPr="00314716">
        <w:tab/>
        <w:t>ia act de faptul că la 31 decembrie 2022, 99 % din schema de personal era completată (la fel ca în 2021), fiind ocupate 137 din cele 138 de posturi de agenți temporari autorizate de bugetul Uniunii; constată că, în 2022, în cadrul Autorității au lucrat, de asemenea, 36 de agenți contractuali și 24 de experți naționali detașați;</w:t>
      </w:r>
    </w:p>
    <w:p w:rsidR="000A2730" w:rsidRPr="00314716" w:rsidRDefault="000A2730" w:rsidP="000A2730">
      <w:pPr>
        <w:pStyle w:val="NormalHanging12a"/>
      </w:pPr>
      <w:r w:rsidRPr="00314716">
        <w:t>13.</w:t>
      </w:r>
      <w:r w:rsidRPr="00314716">
        <w:tab/>
        <w:t>ia act de defalcarea în funcție de gen raportată de Autoritate pentru 2022: posturile de conducere de nivel mediu și superior și în Consiliul de administrație erau ocupate de 15 bărbați (65,20 %) și 8 femei (34,80 %), iar la nivelul întregului personal proporția era de 104 bărbați (53,60 %) și 90 de femei (46,40 %); reamintește că este important să se asigure echilibrul de gen și invită Autoritatea să ia în considerare acest aspect în ceea ce privește viitoarele recrutări de personal și numiri în posturile de conducere de nivel superior și mediu;</w:t>
      </w:r>
    </w:p>
    <w:p w:rsidR="000A2730" w:rsidRPr="00314716" w:rsidRDefault="000A2730" w:rsidP="000A2730">
      <w:pPr>
        <w:pStyle w:val="NormalHanging12a"/>
      </w:pPr>
      <w:r w:rsidRPr="00314716">
        <w:lastRenderedPageBreak/>
        <w:t>14.</w:t>
      </w:r>
      <w:r w:rsidRPr="00314716">
        <w:tab/>
        <w:t>salută faptul că, în 2022, Autoritatea a continuat punerea în aplicare a strategiei privind diversitatea și incluziunea (adoptată în 2021) și a planului său de acțiune detaliat în conformitate cu Carta Rețelei agențiilor UE privind diversitatea și incluziunea, prin inițiative care acoperă măsuri transversale, cum ar fi colaborarea cu alte instituții, atragerea și selectarea unei forțe de muncă mai diversificate, prevenirea discriminării, a hărțuirii, a prejudecăților conștiente și inconștiente și monitorizarea datelor legate de diversitate și incluziune; ia act de faptul că, în 2022, a fost raportat un caz de presupusă hărțuire, dar cazul a fost închis fără alte acțiuni, deoarece, în urma unei evaluări preliminare, nu au fost găsite dovezi prima facie;</w:t>
      </w:r>
    </w:p>
    <w:p w:rsidR="000A2730" w:rsidRPr="00314716" w:rsidRDefault="000A2730" w:rsidP="000A2730">
      <w:pPr>
        <w:widowControl/>
        <w:spacing w:after="240"/>
        <w:ind w:left="567" w:hanging="567"/>
        <w:rPr>
          <w:szCs w:val="24"/>
        </w:rPr>
      </w:pPr>
      <w:r w:rsidRPr="00314716">
        <w:t>15.</w:t>
      </w:r>
      <w:r w:rsidRPr="00314716">
        <w:tab/>
        <w:t>salută faptul că Autoritatea este dedicată promovării și asigurării unui mediu de lucru divers și favorabil incluziunii, adaptat, de asemenea, nevoilor persoanelor cu dizabilități; ia act, în acest context, de faptul că, în 2022, coordonatorul intern și ambasadorul Autorității pentru persoanele cu dizabilități a fost numit pentru a consolida și a concentra atenția asupra acestui domeniu special, a fost efectuat un sondaj specific în rândul personalului și al conducerii și au fost întreprinse acțiuni de sensibilizare;</w:t>
      </w:r>
    </w:p>
    <w:p w:rsidR="000A2730" w:rsidRPr="00314716" w:rsidRDefault="000A2730" w:rsidP="000A2730">
      <w:pPr>
        <w:pStyle w:val="NormalHanging12a"/>
      </w:pPr>
      <w:r w:rsidRPr="00314716">
        <w:t>16.</w:t>
      </w:r>
      <w:r w:rsidRPr="00314716">
        <w:tab/>
        <w:t>ia act cu satisfacție de faptul că Autoritatea și-a menținut angajamentul profund de a îmbunătăți starea de bine a personalului și echilibrul dintre viața profesională și cea privată, cu rezultate pozitive în ceea ce privește implicarea și satisfacția personalului; ia act de faptul că domeniile-cheie de interes au inclus formulele flexibile de lucru, munca la distanță, orientarea și dezvoltarea carierei pe tot parcursul vieții, programele de wellness și sprijinul acordat de cadrele de conducere;</w:t>
      </w:r>
    </w:p>
    <w:p w:rsidR="000A2730" w:rsidRPr="00314716" w:rsidRDefault="000A2730" w:rsidP="000A2730">
      <w:pPr>
        <w:widowControl/>
        <w:spacing w:after="240"/>
        <w:ind w:left="567" w:hanging="567"/>
        <w:rPr>
          <w:b/>
          <w:i/>
          <w:szCs w:val="24"/>
        </w:rPr>
      </w:pPr>
      <w:r w:rsidRPr="00314716">
        <w:rPr>
          <w:b/>
          <w:i/>
        </w:rPr>
        <w:t>Achizițiile publice</w:t>
      </w:r>
    </w:p>
    <w:p w:rsidR="000A2730" w:rsidRPr="00314716" w:rsidRDefault="000A2730" w:rsidP="000A2730">
      <w:pPr>
        <w:widowControl/>
        <w:spacing w:after="240"/>
        <w:ind w:left="567" w:hanging="567"/>
        <w:rPr>
          <w:szCs w:val="24"/>
        </w:rPr>
      </w:pPr>
      <w:r w:rsidRPr="00314716">
        <w:t>17.</w:t>
      </w:r>
      <w:r w:rsidRPr="00314716">
        <w:tab/>
        <w:t>ia act, din raportul Curții, de observația potrivit căreia Autoritatea a efectuat plăți în valoare totală de 25 607 EUR după încheierea unui contract prin care Autoritatea a achiziționat servicii de telecomunicații pentru comunicațiile de telefonie mobilă pentru o perioadă de patru ani (2017-2021); ia act de concluzia Curții potrivit căreia aceste plăți au fost neconforme cu reglementările; ia act, de asemenea, de observația Curții potrivit căreia o modificare a acestui contract, semnată în aprilie 2022, a fost efectuată cu încălcarea punctului 1.1 din anexa I la Regulamentul financiar;</w:t>
      </w:r>
    </w:p>
    <w:p w:rsidR="000A2730" w:rsidRPr="00314716" w:rsidRDefault="000A2730" w:rsidP="000A2730">
      <w:pPr>
        <w:widowControl/>
        <w:spacing w:after="240"/>
        <w:ind w:left="567" w:hanging="567"/>
        <w:rPr>
          <w:szCs w:val="24"/>
        </w:rPr>
      </w:pPr>
      <w:r w:rsidRPr="00314716">
        <w:t>18.</w:t>
      </w:r>
      <w:r w:rsidRPr="00314716">
        <w:tab/>
        <w:t>reamintește din raportul anual al Curții privind agențiile Uniunii pentru 2021 observația referitoare la suma de 288 125 EUR plătită în mod neregulamentar de Autoritate în legătură cu contractul de închiriere pentru sediul său; constată, în acest context, din raportul Autorității privind măsurile luate în lumina recomandărilor autorității care acordă descărcarea de gestiune (descărcarea de gestiune 2021), poziția Autorității potrivit căreia nerespectarea obligațiilor contractuale ar fi avut un efect juridic și reputațional negativ asupra Autorității; constată, pe baza raportului Curții, că statutul acestei observații rămâne deschis; invită Autoritatea să depună toate eforturile necesare atunci când lansează procedura de achiziții pentru un nou contract de închiriere pentru a preveni orice conflict între obligațiile impuse de contractul de închiriere și dispozițiile relevante din Regulamentul financiar;</w:t>
      </w:r>
    </w:p>
    <w:p w:rsidR="000A2730" w:rsidRPr="00314716" w:rsidRDefault="000A2730" w:rsidP="000A2730">
      <w:pPr>
        <w:widowControl/>
        <w:spacing w:after="240"/>
        <w:rPr>
          <w:szCs w:val="24"/>
        </w:rPr>
      </w:pPr>
      <w:r w:rsidRPr="00314716">
        <w:rPr>
          <w:b/>
          <w:i/>
        </w:rPr>
        <w:t>Prevenirea și gestionarea conflictelor de interese și transparența</w:t>
      </w:r>
    </w:p>
    <w:p w:rsidR="000A2730" w:rsidRPr="00314716" w:rsidRDefault="000A2730" w:rsidP="000A2730">
      <w:pPr>
        <w:widowControl/>
        <w:spacing w:after="240"/>
        <w:ind w:left="567" w:hanging="567"/>
        <w:rPr>
          <w:szCs w:val="24"/>
        </w:rPr>
      </w:pPr>
      <w:r w:rsidRPr="00314716">
        <w:t>19.</w:t>
      </w:r>
      <w:r w:rsidRPr="00314716">
        <w:tab/>
        <w:t xml:space="preserve">salută faptul că, în conformitate cu cerințele legale care trebuie respectate de Autoritate, CV-urile membrilor consiliului supraveghetorilor și ai consiliului de administrație al Autorității, precum și CV-ul președintelui și al directorului executiv și o variantă </w:t>
      </w:r>
      <w:r w:rsidRPr="00314716">
        <w:lastRenderedPageBreak/>
        <w:t>prescurtată a CV-urilor șefilor de departament ai Autorității sunt publicate pe site-ul Autorității; ia act de faptul că declarațiile individuale de interese și declarațiile de intenție sunt puse la dispoziția publicului pentru fiecare membru al consiliului de administrație, pentru fiecare membru al consiliului supraveghetorilor și pentru personalul de conducere de nivel superior al Autorității; salută, de asemenea, publicarea pe site-ul Autorității a reuniunilor personalului Autorității cu lobbiști;</w:t>
      </w:r>
    </w:p>
    <w:p w:rsidR="000A2730" w:rsidRPr="00314716" w:rsidRDefault="000A2730" w:rsidP="000A2730">
      <w:pPr>
        <w:widowControl/>
        <w:spacing w:after="240"/>
        <w:ind w:left="567" w:hanging="567"/>
        <w:rPr>
          <w:szCs w:val="24"/>
        </w:rPr>
      </w:pPr>
      <w:r w:rsidRPr="00314716">
        <w:t>20.</w:t>
      </w:r>
      <w:r w:rsidRPr="00314716">
        <w:tab/>
        <w:t>salută faptul că, în 2022, Autoritatea și-a consolidat normele de etică aplicabile personalului și celor care nu sunt membri ai personalului, răspunzând astfel observațiilor din raportul Curții privind conturile anuale ale Autorității pentru 2021 și vizând menținerea unui proces decizional imparțial, obiectiv și independent și identificarea și tratarea promptă a oricăror posibile conflicte de interese; ia act, în acest sens, de revizuirea Regulamentului de procedură al Autorității, de adoptarea politicii privind independența și procesele decizionale pentru evitarea conflictelor de interese în cazul persoanelor care nu sunt membri ai personalului, de aprobarea unei revizuiri a deciziei privind evaluarea președintelui și a directorului executiv și de adoptarea unei revizuiri a normelor de etică ale Autorității pentru membrii personalului;</w:t>
      </w:r>
    </w:p>
    <w:p w:rsidR="000A2730" w:rsidRPr="00314716" w:rsidRDefault="000A2730" w:rsidP="000A2730">
      <w:pPr>
        <w:widowControl/>
        <w:spacing w:after="240"/>
        <w:ind w:left="567" w:hanging="567"/>
        <w:rPr>
          <w:szCs w:val="24"/>
        </w:rPr>
      </w:pPr>
      <w:r w:rsidRPr="00314716">
        <w:t>21.</w:t>
      </w:r>
      <w:r w:rsidRPr="00314716">
        <w:tab/>
        <w:t>observă, în ceea ce privește avertizarea în interes public, că, în 2022, un membru al personalului și-a exprimat îngrijorarea cu privire la un posibil caz de nereguli care a fost gestionat de Autoritate în conformitate cu normele aplicabile; constată, în acest context, că Oficiul European de Luptă Antifraudă (OLAF), care a fost informat imediat de Autoritate, a efectuat o evaluare prin care a respins cazul pe motiv că nu a existat o suspiciune suficientă pentru a deschide o anchetă;</w:t>
      </w:r>
    </w:p>
    <w:p w:rsidR="000A2730" w:rsidRPr="00314716" w:rsidRDefault="000A2730" w:rsidP="000A2730">
      <w:pPr>
        <w:spacing w:after="240"/>
        <w:ind w:left="567" w:hanging="567"/>
        <w:rPr>
          <w:sz w:val="22"/>
        </w:rPr>
      </w:pPr>
      <w:r w:rsidRPr="00314716">
        <w:t>22.</w:t>
      </w:r>
      <w:r w:rsidRPr="00314716">
        <w:tab/>
        <w:t>salută faptul că, în iulie 2022, consiliul de supraveghere al autorității și-a revizuit Regulamentul de procedură, punând în aplicare observația Curții cu privire la prezența membrilor care se află în situație de conflict de interese în cadrul discuțiilor și al votării; constată, de asemenea, că consiliul de administrație al Autorității a aprobat în decembrie 2022 o decizie revizuită privind evaluarea președintelui și a directorului executiv, în conformitate cu observațiile Curții;</w:t>
      </w:r>
    </w:p>
    <w:p w:rsidR="000A2730" w:rsidRPr="00314716" w:rsidRDefault="000A2730" w:rsidP="000A2730">
      <w:pPr>
        <w:widowControl/>
        <w:spacing w:after="240"/>
        <w:ind w:left="567" w:hanging="567"/>
        <w:rPr>
          <w:b/>
          <w:i/>
          <w:szCs w:val="24"/>
        </w:rPr>
      </w:pPr>
      <w:r w:rsidRPr="00314716">
        <w:rPr>
          <w:b/>
          <w:i/>
        </w:rPr>
        <w:t>Controalele interne</w:t>
      </w:r>
    </w:p>
    <w:p w:rsidR="000A2730" w:rsidRPr="00314716" w:rsidRDefault="000A2730" w:rsidP="000A2730">
      <w:pPr>
        <w:widowControl/>
        <w:spacing w:after="240"/>
        <w:ind w:left="567" w:hanging="567"/>
        <w:rPr>
          <w:szCs w:val="24"/>
        </w:rPr>
      </w:pPr>
      <w:r w:rsidRPr="00314716">
        <w:t>23.</w:t>
      </w:r>
      <w:r w:rsidRPr="00314716">
        <w:tab/>
        <w:t>ia act de faptul că, în 2022, Autoritatea a efectuat evaluarea anuală a cadrului său de control intern, concluzionând că toate componentele și principiile sunt puse în aplicare și funcționează așa cum s-a preconizat, fiind necesare unele îmbunătățiri din cauza unei deficiențe moderate detectate;</w:t>
      </w:r>
    </w:p>
    <w:p w:rsidR="000A2730" w:rsidRPr="00314716" w:rsidRDefault="000A2730" w:rsidP="000A2730">
      <w:pPr>
        <w:widowControl/>
        <w:spacing w:after="240"/>
        <w:ind w:left="567" w:hanging="567"/>
        <w:rPr>
          <w:szCs w:val="24"/>
        </w:rPr>
      </w:pPr>
      <w:r w:rsidRPr="00314716">
        <w:t>24.</w:t>
      </w:r>
      <w:r w:rsidRPr="00314716">
        <w:tab/>
        <w:t>observă că, în 2022, serviciul de audit intern a publicat un raport privind auditul efectuat în 2021 cu privire la „măsurile de intervenție ale EIOPA” care vizează ANC-urile și operatorii de piață din sectorul asigurărilor și pensiilor ocupaționale din Uniune; observă, de asemenea, că comitetul pentru controlul calității al Autorității a publicat un raport de evaluare privind „învățămintele desprinse din cooperarea și interacțiunea dintre EIOPA și ANC în timpul pandemiei de COVID-19”; invită Autoritatea să țină la curent autoritatea care acordă descărcarea de gestiune cu privire la punerea în aplicare a recomandărilor emise de serviciul de audit intern și de comitetul pentru controlul calității;</w:t>
      </w:r>
    </w:p>
    <w:p w:rsidR="000A2730" w:rsidRPr="00314716" w:rsidRDefault="000A2730" w:rsidP="000A2730">
      <w:pPr>
        <w:widowControl/>
        <w:spacing w:after="240"/>
        <w:ind w:left="567" w:hanging="567"/>
      </w:pPr>
      <w:r w:rsidRPr="00314716">
        <w:t>25.</w:t>
      </w:r>
      <w:r w:rsidRPr="00314716">
        <w:tab/>
        <w:t xml:space="preserve">constată cu satisfacție că, în 2022, Autoritatea a identificat, a monitorizat și a luat măsuri pentru a atenua efectele riscurilor în ceea ce privește lipsa unei capacități </w:t>
      </w:r>
      <w:r w:rsidRPr="00314716">
        <w:lastRenderedPageBreak/>
        <w:t>suficiente pentru a pune în aplicare noi competențe și sarcini, îndeplinind în același timp angajamentele existente, lipsa de personal calificat cu competențele necesare din cauza unor probleme legate de atractivitate, recrutare și amenințările la adresa securității cibernetice și continuitatea activității;</w:t>
      </w:r>
    </w:p>
    <w:p w:rsidR="000A2730" w:rsidRPr="00314716" w:rsidRDefault="000A2730" w:rsidP="000A2730">
      <w:pPr>
        <w:widowControl/>
        <w:spacing w:after="240"/>
        <w:ind w:left="567" w:hanging="567"/>
      </w:pPr>
      <w:r w:rsidRPr="00314716">
        <w:t>26.</w:t>
      </w:r>
      <w:r w:rsidRPr="00314716">
        <w:tab/>
        <w:t>ia act de faptul că Autoritatea a continuat în 2022 să dea curs recomandărilor rămase în urma auditului privind „Instrumentele de supraveghere în domeniul protecției consumatorilor” (2019-2020); constată, de asemenea, că acest audit a avut ca rezultat patru recomandări care au fost abordate, astfel încât două recomandări au fost închise oficial de IAS în noiembrie 2021, iar două recomandări au fost închise oficial în iunie 2022;</w:t>
      </w:r>
    </w:p>
    <w:p w:rsidR="000A2730" w:rsidRPr="00314716" w:rsidRDefault="000A2730" w:rsidP="000A2730">
      <w:pPr>
        <w:widowControl/>
        <w:spacing w:after="240"/>
        <w:ind w:left="567" w:hanging="567"/>
        <w:rPr>
          <w:b/>
          <w:i/>
          <w:szCs w:val="24"/>
        </w:rPr>
      </w:pPr>
      <w:r w:rsidRPr="00314716">
        <w:rPr>
          <w:b/>
          <w:i/>
        </w:rPr>
        <w:t>Alte observații</w:t>
      </w:r>
    </w:p>
    <w:p w:rsidR="000A2730" w:rsidRPr="00314716" w:rsidRDefault="000A2730" w:rsidP="000A2730">
      <w:pPr>
        <w:spacing w:after="240"/>
        <w:ind w:left="567" w:hanging="567"/>
        <w:rPr>
          <w:szCs w:val="24"/>
        </w:rPr>
      </w:pPr>
      <w:r w:rsidRPr="00314716">
        <w:t>27.</w:t>
      </w:r>
      <w:r w:rsidRPr="00314716">
        <w:tab/>
        <w:t>ia act de faptul că, în 2022, Autoritatea, împreună cu celelalte AES, a emis avertismente pentru consumatori în legătură cu activitățile speculative și cu grad ridicat de risc asociate multor criptoactive;</w:t>
      </w:r>
    </w:p>
    <w:p w:rsidR="000A2730" w:rsidRPr="00314716" w:rsidRDefault="000A2730" w:rsidP="000A2730">
      <w:pPr>
        <w:spacing w:after="240"/>
        <w:ind w:left="567" w:hanging="567"/>
        <w:rPr>
          <w:szCs w:val="24"/>
        </w:rPr>
      </w:pPr>
      <w:r w:rsidRPr="00314716">
        <w:t>28.</w:t>
      </w:r>
      <w:r w:rsidRPr="00314716">
        <w:tab/>
        <w:t>constată, pe baza răspunsurilor Autorității la întrebările autorității care acordă descărcarea de gestiune, că Autoritatea beneficiază în prezent de instrumentele de licitație electronică ale Comisiei (e-tendering, e-submission, e-invoicing), iar instrumentul de gestionare a achizițiilor publice (PPMT) a fost pus în aplicare între timp (începând din iulie 2023); salută faptul că procedurile de licitație ale EIOPA includ cerințe privind criteriile de achiziții publice ecologice, acolo unde este posibil, iar ofertanții EIOPA trebuie să semneze, printre altele, Declarația pe propria răspundere privind respectarea obligațiilor de mediu și sociale;</w:t>
      </w:r>
    </w:p>
    <w:p w:rsidR="000A2730" w:rsidRPr="00314716" w:rsidRDefault="000A2730" w:rsidP="000A2730">
      <w:pPr>
        <w:spacing w:after="240"/>
        <w:ind w:left="567" w:hanging="567"/>
        <w:rPr>
          <w:szCs w:val="24"/>
        </w:rPr>
      </w:pPr>
      <w:r w:rsidRPr="00314716">
        <w:t>29.</w:t>
      </w:r>
      <w:r w:rsidRPr="00314716">
        <w:tab/>
        <w:t>ia act de faptul că, în 2022, Autoritatea a publicat rezultatele activității sale sub formă de rapoarte, pe site-ul său web și pe platformele de comunicare socială, majoritatea rapoartelor fiind însoțite de un comunicat de presă; salută faptul că, în unele cazuri, rapoartele sunt însoțite și de rezumate, scurte videoclipuri pe platformele de comunicare socială sau scurte interviuri pentru a explica conținutul în termeni mai simpli;</w:t>
      </w:r>
    </w:p>
    <w:p w:rsidR="000A2730" w:rsidRPr="00314716" w:rsidRDefault="000A2730" w:rsidP="000A2730">
      <w:pPr>
        <w:pStyle w:val="NormalCenter12a"/>
      </w:pPr>
      <w:r w:rsidRPr="00314716">
        <w:t>°</w:t>
      </w:r>
    </w:p>
    <w:p w:rsidR="000A2730" w:rsidRPr="00314716" w:rsidRDefault="000A2730" w:rsidP="000A2730">
      <w:pPr>
        <w:pStyle w:val="NormalCenter12a"/>
      </w:pPr>
      <w:r w:rsidRPr="00314716">
        <w:t>°</w:t>
      </w:r>
      <w:r w:rsidRPr="00314716">
        <w:tab/>
        <w:t>°</w:t>
      </w:r>
    </w:p>
    <w:p w:rsidR="00E365E1" w:rsidRPr="00314716" w:rsidRDefault="000A2730" w:rsidP="00033DFC">
      <w:pPr>
        <w:pStyle w:val="NormalHanging12a"/>
      </w:pPr>
      <w:r w:rsidRPr="00314716">
        <w:t>30.</w:t>
      </w:r>
      <w:r w:rsidRPr="00314716">
        <w:tab/>
        <w:t xml:space="preserve">face trimitere, pentru alte observații cu caracter orizontal care însoțesc decizia privind descărcarea de gestiune, la rezoluția sa din </w:t>
      </w:r>
      <w:r w:rsidR="00033DFC" w:rsidRPr="00314716">
        <w:t xml:space="preserve">11 </w:t>
      </w:r>
      <w:r w:rsidRPr="00314716">
        <w:t>aprilie 2024</w:t>
      </w:r>
      <w:r w:rsidRPr="00314716">
        <w:rPr>
          <w:rStyle w:val="FootnoteReference"/>
        </w:rPr>
        <w:footnoteReference w:id="12"/>
      </w:r>
      <w:r w:rsidRPr="00314716">
        <w:t xml:space="preserve"> referitoare la performanțele, gestiunea financiară și controlul agențiilor.</w:t>
      </w:r>
    </w:p>
    <w:sectPr w:rsidR="00E365E1" w:rsidRPr="00314716" w:rsidSect="003E14C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782" w:rsidRPr="003E14C0" w:rsidRDefault="001C5782">
      <w:r w:rsidRPr="003E14C0">
        <w:separator/>
      </w:r>
    </w:p>
  </w:endnote>
  <w:endnote w:type="continuationSeparator" w:id="0">
    <w:p w:rsidR="001C5782" w:rsidRPr="003E14C0" w:rsidRDefault="001C5782">
      <w:r w:rsidRPr="003E14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30" w:rsidRPr="003E14C0" w:rsidRDefault="000A2730" w:rsidP="00783E87">
    <w:pPr>
      <w:pStyle w:val="EPFooter"/>
    </w:pPr>
    <w:r w:rsidRPr="003E14C0">
      <w:t>PE</w:t>
    </w:r>
    <w:r w:rsidRPr="003E14C0">
      <w:rPr>
        <w:rStyle w:val="HideTWBExt"/>
      </w:rPr>
      <w:t>&lt;NoPE&gt;</w:t>
    </w:r>
    <w:r w:rsidRPr="003E14C0">
      <w:t>753.521</w:t>
    </w:r>
    <w:r w:rsidRPr="003E14C0">
      <w:rPr>
        <w:rStyle w:val="HideTWBExt"/>
      </w:rPr>
      <w:t>&lt;/NoPE&gt;&lt;Version&gt;</w:t>
    </w:r>
    <w:r w:rsidRPr="003E14C0">
      <w:t>v02-00</w:t>
    </w:r>
    <w:r w:rsidRPr="003E14C0">
      <w:rPr>
        <w:rStyle w:val="HideTWBExt"/>
      </w:rPr>
      <w:t>&lt;/Version&gt;</w:t>
    </w:r>
    <w:r w:rsidRPr="003E14C0">
      <w:tab/>
    </w:r>
    <w:r w:rsidRPr="003E14C0">
      <w:fldChar w:fldCharType="begin"/>
    </w:r>
    <w:r w:rsidRPr="003E14C0">
      <w:instrText xml:space="preserve"> PAGE  \* MERGEFORMAT </w:instrText>
    </w:r>
    <w:r w:rsidRPr="003E14C0">
      <w:fldChar w:fldCharType="separate"/>
    </w:r>
    <w:r w:rsidR="003E14C0" w:rsidRPr="003E14C0">
      <w:rPr>
        <w:noProof/>
      </w:rPr>
      <w:t>2</w:t>
    </w:r>
    <w:r w:rsidRPr="003E14C0">
      <w:fldChar w:fldCharType="end"/>
    </w:r>
    <w:r w:rsidRPr="003E14C0">
      <w:t>/</w:t>
    </w:r>
    <w:fldSimple w:instr=" NUMPAGES  \* MERGEFORMAT ">
      <w:r w:rsidR="003E14C0" w:rsidRPr="003E14C0">
        <w:rPr>
          <w:noProof/>
        </w:rPr>
        <w:t>3</w:t>
      </w:r>
    </w:fldSimple>
    <w:r w:rsidRPr="003E14C0">
      <w:tab/>
    </w:r>
    <w:r w:rsidRPr="003E14C0">
      <w:rPr>
        <w:rStyle w:val="HideTWBExt"/>
      </w:rPr>
      <w:t>&lt;PathFdR&gt;</w:t>
    </w:r>
    <w:r w:rsidRPr="003E14C0">
      <w:t>RR\1298747RO.docx</w:t>
    </w:r>
    <w:r w:rsidRPr="003E14C0">
      <w:rPr>
        <w:rStyle w:val="HideTWBExt"/>
      </w:rPr>
      <w:t>&lt;/PathFdR&gt;</w:t>
    </w:r>
  </w:p>
  <w:p w:rsidR="000A2730" w:rsidRPr="003E14C0" w:rsidRDefault="000A2730" w:rsidP="00783E87">
    <w:pPr>
      <w:pStyle w:val="EPFooter2"/>
    </w:pPr>
    <w:r w:rsidRPr="003E14C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30" w:rsidRPr="003E14C0" w:rsidRDefault="000A2730" w:rsidP="00783E87">
    <w:pPr>
      <w:pStyle w:val="EPFooter"/>
    </w:pPr>
    <w:r w:rsidRPr="003E14C0">
      <w:rPr>
        <w:rStyle w:val="HideTWBExt"/>
      </w:rPr>
      <w:t>&lt;PathFdR&gt;</w:t>
    </w:r>
    <w:r w:rsidRPr="003E14C0">
      <w:t>RR\1298747RO.docx</w:t>
    </w:r>
    <w:r w:rsidRPr="003E14C0">
      <w:rPr>
        <w:rStyle w:val="HideTWBExt"/>
      </w:rPr>
      <w:t>&lt;/PathFdR&gt;</w:t>
    </w:r>
    <w:r w:rsidRPr="003E14C0">
      <w:tab/>
    </w:r>
    <w:r w:rsidRPr="003E14C0">
      <w:tab/>
      <w:t>PE</w:t>
    </w:r>
    <w:r w:rsidRPr="003E14C0">
      <w:rPr>
        <w:rStyle w:val="HideTWBExt"/>
      </w:rPr>
      <w:t>&lt;NoPE&gt;</w:t>
    </w:r>
    <w:r w:rsidRPr="003E14C0">
      <w:t>753.521</w:t>
    </w:r>
    <w:r w:rsidRPr="003E14C0">
      <w:rPr>
        <w:rStyle w:val="HideTWBExt"/>
      </w:rPr>
      <w:t>&lt;/NoPE&gt;&lt;Version&gt;</w:t>
    </w:r>
    <w:r w:rsidRPr="003E14C0">
      <w:t>v02-00</w:t>
    </w:r>
    <w:r w:rsidRPr="003E14C0">
      <w:rPr>
        <w:rStyle w:val="HideTWBExt"/>
      </w:rPr>
      <w:t>&lt;/Version&gt;</w:t>
    </w:r>
  </w:p>
  <w:p w:rsidR="000A2730" w:rsidRPr="003E14C0" w:rsidRDefault="000A2730" w:rsidP="00783E87">
    <w:pPr>
      <w:pStyle w:val="EPFooter2"/>
    </w:pPr>
    <w:r w:rsidRPr="003E14C0">
      <w:t>RO</w:t>
    </w:r>
    <w:r w:rsidRPr="003E14C0">
      <w:tab/>
    </w:r>
    <w:r w:rsidRPr="003E14C0">
      <w:rPr>
        <w:b w:val="0"/>
        <w:i/>
        <w:color w:val="C0C0C0"/>
        <w:sz w:val="22"/>
      </w:rPr>
      <w:t>Unită în diversitate</w:t>
    </w:r>
    <w:r w:rsidRPr="003E14C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4C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4C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4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782" w:rsidRPr="003E14C0" w:rsidRDefault="001C5782">
      <w:r w:rsidRPr="003E14C0">
        <w:separator/>
      </w:r>
    </w:p>
  </w:footnote>
  <w:footnote w:type="continuationSeparator" w:id="0">
    <w:p w:rsidR="001C5782" w:rsidRPr="003E14C0" w:rsidRDefault="001C5782">
      <w:r w:rsidRPr="003E14C0">
        <w:continuationSeparator/>
      </w:r>
    </w:p>
  </w:footnote>
  <w:footnote w:id="1">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C, C/2023/594, 27.10.2023.</w:t>
      </w:r>
    </w:p>
  </w:footnote>
  <w:footnote w:id="2">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C, C/2023/112, 12.10.2023.</w:t>
      </w:r>
    </w:p>
  </w:footnote>
  <w:footnote w:id="3">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L 193, 30.7.2018, p. 1.</w:t>
      </w:r>
    </w:p>
  </w:footnote>
  <w:footnote w:id="4">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L 331, 15.12.2010, p. 48</w:t>
      </w:r>
    </w:p>
  </w:footnote>
  <w:footnote w:id="5">
    <w:p w:rsidR="000A2730" w:rsidRPr="002D503F" w:rsidRDefault="000A2730" w:rsidP="003E14C0">
      <w:pPr>
        <w:pStyle w:val="FootnoteText"/>
        <w:ind w:left="567" w:hanging="567"/>
        <w:rPr>
          <w:sz w:val="24"/>
          <w:szCs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L 122, 10.5.2019, p. 1.</w:t>
      </w:r>
    </w:p>
  </w:footnote>
  <w:footnote w:id="6">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C, C/2023/594, 27.10.2023.</w:t>
      </w:r>
    </w:p>
  </w:footnote>
  <w:footnote w:id="7">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C, C/2023/112, 12.10.2023.</w:t>
      </w:r>
    </w:p>
  </w:footnote>
  <w:footnote w:id="8">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L 193, 30.7.2018, p. 1.</w:t>
      </w:r>
    </w:p>
  </w:footnote>
  <w:footnote w:id="9">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L 331, 15.12.2010, p. 48</w:t>
      </w:r>
    </w:p>
  </w:footnote>
  <w:footnote w:id="10">
    <w:p w:rsidR="000A2730" w:rsidRPr="002D503F" w:rsidRDefault="000A2730" w:rsidP="003E14C0">
      <w:pPr>
        <w:pStyle w:val="FootnoteText"/>
        <w:ind w:left="567" w:hanging="567"/>
        <w:rPr>
          <w:sz w:val="24"/>
          <w:szCs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L 122, 10.5.2019, p. 1.</w:t>
      </w:r>
    </w:p>
  </w:footnote>
  <w:footnote w:id="11">
    <w:p w:rsidR="000A2730" w:rsidRPr="002D503F"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JO C 38, 31.1.2023, p. 78.</w:t>
      </w:r>
    </w:p>
  </w:footnote>
  <w:footnote w:id="12">
    <w:p w:rsidR="000A2730" w:rsidRPr="003E14C0" w:rsidRDefault="000A2730" w:rsidP="003E14C0">
      <w:pPr>
        <w:pStyle w:val="FootnoteText"/>
        <w:ind w:left="567" w:hanging="567"/>
        <w:rPr>
          <w:sz w:val="24"/>
          <w:lang w:val="ro-RO"/>
        </w:rPr>
      </w:pPr>
      <w:r w:rsidRPr="002D503F">
        <w:rPr>
          <w:rStyle w:val="FootnoteReference"/>
          <w:sz w:val="24"/>
          <w:lang w:val="ro-RO"/>
        </w:rPr>
        <w:footnoteRef/>
      </w:r>
      <w:r w:rsidR="003E14C0" w:rsidRPr="002D503F">
        <w:rPr>
          <w:sz w:val="24"/>
          <w:lang w:val="ro-RO"/>
        </w:rPr>
        <w:t xml:space="preserve"> </w:t>
      </w:r>
      <w:r w:rsidR="003E14C0" w:rsidRPr="002D503F">
        <w:rPr>
          <w:sz w:val="24"/>
          <w:lang w:val="ro-RO"/>
        </w:rPr>
        <w:tab/>
      </w:r>
      <w:r w:rsidRPr="002D503F">
        <w:rPr>
          <w:sz w:val="24"/>
          <w:lang w:val="ro-RO"/>
        </w:rPr>
        <w:t>Texte adoptate, P9_TA(2024)</w:t>
      </w:r>
      <w:r w:rsidR="002D503F" w:rsidRPr="002D503F">
        <w:rPr>
          <w:sz w:val="24"/>
          <w:lang w:val="ro-RO"/>
        </w:rPr>
        <w:t>0280</w:t>
      </w:r>
      <w:r w:rsidRPr="002D503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4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4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14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RO"/>
    <w:docVar w:name="dvnumam" w:val="0"/>
    <w:docVar w:name="dvpe" w:val="753.521"/>
    <w:docVar w:name="dvrapporteur" w:val="Raportor: "/>
    <w:docVar w:name="dvtitre" w:val="1. Decizia Parlamentului European din 11 aprilie 2024 privind descărcarea de gestiune pentru execuția bugetului Autorității Europene de Asigurări și Pensii Ocupaționale aferent exercițiului financiar 2022(2023/2153(DEC))"/>
  </w:docVars>
  <w:rsids>
    <w:rsidRoot w:val="001C5782"/>
    <w:rsid w:val="00002272"/>
    <w:rsid w:val="00033DFC"/>
    <w:rsid w:val="00064002"/>
    <w:rsid w:val="000677B9"/>
    <w:rsid w:val="00071DF4"/>
    <w:rsid w:val="000831BA"/>
    <w:rsid w:val="000A2730"/>
    <w:rsid w:val="000A42CC"/>
    <w:rsid w:val="000E7DD9"/>
    <w:rsid w:val="0010095E"/>
    <w:rsid w:val="00125B37"/>
    <w:rsid w:val="00187494"/>
    <w:rsid w:val="001C5782"/>
    <w:rsid w:val="001F32AE"/>
    <w:rsid w:val="002767FF"/>
    <w:rsid w:val="002B18FE"/>
    <w:rsid w:val="002B5493"/>
    <w:rsid w:val="002D503F"/>
    <w:rsid w:val="00314716"/>
    <w:rsid w:val="00343214"/>
    <w:rsid w:val="00361C00"/>
    <w:rsid w:val="00395FA1"/>
    <w:rsid w:val="003E14C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CE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854AB5-88D1-42BD-9739-38AD3238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27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2730"/>
    <w:pPr>
      <w:spacing w:before="480" w:after="240"/>
    </w:pPr>
  </w:style>
  <w:style w:type="paragraph" w:customStyle="1" w:styleId="PageHeading">
    <w:name w:val="PageHeading"/>
    <w:basedOn w:val="Normal"/>
    <w:rsid w:val="000A2730"/>
    <w:pPr>
      <w:keepNext/>
      <w:spacing w:after="480"/>
      <w:jc w:val="center"/>
    </w:pPr>
    <w:rPr>
      <w:rFonts w:ascii="Arial" w:hAnsi="Arial" w:cs="Arial"/>
      <w:b/>
    </w:rPr>
  </w:style>
  <w:style w:type="paragraph" w:customStyle="1" w:styleId="NormalBold">
    <w:name w:val="NormalBold"/>
    <w:basedOn w:val="Normal"/>
    <w:rsid w:val="000A2730"/>
    <w:rPr>
      <w:b/>
    </w:rPr>
  </w:style>
  <w:style w:type="paragraph" w:customStyle="1" w:styleId="NormalHanging12a">
    <w:name w:val="NormalHanging12a"/>
    <w:basedOn w:val="Normal"/>
    <w:link w:val="NormalHanging12aChar"/>
    <w:rsid w:val="000A2730"/>
    <w:pPr>
      <w:spacing w:after="240"/>
      <w:ind w:left="567" w:hanging="567"/>
    </w:pPr>
  </w:style>
  <w:style w:type="paragraph" w:customStyle="1" w:styleId="NormalCenter12a">
    <w:name w:val="NormalCenter12a"/>
    <w:basedOn w:val="Normal"/>
    <w:rsid w:val="000A2730"/>
    <w:pPr>
      <w:spacing w:after="240"/>
      <w:jc w:val="center"/>
    </w:pPr>
  </w:style>
  <w:style w:type="paragraph" w:styleId="Header">
    <w:name w:val="header"/>
    <w:basedOn w:val="Normal"/>
    <w:link w:val="HeaderChar"/>
    <w:rsid w:val="000A2730"/>
    <w:pPr>
      <w:tabs>
        <w:tab w:val="center" w:pos="4513"/>
        <w:tab w:val="right" w:pos="9026"/>
      </w:tabs>
    </w:pPr>
  </w:style>
  <w:style w:type="character" w:customStyle="1" w:styleId="HeaderChar">
    <w:name w:val="Header Char"/>
    <w:basedOn w:val="DefaultParagraphFont"/>
    <w:link w:val="Header"/>
    <w:rsid w:val="000A2730"/>
    <w:rPr>
      <w:sz w:val="24"/>
      <w:lang w:val="ro-RO"/>
    </w:rPr>
  </w:style>
  <w:style w:type="paragraph" w:customStyle="1" w:styleId="EPFooter">
    <w:name w:val="EPFooter"/>
    <w:basedOn w:val="Normal"/>
    <w:rsid w:val="000A2730"/>
    <w:pPr>
      <w:tabs>
        <w:tab w:val="center" w:pos="4535"/>
        <w:tab w:val="right" w:pos="9071"/>
      </w:tabs>
      <w:spacing w:before="240" w:after="240"/>
    </w:pPr>
    <w:rPr>
      <w:color w:val="010000"/>
      <w:sz w:val="22"/>
    </w:rPr>
  </w:style>
  <w:style w:type="paragraph" w:customStyle="1" w:styleId="Normal24a">
    <w:name w:val="Normal24a"/>
    <w:basedOn w:val="Normal"/>
    <w:rsid w:val="000A2730"/>
    <w:pPr>
      <w:spacing w:after="480"/>
    </w:pPr>
  </w:style>
  <w:style w:type="character" w:customStyle="1" w:styleId="NormalHanging12aChar">
    <w:name w:val="NormalHanging12a Char"/>
    <w:basedOn w:val="DefaultParagraphFont"/>
    <w:link w:val="NormalHanging12a"/>
    <w:rsid w:val="000A2730"/>
    <w:rPr>
      <w:sz w:val="24"/>
      <w:lang w:val="ro-RO"/>
    </w:rPr>
  </w:style>
  <w:style w:type="paragraph" w:customStyle="1" w:styleId="Normal12a">
    <w:name w:val="Normal12a"/>
    <w:basedOn w:val="Normal"/>
    <w:rsid w:val="000A2730"/>
    <w:pPr>
      <w:spacing w:after="240"/>
    </w:pPr>
  </w:style>
  <w:style w:type="paragraph" w:customStyle="1" w:styleId="RollCallVotes">
    <w:name w:val="RollCallVotes"/>
    <w:basedOn w:val="Normal"/>
    <w:rsid w:val="000A2730"/>
    <w:pPr>
      <w:spacing w:before="120" w:after="120"/>
      <w:jc w:val="center"/>
    </w:pPr>
    <w:rPr>
      <w:b/>
      <w:bCs/>
      <w:snapToGrid w:val="0"/>
      <w:sz w:val="16"/>
      <w:lang w:eastAsia="en-US"/>
    </w:rPr>
  </w:style>
  <w:style w:type="paragraph" w:customStyle="1" w:styleId="RollCallTabs">
    <w:name w:val="RollCallTabs"/>
    <w:basedOn w:val="Normal"/>
    <w:qFormat/>
    <w:rsid w:val="000A2730"/>
    <w:pPr>
      <w:tabs>
        <w:tab w:val="center" w:pos="284"/>
        <w:tab w:val="left" w:pos="426"/>
      </w:tabs>
    </w:pPr>
    <w:rPr>
      <w:snapToGrid w:val="0"/>
      <w:lang w:eastAsia="en-US"/>
    </w:rPr>
  </w:style>
  <w:style w:type="paragraph" w:customStyle="1" w:styleId="RollCallSymbols14pt">
    <w:name w:val="RollCallSymbols14pt"/>
    <w:basedOn w:val="Normal"/>
    <w:rsid w:val="000A2730"/>
    <w:pPr>
      <w:spacing w:before="120" w:after="120"/>
      <w:jc w:val="center"/>
    </w:pPr>
    <w:rPr>
      <w:rFonts w:ascii="Arial" w:hAnsi="Arial"/>
      <w:b/>
      <w:bCs/>
      <w:snapToGrid w:val="0"/>
      <w:sz w:val="28"/>
      <w:lang w:eastAsia="en-US"/>
    </w:rPr>
  </w:style>
  <w:style w:type="paragraph" w:customStyle="1" w:styleId="RollCallTable">
    <w:name w:val="RollCallTable"/>
    <w:basedOn w:val="Normal"/>
    <w:rsid w:val="000A2730"/>
    <w:pPr>
      <w:spacing w:before="120" w:after="120"/>
    </w:pPr>
    <w:rPr>
      <w:snapToGrid w:val="0"/>
      <w:sz w:val="16"/>
      <w:lang w:eastAsia="en-US"/>
    </w:rPr>
  </w:style>
  <w:style w:type="paragraph" w:styleId="Footer">
    <w:name w:val="footer"/>
    <w:basedOn w:val="Normal"/>
    <w:link w:val="FooterChar"/>
    <w:rsid w:val="009A6CEA"/>
    <w:pPr>
      <w:tabs>
        <w:tab w:val="center" w:pos="4513"/>
        <w:tab w:val="right" w:pos="9026"/>
      </w:tabs>
    </w:pPr>
  </w:style>
  <w:style w:type="character" w:customStyle="1" w:styleId="FooterChar">
    <w:name w:val="Footer Char"/>
    <w:basedOn w:val="DefaultParagraphFont"/>
    <w:link w:val="Footer"/>
    <w:rsid w:val="009A6CEA"/>
    <w:rPr>
      <w:sz w:val="24"/>
      <w:lang w:val="ro-RO"/>
    </w:rPr>
  </w:style>
  <w:style w:type="paragraph" w:styleId="BalloonText">
    <w:name w:val="Balloon Text"/>
    <w:basedOn w:val="Normal"/>
    <w:link w:val="BalloonTextChar"/>
    <w:rsid w:val="00033DFC"/>
    <w:rPr>
      <w:rFonts w:ascii="Segoe UI" w:hAnsi="Segoe UI" w:cs="Segoe UI"/>
      <w:sz w:val="18"/>
      <w:szCs w:val="18"/>
    </w:rPr>
  </w:style>
  <w:style w:type="character" w:customStyle="1" w:styleId="BalloonTextChar">
    <w:name w:val="Balloon Text Char"/>
    <w:basedOn w:val="DefaultParagraphFont"/>
    <w:link w:val="BalloonText"/>
    <w:rsid w:val="00033DF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31647-8425-421F-B513-2AA375BE0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3668</Words>
  <Characters>22040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2024-04-11T16:12:00Z</dcterms:created>
  <dcterms:modified xsi:type="dcterms:W3CDTF">2024-04-11T16:12:00Z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A9-0097/2024</vt:lpwstr>
  </property>
  <property fmtid="{D5CDD505-2E9C-101B-9397-08002B2CF9AE}" pid="4" name="&lt;Type&gt;">
    <vt:lpwstr>RR</vt:lpwstr>
  </property>
</Properties>
</file>