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751A4A" w:rsidRPr="007F1287" w:rsidTr="0010095E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:rsidR="00751A4A" w:rsidRPr="007F1287" w:rsidRDefault="00280699" w:rsidP="0010095E">
            <w:pPr>
              <w:pStyle w:val="EPName"/>
            </w:pPr>
            <w:r w:rsidRPr="007F1287">
              <w:t>Európsky parlament</w:t>
            </w:r>
          </w:p>
          <w:p w:rsidR="00751A4A" w:rsidRPr="007F1287" w:rsidRDefault="00817416" w:rsidP="00756632">
            <w:pPr>
              <w:pStyle w:val="EPTerm"/>
              <w:rPr>
                <w:rStyle w:val="HideTWBExt"/>
                <w:noProof w:val="0"/>
                <w:vanish w:val="0"/>
                <w:color w:val="auto"/>
              </w:rPr>
            </w:pPr>
            <w:r w:rsidRPr="007F1287">
              <w:t>2019-2024</w:t>
            </w:r>
          </w:p>
        </w:tc>
        <w:tc>
          <w:tcPr>
            <w:tcW w:w="2268" w:type="dxa"/>
            <w:shd w:val="clear" w:color="auto" w:fill="auto"/>
          </w:tcPr>
          <w:p w:rsidR="00751A4A" w:rsidRPr="007F1287" w:rsidRDefault="00187494" w:rsidP="0010095E">
            <w:pPr>
              <w:pStyle w:val="EPLogo"/>
            </w:pPr>
            <w:r w:rsidRPr="007F1287">
              <w:rPr>
                <w:noProof/>
                <w:lang w:val="en-GB"/>
              </w:rPr>
              <w:drawing>
                <wp:inline distT="0" distB="0" distL="0" distR="0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058B8" w:rsidRPr="007F1287" w:rsidRDefault="00D058B8" w:rsidP="004C5D52">
      <w:pPr>
        <w:pStyle w:val="LineTop"/>
      </w:pPr>
    </w:p>
    <w:p w:rsidR="00680577" w:rsidRPr="007F1287" w:rsidRDefault="00280699" w:rsidP="00680577">
      <w:pPr>
        <w:pStyle w:val="EPBodyTA1"/>
      </w:pPr>
      <w:r w:rsidRPr="007F1287">
        <w:t>PRIJATÉ TEXTY</w:t>
      </w:r>
    </w:p>
    <w:p w:rsidR="00D058B8" w:rsidRPr="007F1287" w:rsidRDefault="00D058B8" w:rsidP="00D058B8">
      <w:pPr>
        <w:pStyle w:val="LineBottom"/>
      </w:pPr>
    </w:p>
    <w:p w:rsidR="00280699" w:rsidRPr="007F1287" w:rsidRDefault="00280699" w:rsidP="00280699">
      <w:pPr>
        <w:pStyle w:val="ATHeading1"/>
      </w:pPr>
      <w:bookmarkStart w:id="0" w:name="TANumber"/>
      <w:r w:rsidRPr="007F1287">
        <w:t>P9_TA(2024)0</w:t>
      </w:r>
      <w:r w:rsidR="007F1287" w:rsidRPr="007F1287">
        <w:t>263</w:t>
      </w:r>
      <w:bookmarkEnd w:id="0"/>
    </w:p>
    <w:p w:rsidR="00280699" w:rsidRPr="007F1287" w:rsidRDefault="00280699" w:rsidP="00280699">
      <w:pPr>
        <w:pStyle w:val="ATHeading2"/>
      </w:pPr>
      <w:bookmarkStart w:id="1" w:name="title"/>
      <w:r w:rsidRPr="007F1287">
        <w:t>Absolutórium za rok 2022: Európsky orgán pre poisťovníctvo a dôchodkové poistenie zamestnancov</w:t>
      </w:r>
      <w:bookmarkEnd w:id="1"/>
    </w:p>
    <w:p w:rsidR="00280699" w:rsidRPr="007F1287" w:rsidRDefault="00280699" w:rsidP="00280699">
      <w:pPr>
        <w:rPr>
          <w:i/>
          <w:vanish/>
        </w:rPr>
      </w:pPr>
      <w:r w:rsidRPr="007F1287">
        <w:rPr>
          <w:i/>
        </w:rPr>
        <w:fldChar w:fldCharType="begin"/>
      </w:r>
      <w:r w:rsidRPr="007F1287">
        <w:rPr>
          <w:i/>
        </w:rPr>
        <w:instrText xml:space="preserve"> TC"(</w:instrText>
      </w:r>
      <w:bookmarkStart w:id="2" w:name="DocNumber"/>
      <w:r w:rsidRPr="007F1287">
        <w:rPr>
          <w:i/>
        </w:rPr>
        <w:instrText>A9-0097/2024</w:instrText>
      </w:r>
      <w:bookmarkEnd w:id="2"/>
      <w:r w:rsidRPr="007F1287">
        <w:rPr>
          <w:i/>
        </w:rPr>
        <w:instrText xml:space="preserve"> - Spravodajca: Petri Sarvamaa)"\l3 \n&gt; \* MERGEFORMAT </w:instrText>
      </w:r>
      <w:r w:rsidRPr="007F1287">
        <w:rPr>
          <w:i/>
        </w:rPr>
        <w:fldChar w:fldCharType="end"/>
      </w:r>
    </w:p>
    <w:p w:rsidR="00280699" w:rsidRPr="007F1287" w:rsidRDefault="00280699" w:rsidP="00280699">
      <w:pPr>
        <w:rPr>
          <w:vanish/>
        </w:rPr>
      </w:pPr>
      <w:bookmarkStart w:id="3" w:name="Commission"/>
      <w:r w:rsidRPr="007F1287">
        <w:rPr>
          <w:vanish/>
        </w:rPr>
        <w:t>Výbor pre kontrolu rozpočtu</w:t>
      </w:r>
      <w:bookmarkEnd w:id="3"/>
    </w:p>
    <w:p w:rsidR="00280699" w:rsidRPr="007F1287" w:rsidRDefault="00280699" w:rsidP="00280699">
      <w:pPr>
        <w:rPr>
          <w:vanish/>
        </w:rPr>
      </w:pPr>
      <w:bookmarkStart w:id="4" w:name="PE"/>
      <w:r w:rsidRPr="007F1287">
        <w:rPr>
          <w:vanish/>
        </w:rPr>
        <w:t>PE753.521</w:t>
      </w:r>
      <w:bookmarkEnd w:id="4"/>
    </w:p>
    <w:p w:rsidR="00280699" w:rsidRPr="007F1287" w:rsidRDefault="009B2BA1" w:rsidP="00280699">
      <w:pPr>
        <w:pStyle w:val="ATHeading3"/>
      </w:pPr>
      <w:bookmarkStart w:id="5" w:name="Sujet"/>
      <w:r w:rsidRPr="007F1287">
        <w:t>1. R</w:t>
      </w:r>
      <w:r w:rsidR="00280699" w:rsidRPr="007F1287">
        <w:t>ozhodnutie Európskeho parlamentu z</w:t>
      </w:r>
      <w:r w:rsidR="005A4ABA" w:rsidRPr="007F1287">
        <w:t> 11</w:t>
      </w:r>
      <w:r w:rsidR="00280699" w:rsidRPr="007F1287">
        <w:t>. apríla 2024 o absolutóriu za plnenie rozpočtu Európskeho orgánu pre poisťovníctvo a dôchodkové poistenie zamestnancov za rozpočtový rok 2022</w:t>
      </w:r>
      <w:bookmarkEnd w:id="5"/>
      <w:r w:rsidR="00280699" w:rsidRPr="007F1287">
        <w:t xml:space="preserve"> </w:t>
      </w:r>
      <w:bookmarkStart w:id="6" w:name="References"/>
      <w:r w:rsidR="00280699" w:rsidRPr="007F1287">
        <w:t>(2023/2153(DEC))</w:t>
      </w:r>
      <w:bookmarkEnd w:id="6"/>
    </w:p>
    <w:p w:rsidR="003539C0" w:rsidRPr="007F1287" w:rsidRDefault="003539C0" w:rsidP="003539C0">
      <w:pPr>
        <w:pStyle w:val="EPComma"/>
      </w:pPr>
      <w:bookmarkStart w:id="7" w:name="TextBodyBegin"/>
      <w:bookmarkEnd w:id="7"/>
      <w:r w:rsidRPr="007F1287">
        <w:rPr>
          <w:i/>
          <w:iCs/>
        </w:rPr>
        <w:t>Európsky parlament</w:t>
      </w:r>
      <w:r w:rsidRPr="007F1287">
        <w:t>,</w:t>
      </w:r>
    </w:p>
    <w:p w:rsidR="003539C0" w:rsidRPr="007F1287" w:rsidRDefault="003539C0" w:rsidP="003539C0">
      <w:pPr>
        <w:pStyle w:val="NormalHanging12a"/>
      </w:pPr>
      <w:r w:rsidRPr="007F1287">
        <w:t>–</w:t>
      </w:r>
      <w:r w:rsidRPr="007F1287">
        <w:tab/>
        <w:t>so zreteľom na konečnú ročnú účtovnú závierku Európskeho orgánu pre poisťovníctvo a dôchodkové poistenie zamestnancov za rozpočtový rok 2022,</w:t>
      </w:r>
    </w:p>
    <w:p w:rsidR="003539C0" w:rsidRPr="007F1287" w:rsidRDefault="003539C0" w:rsidP="003539C0">
      <w:pPr>
        <w:pStyle w:val="NormalHanging12a"/>
      </w:pPr>
      <w:r w:rsidRPr="007F1287">
        <w:t>–</w:t>
      </w:r>
      <w:r w:rsidRPr="007F1287">
        <w:tab/>
        <w:t>so zreteľom na výročnú správu Dvora audítorov o agentúrach EÚ za rozpočtový rok 2022 spolu s odpoveďami agentúr</w:t>
      </w:r>
      <w:r w:rsidRPr="007F1287">
        <w:rPr>
          <w:rStyle w:val="FootnoteReference"/>
        </w:rPr>
        <w:footnoteReference w:id="1"/>
      </w:r>
      <w:r w:rsidRPr="007F1287">
        <w:t>,</w:t>
      </w:r>
    </w:p>
    <w:p w:rsidR="003539C0" w:rsidRPr="007F1287" w:rsidRDefault="003539C0" w:rsidP="003539C0">
      <w:pPr>
        <w:pStyle w:val="NormalHanging12a"/>
      </w:pPr>
      <w:r w:rsidRPr="007F1287">
        <w:t>–</w:t>
      </w:r>
      <w:r w:rsidRPr="007F1287">
        <w:tab/>
        <w:t>so zreteľom na vyhlásenie o vierohodnosti</w:t>
      </w:r>
      <w:r w:rsidRPr="007F1287">
        <w:rPr>
          <w:rStyle w:val="FootnoteReference"/>
        </w:rPr>
        <w:footnoteReference w:id="2"/>
      </w:r>
      <w:r w:rsidRPr="007F1287">
        <w:t xml:space="preserve"> týkajúce sa spoľahlivosti účtov a zákonnosti a správnosti príslušných operácií, ktoré poskytol Dvor audítorov za rozpočtový rok 2022 v súlade s článkom 287 Zmluvy o fungovaní Európskej únie,</w:t>
      </w:r>
    </w:p>
    <w:p w:rsidR="003539C0" w:rsidRPr="007F1287" w:rsidRDefault="003539C0" w:rsidP="003539C0">
      <w:pPr>
        <w:pStyle w:val="NormalHanging12a"/>
      </w:pPr>
      <w:r w:rsidRPr="007F1287">
        <w:t>–</w:t>
      </w:r>
      <w:r w:rsidRPr="007F1287">
        <w:tab/>
        <w:t>so zreteľom na odporúčanie Rady z 22. februára 2024 o udelení absolutória orgánu za plnenie rozpočtu za rozpočtový rok 2022 (</w:t>
      </w:r>
      <w:r w:rsidR="005A4ABA" w:rsidRPr="007F1287">
        <w:t>06180</w:t>
      </w:r>
      <w:r w:rsidRPr="007F1287">
        <w:t>/2024 – C9</w:t>
      </w:r>
      <w:r w:rsidRPr="007F1287">
        <w:noBreakHyphen/>
      </w:r>
      <w:r w:rsidR="005A4ABA" w:rsidRPr="007F1287">
        <w:t>0091</w:t>
      </w:r>
      <w:r w:rsidRPr="007F1287">
        <w:t>/2024),</w:t>
      </w:r>
    </w:p>
    <w:p w:rsidR="003539C0" w:rsidRPr="007F1287" w:rsidRDefault="003539C0" w:rsidP="003539C0">
      <w:pPr>
        <w:pStyle w:val="NormalHanging12a"/>
      </w:pPr>
      <w:r w:rsidRPr="007F1287">
        <w:t>–</w:t>
      </w:r>
      <w:r w:rsidRPr="007F1287">
        <w:tab/>
        <w:t>so zreteľom na článok 319 Zmluvy o fungovaní Európskej únie,</w:t>
      </w:r>
    </w:p>
    <w:p w:rsidR="003539C0" w:rsidRPr="007F1287" w:rsidRDefault="003539C0" w:rsidP="003539C0">
      <w:pPr>
        <w:pStyle w:val="NormalHanging12a"/>
      </w:pPr>
      <w:r w:rsidRPr="007F1287">
        <w:t>–</w:t>
      </w:r>
      <w:r w:rsidRPr="007F1287">
        <w:tab/>
        <w:t xml:space="preserve">so zreteľom na nariadenie Európskeho parlamentu a Rady (EÚ, </w:t>
      </w:r>
      <w:proofErr w:type="spellStart"/>
      <w:r w:rsidRPr="007F1287">
        <w:t>Euratom</w:t>
      </w:r>
      <w:proofErr w:type="spellEnd"/>
      <w:r w:rsidRPr="007F1287">
        <w:t xml:space="preserve">) 2018/1046 z 18. júla 2018 o rozpočtových pravidlách, ktoré sa vzťahujú na všeobecný rozpočet Únie, o zmene nariadení (EÚ) č. 1296/2013, (EÚ) č. 1301/2013, (EÚ) č. 1303/2013, (EÚ) č. 1304/2013, (EÚ) č. 1309/2013, (EÚ) č. 1316/2013, (EÚ) č. 223/2014, (EÚ) č. 283/2014 a rozhodnutia č. 541/2014/EÚ a o zrušení nariadenia (EÚ, </w:t>
      </w:r>
      <w:proofErr w:type="spellStart"/>
      <w:r w:rsidRPr="007F1287">
        <w:t>Euratom</w:t>
      </w:r>
      <w:proofErr w:type="spellEnd"/>
      <w:r w:rsidRPr="007F1287">
        <w:t>) č. 966/2012</w:t>
      </w:r>
      <w:r w:rsidRPr="007F1287">
        <w:rPr>
          <w:rStyle w:val="FootnoteReference"/>
        </w:rPr>
        <w:footnoteReference w:id="3"/>
      </w:r>
      <w:r w:rsidRPr="007F1287">
        <w:t>, a najmä na jeho článok 70,</w:t>
      </w:r>
    </w:p>
    <w:p w:rsidR="003539C0" w:rsidRPr="007F1287" w:rsidRDefault="003539C0" w:rsidP="003539C0">
      <w:pPr>
        <w:pStyle w:val="NormalHanging12a"/>
      </w:pPr>
      <w:r w:rsidRPr="007F1287">
        <w:t>–</w:t>
      </w:r>
      <w:r w:rsidRPr="007F1287">
        <w:tab/>
        <w:t>so zreteľom na nariadenie Európskeho parlamentu a Rady (EÚ) č. 1094/2010 z 24. novembra 2010, ktorým sa zriaďuje Európsky orgán dohľadu (Európsky orgán pre poisťovníctvo a dôchodkové poistenie zamestnancov) a ktorým sa mení a dopĺňa rozhodnutie č. 716/2009/ES a zrušuje rozhodnutie Komisie 2009/79/ES</w:t>
      </w:r>
      <w:r w:rsidRPr="007F1287">
        <w:rPr>
          <w:rStyle w:val="FootnoteReference"/>
        </w:rPr>
        <w:footnoteReference w:id="4"/>
      </w:r>
      <w:r w:rsidRPr="007F1287">
        <w:t xml:space="preserve">, a najmä na </w:t>
      </w:r>
      <w:r w:rsidRPr="007F1287">
        <w:lastRenderedPageBreak/>
        <w:t>jeho článok 64,</w:t>
      </w:r>
    </w:p>
    <w:p w:rsidR="003539C0" w:rsidRPr="007F1287" w:rsidRDefault="003539C0" w:rsidP="003539C0">
      <w:pPr>
        <w:pStyle w:val="NormalHanging12a"/>
      </w:pPr>
      <w:r w:rsidRPr="007F1287">
        <w:t>–</w:t>
      </w:r>
      <w:r w:rsidRPr="007F1287">
        <w:tab/>
        <w:t xml:space="preserve">so zreteľom na delegované nariadenie Komisie (EÚ) 2019/715 z 18. decembra 2018 o rámcovom nariadení o rozpočtových pravidlách pre subjekty zriadené podľa Zmluvy o fungovaní Európskej únie a Zmluvy o </w:t>
      </w:r>
      <w:proofErr w:type="spellStart"/>
      <w:r w:rsidRPr="007F1287">
        <w:t>Euratome</w:t>
      </w:r>
      <w:proofErr w:type="spellEnd"/>
      <w:r w:rsidRPr="007F1287">
        <w:t xml:space="preserve"> a uvedené v článku 70 nariadenia Európskeho parlamentu a Rady (EÚ, </w:t>
      </w:r>
      <w:proofErr w:type="spellStart"/>
      <w:r w:rsidRPr="007F1287">
        <w:t>Euratom</w:t>
      </w:r>
      <w:proofErr w:type="spellEnd"/>
      <w:r w:rsidRPr="007F1287">
        <w:t>) 2018/1046</w:t>
      </w:r>
      <w:r w:rsidRPr="007F1287">
        <w:rPr>
          <w:rStyle w:val="FootnoteReference"/>
        </w:rPr>
        <w:footnoteReference w:id="5"/>
      </w:r>
      <w:r w:rsidRPr="007F1287">
        <w:t>, a najmä na jeho článok 105,</w:t>
      </w:r>
    </w:p>
    <w:p w:rsidR="003539C0" w:rsidRPr="007F1287" w:rsidRDefault="003539C0" w:rsidP="003539C0">
      <w:pPr>
        <w:pStyle w:val="NormalHanging12a"/>
      </w:pPr>
      <w:r w:rsidRPr="007F1287">
        <w:t>–</w:t>
      </w:r>
      <w:r w:rsidRPr="007F1287">
        <w:tab/>
        <w:t>so zreteľom na článok 100 a prílohu V k rokovaciemu poriadku,</w:t>
      </w:r>
    </w:p>
    <w:p w:rsidR="003539C0" w:rsidRPr="007F1287" w:rsidRDefault="003539C0" w:rsidP="003539C0">
      <w:pPr>
        <w:pStyle w:val="NormalHanging12a"/>
      </w:pPr>
      <w:r w:rsidRPr="007F1287">
        <w:t>–</w:t>
      </w:r>
      <w:r w:rsidRPr="007F1287">
        <w:tab/>
        <w:t>so zreteľom na správu Výboru pre kontrolu rozpočtu (A9-0097/2024),</w:t>
      </w:r>
    </w:p>
    <w:p w:rsidR="003539C0" w:rsidRPr="007F1287" w:rsidRDefault="003539C0" w:rsidP="003539C0">
      <w:pPr>
        <w:pStyle w:val="NormalHanging12a"/>
      </w:pPr>
      <w:r w:rsidRPr="007F1287">
        <w:t>1.</w:t>
      </w:r>
      <w:r w:rsidRPr="007F1287">
        <w:tab/>
        <w:t>udeľuje absolutórium výkonnému riaditeľovi Európskeho orgánu pre poisťovníctvo a dôchodkové poistenie zamestnancov za plnenie rozpočtu orgánu za rozpočtový rok 2022;</w:t>
      </w:r>
    </w:p>
    <w:p w:rsidR="003539C0" w:rsidRPr="007F1287" w:rsidRDefault="003539C0" w:rsidP="003539C0">
      <w:pPr>
        <w:pStyle w:val="NormalHanging12a"/>
      </w:pPr>
      <w:r w:rsidRPr="007F1287">
        <w:t>2.</w:t>
      </w:r>
      <w:r w:rsidRPr="007F1287">
        <w:tab/>
        <w:t>uvádza svoje poznámky v priloženom uznesení;</w:t>
      </w:r>
    </w:p>
    <w:p w:rsidR="003539C0" w:rsidRPr="007F1287" w:rsidRDefault="003539C0" w:rsidP="003539C0">
      <w:pPr>
        <w:pStyle w:val="NormalHanging12a"/>
      </w:pPr>
      <w:r w:rsidRPr="007F1287">
        <w:t>3.</w:t>
      </w:r>
      <w:r w:rsidRPr="007F1287">
        <w:tab/>
        <w:t>poveruje svoju predsedníčku, aby postúpila toto rozhodnutie a uznesenie, ktoré je jeho neoddeliteľnou súčasťou, výkonnému riaditeľovi Európskeho orgánu pre poisťovníctvo a dôchodkové poistenie zamestnancov, Rade, Komisii a Dvoru audítorov a aby zabezpečila ich uverejnenie v </w:t>
      </w:r>
      <w:r w:rsidRPr="007F1287">
        <w:rPr>
          <w:i/>
        </w:rPr>
        <w:t>Úradnom vestníku Európskej únie</w:t>
      </w:r>
      <w:r w:rsidRPr="007F1287">
        <w:t xml:space="preserve"> (v sérii L).</w:t>
      </w:r>
    </w:p>
    <w:p w:rsidR="003539C0" w:rsidRPr="007F1287" w:rsidRDefault="003539C0" w:rsidP="003539C0"/>
    <w:p w:rsidR="003539C0" w:rsidRPr="007F1287" w:rsidRDefault="003539C0" w:rsidP="003539C0">
      <w:pPr>
        <w:widowControl/>
        <w:rPr>
          <w:rFonts w:ascii="Arial" w:hAnsi="Arial" w:cs="Arial"/>
          <w:b/>
        </w:rPr>
        <w:sectPr w:rsidR="003539C0" w:rsidRPr="007F1287" w:rsidSect="00004417">
          <w:footerReference w:type="even" r:id="rId9"/>
          <w:footerReference w:type="first" r:id="rId10"/>
          <w:footnotePr>
            <w:numRestart w:val="eachPage"/>
          </w:footnotePr>
          <w:endnotePr>
            <w:numFmt w:val="decimal"/>
          </w:endnotePr>
          <w:pgSz w:w="11906" w:h="16838"/>
          <w:pgMar w:top="1134" w:right="1418" w:bottom="1418" w:left="1418" w:header="1134" w:footer="567" w:gutter="0"/>
          <w:cols w:space="720"/>
          <w:docGrid w:linePitch="326"/>
        </w:sectPr>
      </w:pPr>
    </w:p>
    <w:p w:rsidR="003539C0" w:rsidRPr="007F1287" w:rsidRDefault="003539C0" w:rsidP="009B2BA1">
      <w:pPr>
        <w:pStyle w:val="ATHeading3"/>
      </w:pPr>
      <w:bookmarkStart w:id="8" w:name="_Toc146789945"/>
      <w:bookmarkStart w:id="9" w:name="_Toc161929791"/>
      <w:r w:rsidRPr="007F1287">
        <w:lastRenderedPageBreak/>
        <w:t xml:space="preserve">2. </w:t>
      </w:r>
      <w:bookmarkEnd w:id="8"/>
      <w:bookmarkEnd w:id="9"/>
      <w:r w:rsidR="009B2BA1" w:rsidRPr="007F1287">
        <w:t>Rozhodnutie Európskeho parlamentu z</w:t>
      </w:r>
      <w:r w:rsidR="00563CEF" w:rsidRPr="007F1287">
        <w:t> 11</w:t>
      </w:r>
      <w:r w:rsidR="009B2BA1" w:rsidRPr="007F1287">
        <w:t xml:space="preserve">. apríla 2024 </w:t>
      </w:r>
      <w:r w:rsidRPr="007F1287">
        <w:t>o účtovnej závierke Európskeho orgánu pre poisťovníctvo a dôchodkové poistenie zamestnancov za rozpočtový rok 2022</w:t>
      </w:r>
      <w:r w:rsidR="009B2BA1" w:rsidRPr="007F1287">
        <w:t xml:space="preserve"> </w:t>
      </w:r>
      <w:r w:rsidRPr="007F1287">
        <w:t>(2023/2153(DEC))</w:t>
      </w:r>
    </w:p>
    <w:p w:rsidR="003539C0" w:rsidRPr="007F1287" w:rsidRDefault="003539C0" w:rsidP="003539C0">
      <w:pPr>
        <w:pStyle w:val="EPComma"/>
      </w:pPr>
      <w:r w:rsidRPr="007F1287">
        <w:rPr>
          <w:i/>
          <w:iCs/>
        </w:rPr>
        <w:t>Európsky parlament</w:t>
      </w:r>
      <w:r w:rsidRPr="007F1287">
        <w:t>,</w:t>
      </w:r>
    </w:p>
    <w:p w:rsidR="003539C0" w:rsidRPr="007F1287" w:rsidRDefault="003539C0" w:rsidP="003539C0">
      <w:pPr>
        <w:pStyle w:val="NormalHanging12a"/>
      </w:pPr>
      <w:r w:rsidRPr="007F1287">
        <w:t>–</w:t>
      </w:r>
      <w:r w:rsidRPr="007F1287">
        <w:tab/>
        <w:t>so zreteľom na konečnú ročnú účtovnú závierku Európskeho orgánu pre poisťovníctvo a dôchodkové poistenie zamestnancov za rozpočtový rok 2022,</w:t>
      </w:r>
    </w:p>
    <w:p w:rsidR="003539C0" w:rsidRPr="007F1287" w:rsidRDefault="003539C0" w:rsidP="003539C0">
      <w:pPr>
        <w:pStyle w:val="NormalHanging12a"/>
      </w:pPr>
      <w:r w:rsidRPr="007F1287">
        <w:t>–</w:t>
      </w:r>
      <w:r w:rsidRPr="007F1287">
        <w:tab/>
        <w:t>so zreteľom na výročnú správu Dvora audítorov o agentúrach EÚ za rozpočtový rok 2022 spolu s odpoveďami agentúr</w:t>
      </w:r>
      <w:r w:rsidRPr="007F1287">
        <w:rPr>
          <w:rStyle w:val="FootnoteReference"/>
        </w:rPr>
        <w:footnoteReference w:id="6"/>
      </w:r>
      <w:r w:rsidRPr="007F1287">
        <w:t>,</w:t>
      </w:r>
    </w:p>
    <w:p w:rsidR="003539C0" w:rsidRPr="007F1287" w:rsidRDefault="003539C0" w:rsidP="003539C0">
      <w:pPr>
        <w:pStyle w:val="NormalHanging12a"/>
      </w:pPr>
      <w:r w:rsidRPr="007F1287">
        <w:t>–</w:t>
      </w:r>
      <w:r w:rsidRPr="007F1287">
        <w:tab/>
        <w:t>so zreteľom na vyhlásenie o vierohodnosti</w:t>
      </w:r>
      <w:r w:rsidRPr="007F1287">
        <w:rPr>
          <w:rStyle w:val="FootnoteReference"/>
        </w:rPr>
        <w:footnoteReference w:id="7"/>
      </w:r>
      <w:r w:rsidRPr="007F1287">
        <w:t xml:space="preserve"> týkajúce sa spoľahlivosti účtov a zákonnosti a správnosti príslušných operácií, ktoré poskytol Dvor audítorov za rozpočtový rok 2022 v súlade s článkom 287 Zmluvy o fungovaní Európskej únie,</w:t>
      </w:r>
    </w:p>
    <w:p w:rsidR="003539C0" w:rsidRPr="007F1287" w:rsidRDefault="003539C0" w:rsidP="003539C0">
      <w:pPr>
        <w:pStyle w:val="NormalHanging12a"/>
      </w:pPr>
      <w:r w:rsidRPr="007F1287">
        <w:t>–</w:t>
      </w:r>
      <w:r w:rsidRPr="007F1287">
        <w:tab/>
        <w:t>so zreteľom na odporúčanie Rady z 22. februára 2024 o udelení absolutória orgánu za plnenie rozpočtu za rozpočtový rok 2022 (</w:t>
      </w:r>
      <w:r w:rsidR="00563CEF" w:rsidRPr="007F1287">
        <w:t>06180</w:t>
      </w:r>
      <w:r w:rsidRPr="007F1287">
        <w:t>/2024 – C9</w:t>
      </w:r>
      <w:r w:rsidRPr="007F1287">
        <w:noBreakHyphen/>
      </w:r>
      <w:r w:rsidR="00563CEF" w:rsidRPr="007F1287">
        <w:t>0091</w:t>
      </w:r>
      <w:r w:rsidRPr="007F1287">
        <w:t>/2024),</w:t>
      </w:r>
    </w:p>
    <w:p w:rsidR="003539C0" w:rsidRPr="007F1287" w:rsidRDefault="003539C0" w:rsidP="003539C0">
      <w:pPr>
        <w:pStyle w:val="NormalHanging12a"/>
      </w:pPr>
      <w:r w:rsidRPr="007F1287">
        <w:t>–</w:t>
      </w:r>
      <w:r w:rsidRPr="007F1287">
        <w:tab/>
        <w:t>so zreteľom na článok 319 Zmluvy o fungovaní Európskej únie,</w:t>
      </w:r>
    </w:p>
    <w:p w:rsidR="003539C0" w:rsidRPr="007F1287" w:rsidRDefault="003539C0" w:rsidP="003539C0">
      <w:pPr>
        <w:pStyle w:val="NormalHanging12a"/>
      </w:pPr>
      <w:r w:rsidRPr="007F1287">
        <w:t>–</w:t>
      </w:r>
      <w:r w:rsidRPr="007F1287">
        <w:tab/>
        <w:t xml:space="preserve">so zreteľom na nariadenie Európskeho parlamentu a Rady (EÚ, </w:t>
      </w:r>
      <w:proofErr w:type="spellStart"/>
      <w:r w:rsidRPr="007F1287">
        <w:t>Euratom</w:t>
      </w:r>
      <w:proofErr w:type="spellEnd"/>
      <w:r w:rsidRPr="007F1287">
        <w:t xml:space="preserve">) 2018/1046 z 18. júla 2018 o rozpočtových pravidlách, ktoré sa vzťahujú na všeobecný rozpočet Únie, o zmene nariadení (EÚ) č. 1296/2013, (EÚ) č. 1301/2013, (EÚ) č. 1303/2013, (EÚ) č. 1304/2013, (EÚ) č. 1309/2013, (EÚ) č. 1316/2013, (EÚ) č. 223/2014, (EÚ) č. 283/2014 a rozhodnutia č. 541/2014/EÚ a o zrušení nariadenia (EÚ, </w:t>
      </w:r>
      <w:proofErr w:type="spellStart"/>
      <w:r w:rsidRPr="007F1287">
        <w:t>Euratom</w:t>
      </w:r>
      <w:proofErr w:type="spellEnd"/>
      <w:r w:rsidRPr="007F1287">
        <w:t>) č. 966/2012</w:t>
      </w:r>
      <w:r w:rsidRPr="007F1287">
        <w:rPr>
          <w:rStyle w:val="FootnoteReference"/>
        </w:rPr>
        <w:footnoteReference w:id="8"/>
      </w:r>
      <w:r w:rsidRPr="007F1287">
        <w:t>, a najmä na jeho článok 70,</w:t>
      </w:r>
    </w:p>
    <w:p w:rsidR="003539C0" w:rsidRPr="007F1287" w:rsidRDefault="003539C0" w:rsidP="003539C0">
      <w:pPr>
        <w:pStyle w:val="NormalHanging12a"/>
      </w:pPr>
      <w:r w:rsidRPr="007F1287">
        <w:t>–</w:t>
      </w:r>
      <w:r w:rsidRPr="007F1287">
        <w:tab/>
        <w:t>so zreteľom na nariadenie Európskeho parlamentu a Rady (EÚ) č. 1094/2010 z 24. novembra 2010, ktorým sa zriaďuje Európsky orgán dohľadu (Európsky orgán pre poisťovníctvo a dôchodkové poistenie zamestnancov) a ktorým sa mení a dopĺňa rozhodnutie č. 716/2009/ES a zrušuje rozhodnutie Komisie 2009/79/ES</w:t>
      </w:r>
      <w:r w:rsidRPr="007F1287">
        <w:rPr>
          <w:rStyle w:val="FootnoteReference"/>
        </w:rPr>
        <w:footnoteReference w:id="9"/>
      </w:r>
      <w:r w:rsidRPr="007F1287">
        <w:t>, a najmä na jeho článok 64,</w:t>
      </w:r>
    </w:p>
    <w:p w:rsidR="003539C0" w:rsidRPr="007F1287" w:rsidRDefault="003539C0" w:rsidP="003539C0">
      <w:pPr>
        <w:pStyle w:val="NormalHanging12a"/>
      </w:pPr>
      <w:r w:rsidRPr="007F1287">
        <w:t>–</w:t>
      </w:r>
      <w:r w:rsidRPr="007F1287">
        <w:tab/>
        <w:t xml:space="preserve">so zreteľom na delegované nariadenie Komisie (EÚ) 2019/715 z 18. decembra 2018 o rámcovom nariadení o rozpočtových pravidlách pre subjekty zriadené podľa Zmluvy o fungovaní Európskej únie a Zmluvy o </w:t>
      </w:r>
      <w:proofErr w:type="spellStart"/>
      <w:r w:rsidRPr="007F1287">
        <w:t>Euratome</w:t>
      </w:r>
      <w:proofErr w:type="spellEnd"/>
      <w:r w:rsidRPr="007F1287">
        <w:t xml:space="preserve"> a uvedené v článku 70 nariadenia Európskeho parlamentu a Rady (EÚ, </w:t>
      </w:r>
      <w:proofErr w:type="spellStart"/>
      <w:r w:rsidRPr="007F1287">
        <w:t>Euratom</w:t>
      </w:r>
      <w:proofErr w:type="spellEnd"/>
      <w:r w:rsidRPr="007F1287">
        <w:t>) 2018/1046</w:t>
      </w:r>
      <w:r w:rsidRPr="007F1287">
        <w:rPr>
          <w:rStyle w:val="FootnoteReference"/>
        </w:rPr>
        <w:footnoteReference w:id="10"/>
      </w:r>
      <w:r w:rsidRPr="007F1287">
        <w:t>, a najmä na jeho článok 105,</w:t>
      </w:r>
    </w:p>
    <w:p w:rsidR="003539C0" w:rsidRPr="007F1287" w:rsidRDefault="003539C0" w:rsidP="003539C0">
      <w:pPr>
        <w:pStyle w:val="NormalHanging12a"/>
      </w:pPr>
      <w:r w:rsidRPr="007F1287">
        <w:t>–</w:t>
      </w:r>
      <w:r w:rsidRPr="007F1287">
        <w:tab/>
        <w:t>so zreteľom na článok 100 a prílohu V k rokovaciemu poriadku,</w:t>
      </w:r>
    </w:p>
    <w:p w:rsidR="003539C0" w:rsidRPr="007F1287" w:rsidRDefault="003539C0" w:rsidP="003539C0">
      <w:pPr>
        <w:pStyle w:val="NormalHanging12a"/>
      </w:pPr>
      <w:r w:rsidRPr="007F1287">
        <w:t>–</w:t>
      </w:r>
      <w:r w:rsidRPr="007F1287">
        <w:tab/>
        <w:t>so zreteľom na správu Výboru pre kontrolu rozpočtu (A9-0097/2024),</w:t>
      </w:r>
    </w:p>
    <w:p w:rsidR="003539C0" w:rsidRPr="007F1287" w:rsidRDefault="003539C0" w:rsidP="003539C0">
      <w:pPr>
        <w:pStyle w:val="NormalHanging12a"/>
      </w:pPr>
      <w:r w:rsidRPr="007F1287">
        <w:t>1.</w:t>
      </w:r>
      <w:r w:rsidRPr="007F1287">
        <w:tab/>
        <w:t>schvaľuje účtovnú závierku Európskeho orgánu pre poisťovníctvo a dôchodkové poistenie zamestnancov za rozpočtový rok 2022;</w:t>
      </w:r>
    </w:p>
    <w:p w:rsidR="003539C0" w:rsidRPr="007F1287" w:rsidRDefault="003539C0" w:rsidP="003539C0">
      <w:pPr>
        <w:pStyle w:val="NormalHanging12a"/>
      </w:pPr>
      <w:r w:rsidRPr="007F1287">
        <w:lastRenderedPageBreak/>
        <w:t>2.</w:t>
      </w:r>
      <w:r w:rsidRPr="007F1287">
        <w:tab/>
        <w:t>poveruje svoju predsedníčku, aby postúpila toto rozhodnutie výkonnému riaditeľovi Európskeho orgánu pre poisťovníctvo a dôchodkové poistenie zamestnancov, Rade, Komisii a Dvoru audítorov a aby zabezpečila jeho uverejnenie v </w:t>
      </w:r>
      <w:r w:rsidRPr="007F1287">
        <w:rPr>
          <w:i/>
        </w:rPr>
        <w:t>Úradnom vestníku Európskej únie</w:t>
      </w:r>
      <w:r w:rsidRPr="007F1287">
        <w:t xml:space="preserve"> (v sérii L).</w:t>
      </w:r>
    </w:p>
    <w:p w:rsidR="003539C0" w:rsidRPr="007F1287" w:rsidRDefault="003539C0" w:rsidP="003539C0"/>
    <w:p w:rsidR="003539C0" w:rsidRPr="007F1287" w:rsidRDefault="003539C0" w:rsidP="003539C0">
      <w:pPr>
        <w:widowControl/>
        <w:rPr>
          <w:rFonts w:ascii="Arial" w:hAnsi="Arial" w:cs="Arial"/>
          <w:b/>
        </w:rPr>
        <w:sectPr w:rsidR="003539C0" w:rsidRPr="007F1287" w:rsidSect="00004417">
          <w:footnotePr>
            <w:numRestart w:val="eachPage"/>
          </w:footnotePr>
          <w:endnotePr>
            <w:numFmt w:val="decimal"/>
          </w:endnotePr>
          <w:pgSz w:w="11906" w:h="16838"/>
          <w:pgMar w:top="1134" w:right="1418" w:bottom="1418" w:left="1418" w:header="567" w:footer="567" w:gutter="0"/>
          <w:cols w:space="720"/>
          <w:docGrid w:linePitch="326"/>
        </w:sectPr>
      </w:pPr>
    </w:p>
    <w:p w:rsidR="003539C0" w:rsidRPr="007F1287" w:rsidRDefault="003539C0" w:rsidP="009B2BA1">
      <w:pPr>
        <w:pStyle w:val="ATHeading3"/>
      </w:pPr>
      <w:bookmarkStart w:id="10" w:name="_Toc146789946"/>
      <w:bookmarkStart w:id="11" w:name="_Toc161929792"/>
      <w:r w:rsidRPr="007F1287">
        <w:lastRenderedPageBreak/>
        <w:t xml:space="preserve">3. </w:t>
      </w:r>
      <w:bookmarkEnd w:id="10"/>
      <w:bookmarkEnd w:id="11"/>
      <w:r w:rsidR="009B2BA1" w:rsidRPr="007F1287">
        <w:t>Uznesenie Európskeho parlamentu z</w:t>
      </w:r>
      <w:r w:rsidR="00563CEF" w:rsidRPr="007F1287">
        <w:t> 11</w:t>
      </w:r>
      <w:r w:rsidR="009B2BA1" w:rsidRPr="007F1287">
        <w:t xml:space="preserve">. apríla 2024 </w:t>
      </w:r>
      <w:r w:rsidRPr="007F1287">
        <w:t xml:space="preserve">s poznámkami, ktoré </w:t>
      </w:r>
      <w:r w:rsidR="009B2BA1" w:rsidRPr="007F1287">
        <w:t xml:space="preserve">je </w:t>
      </w:r>
      <w:r w:rsidRPr="007F1287">
        <w:t>neoddeliteľnou súčasťou rozhodnutia o absolutóriu za plnenie rozpočtu Európskeho orgánu pre poisťovníctvo a dôchodkové poistenie zamestnancov za rozpočtový rok 2022</w:t>
      </w:r>
      <w:r w:rsidR="009B2BA1" w:rsidRPr="007F1287">
        <w:t xml:space="preserve"> </w:t>
      </w:r>
      <w:r w:rsidRPr="007F1287">
        <w:t>(2023/2153(DEC))</w:t>
      </w:r>
    </w:p>
    <w:p w:rsidR="003539C0" w:rsidRPr="007F1287" w:rsidRDefault="003539C0" w:rsidP="003539C0">
      <w:pPr>
        <w:pStyle w:val="EPComma"/>
      </w:pPr>
      <w:r w:rsidRPr="007F1287">
        <w:rPr>
          <w:i/>
          <w:iCs/>
        </w:rPr>
        <w:t>Európsky parlament</w:t>
      </w:r>
      <w:r w:rsidRPr="007F1287">
        <w:t>,</w:t>
      </w:r>
    </w:p>
    <w:p w:rsidR="003539C0" w:rsidRPr="007F1287" w:rsidRDefault="003539C0" w:rsidP="003539C0">
      <w:pPr>
        <w:pStyle w:val="NormalHanging12a"/>
      </w:pPr>
      <w:r w:rsidRPr="007F1287">
        <w:t>–</w:t>
      </w:r>
      <w:r w:rsidRPr="007F1287">
        <w:tab/>
        <w:t>so zreteľom na svoje rozhodnutie o absolutóriu za plnenie rozpočtu Európskeho orgánu pre poisťovníctvo a dôchodkové poistenie zamestnancov za rozpočtový rok 2022,</w:t>
      </w:r>
    </w:p>
    <w:p w:rsidR="003539C0" w:rsidRPr="007F1287" w:rsidRDefault="003539C0" w:rsidP="003539C0">
      <w:pPr>
        <w:pStyle w:val="NormalHanging12a"/>
      </w:pPr>
      <w:r w:rsidRPr="007F1287">
        <w:t>–</w:t>
      </w:r>
      <w:r w:rsidRPr="007F1287">
        <w:tab/>
        <w:t>so zreteľom na článok 100 a prílohu V k rokovaciemu poriadku,</w:t>
      </w:r>
    </w:p>
    <w:p w:rsidR="003539C0" w:rsidRPr="007F1287" w:rsidRDefault="003539C0" w:rsidP="003539C0">
      <w:pPr>
        <w:pStyle w:val="NormalHanging12a"/>
      </w:pPr>
      <w:r w:rsidRPr="007F1287">
        <w:t>–</w:t>
      </w:r>
      <w:r w:rsidRPr="007F1287">
        <w:tab/>
        <w:t>so zreteľom na správu Výboru pre kontrolu rozpočtu (A9-0097/2024),</w:t>
      </w:r>
    </w:p>
    <w:p w:rsidR="003539C0" w:rsidRPr="007F1287" w:rsidRDefault="003539C0" w:rsidP="003539C0">
      <w:pPr>
        <w:widowControl/>
        <w:spacing w:after="240"/>
        <w:ind w:left="567" w:hanging="567"/>
        <w:rPr>
          <w:szCs w:val="24"/>
        </w:rPr>
      </w:pPr>
      <w:r w:rsidRPr="007F1287">
        <w:t>A.</w:t>
      </w:r>
      <w:r w:rsidRPr="007F1287">
        <w:tab/>
        <w:t>keďže podľa výkazu príjmov a výdavkov</w:t>
      </w:r>
      <w:r w:rsidRPr="007F1287">
        <w:rPr>
          <w:rStyle w:val="FootnoteReference"/>
          <w:szCs w:val="24"/>
        </w:rPr>
        <w:footnoteReference w:id="11"/>
      </w:r>
      <w:r w:rsidRPr="007F1287">
        <w:t xml:space="preserve"> predstavoval konečný rozpočet Európskeho orgánu pre poisťovníctvo a dôchodkové poistenie zamestnancov (ďalej len „orgán“) na rozpočtový rok 2022 sumu 34 571 120 EUR, čo v porovnaní s rokom 2021 predstavuje zvýšenie o 5,27 %; keďže orgán je financovaný z príspevku Únie (12 932 000 EUR, čo predstavuje 37,40 %) a príspevkov národných orgánov dohľadu členských štátov (21 076 120 EUR, čo predstavuje 60,96 %);</w:t>
      </w:r>
    </w:p>
    <w:p w:rsidR="003539C0" w:rsidRPr="007F1287" w:rsidRDefault="003539C0" w:rsidP="003539C0">
      <w:pPr>
        <w:widowControl/>
        <w:spacing w:after="240"/>
        <w:ind w:left="567" w:hanging="567"/>
        <w:rPr>
          <w:szCs w:val="24"/>
        </w:rPr>
      </w:pPr>
      <w:r w:rsidRPr="007F1287">
        <w:t>B.</w:t>
      </w:r>
      <w:r w:rsidRPr="007F1287">
        <w:tab/>
        <w:t>keďže Dvor audítorov vo svojej správe o overení ročnej účtovnej závierky Európskeho orgánu pre poisťovníctvo a dôchodkové poistenie zamestnancov za rozpočtový rok 2022 (ďalej len „správa Dvora audítorov“) vyhlásil, že získal primeranú istotu o tom, že účtovná závierka orgánu je spoľahlivá a že príslušné operácie sú zákonné a správne;</w:t>
      </w:r>
    </w:p>
    <w:p w:rsidR="003539C0" w:rsidRPr="007F1287" w:rsidRDefault="003539C0" w:rsidP="003539C0">
      <w:pPr>
        <w:widowControl/>
        <w:spacing w:after="240"/>
        <w:ind w:left="567" w:hanging="567"/>
        <w:rPr>
          <w:b/>
          <w:i/>
          <w:szCs w:val="24"/>
        </w:rPr>
      </w:pPr>
      <w:r w:rsidRPr="007F1287">
        <w:rPr>
          <w:b/>
          <w:i/>
        </w:rPr>
        <w:t>Rozpočtové a finančné riadenie</w:t>
      </w:r>
    </w:p>
    <w:p w:rsidR="003539C0" w:rsidRPr="007F1287" w:rsidRDefault="003539C0" w:rsidP="003539C0">
      <w:pPr>
        <w:widowControl/>
        <w:spacing w:after="240"/>
        <w:ind w:left="567" w:hanging="567"/>
        <w:rPr>
          <w:szCs w:val="24"/>
        </w:rPr>
      </w:pPr>
      <w:r w:rsidRPr="007F1287">
        <w:t>1.</w:t>
      </w:r>
      <w:r w:rsidRPr="007F1287">
        <w:tab/>
        <w:t>s uspokojením konštatuje, že úsilie o monitorovanie rozpočtu v priebehu rozpočtového roka 2022 prinieslo mieru plnenia rozpočtu na úrovni 99,46 %, čo v porovnaní s rokom 2021 predstavuje zníženie o 0,52 %; konštatuje však, že miera čerpania platobných rozpočtových prostriedkov bola 92,07 %, čo v porovnaní s rokom 2021 predstavuje zvýšenie o 12,95 %;</w:t>
      </w:r>
    </w:p>
    <w:p w:rsidR="003539C0" w:rsidRPr="007F1287" w:rsidRDefault="003539C0" w:rsidP="003539C0">
      <w:pPr>
        <w:widowControl/>
        <w:spacing w:after="240"/>
        <w:ind w:left="567" w:hanging="567"/>
        <w:rPr>
          <w:szCs w:val="24"/>
        </w:rPr>
      </w:pPr>
      <w:r w:rsidRPr="007F1287">
        <w:rPr>
          <w:b/>
          <w:i/>
        </w:rPr>
        <w:t>Výkonnosť</w:t>
      </w:r>
    </w:p>
    <w:p w:rsidR="003539C0" w:rsidRPr="007F1287" w:rsidRDefault="003539C0" w:rsidP="003539C0">
      <w:pPr>
        <w:widowControl/>
        <w:spacing w:after="240"/>
        <w:ind w:left="567" w:hanging="567"/>
        <w:rPr>
          <w:szCs w:val="24"/>
        </w:rPr>
      </w:pPr>
      <w:r w:rsidRPr="007F1287">
        <w:t>2.</w:t>
      </w:r>
      <w:r w:rsidRPr="007F1287">
        <w:tab/>
        <w:t>konštatuje, že orgán používa určité meradlá ako kľúčové ukazovatele výkonnosti s cieľom posúdiť pridanú hodnotu, ktorú poskytujú jeho činnosti, a ďalšie opatrenia na zlepšenie svojho rozpočtového riadenia; konštatuje, že v roku 2022 orgán stanovil 17 strategických cieľov na úrovni výkonnosti v siedmich hlavných oblastiach činnosti; s uznaním konštatuje, že orgán dosiahol alebo prekonal 15 z týchto cieľov, pričom zostávajúce dva ciele sa ukázali ako neuplatniteľné na vykazovanie z dôvodu ich závislosti od legislatívnych lehôt aktu o digitálnej prevádzkovej odolnosti (DORA) a technologických porúch;</w:t>
      </w:r>
    </w:p>
    <w:p w:rsidR="003539C0" w:rsidRPr="007F1287" w:rsidRDefault="003539C0" w:rsidP="003539C0">
      <w:pPr>
        <w:widowControl/>
        <w:spacing w:after="240"/>
        <w:ind w:left="567" w:hanging="567"/>
        <w:rPr>
          <w:szCs w:val="24"/>
        </w:rPr>
      </w:pPr>
      <w:r w:rsidRPr="007F1287">
        <w:t>3.</w:t>
      </w:r>
      <w:r w:rsidRPr="007F1287">
        <w:tab/>
        <w:t xml:space="preserve">konštatuje, že 342 produktov a služieb, čo predstavuje 91 % z celkového počtu, orgán dodal podľa plánu, pričom ďalších 20 produktov a služieb malo menšie oneskorenie a 13 sa nerealizovalo, často v dôsledku závislosti od časového harmonogramu </w:t>
      </w:r>
      <w:r w:rsidRPr="007F1287">
        <w:lastRenderedPageBreak/>
        <w:t>legislatívnych rozhodnutí, ako je preskúmanie smernice Solventnosť II, alebo technologického vývoja na trhu a konkurenčných priorít; chváli orgán za zvýšenie počtu rečníckych vystúpení zo 167 v roku 2021 na 214 v roku 2022;</w:t>
      </w:r>
    </w:p>
    <w:p w:rsidR="003539C0" w:rsidRPr="007F1287" w:rsidRDefault="003539C0" w:rsidP="003539C0">
      <w:pPr>
        <w:widowControl/>
        <w:spacing w:after="240"/>
        <w:ind w:left="567" w:hanging="567"/>
        <w:rPr>
          <w:szCs w:val="24"/>
        </w:rPr>
      </w:pPr>
      <w:r w:rsidRPr="007F1287">
        <w:t>4.</w:t>
      </w:r>
      <w:r w:rsidRPr="007F1287">
        <w:tab/>
        <w:t>uznáva početné úspechy orgánu v roku 2022, ktorými do veľkej miery splnil svoje ciele v oblasti konvergencie dohľadu, ochrany spotrebiteľa a finančnej stability; berie na vedomie najmä to, že orgán vykonal svoj prvý klimatický záťažový test IZDZ s cieľom získať poznatky o vplyve environmentálnych rizík na európsky sektor dôchodkového poistenia zamestnancov, predložil Komisii vykonávacie technické predpisy, ktorými sa stanovujú požiadavky na predkladanie informácií orgánom dohľadu a ich zverejňovanie podľa smernice Solventnosť II, uverejnil niekoľko dokumentov, správ a usmernení o integrácii rizík ohrozujúcich udržateľnosť do riadenia rizík poisťovateľov, zaisťovateľov a inštitúcií zamestnaneckého dôchodkového zabezpečenia a poskytoval príspevky a technické poradenstvo Európskemu parlamentu a Rade počas celého legislatívneho procesu v súvislosti s aktom o umelej inteligencii a aktom DORA; vyjadruje orgánu uznanie za jeho rôzne iniciatívy a opatrenia v oblasti digitálnej transformácie, ktorými podporuje ciele stratégie Únie v oblasti digitálnych financií, a to aj tým, že spolu s viacerými zainteresovanými stranami, ako je napríklad Európsky univerzitný inštitút, prispel k vytvoreniu „Akadémie EÚ pre digitálne financie v oblasti dohľadu“;</w:t>
      </w:r>
    </w:p>
    <w:p w:rsidR="003539C0" w:rsidRPr="007F1287" w:rsidRDefault="003539C0" w:rsidP="003539C0">
      <w:pPr>
        <w:widowControl/>
        <w:spacing w:after="240"/>
        <w:ind w:left="567" w:hanging="567"/>
        <w:rPr>
          <w:szCs w:val="24"/>
        </w:rPr>
      </w:pPr>
      <w:r w:rsidRPr="007F1287">
        <w:t>5.</w:t>
      </w:r>
      <w:r w:rsidRPr="007F1287">
        <w:tab/>
        <w:t>konštatuje, že orgán prvýkrát využil viaceré právomoci a nástroje, ktoré mu boli udelené v nariadení o EIOPA; v tejto súvislosti poznamenáva, že v roku 2022 orgán vydal odporúčanie Národnej banke Slovenska (NBS) v nadväznosti na svoje závery, že porušenie kapitálových požiadaviek, ktorého sa dopustila slovenská poisťovňa, nebolo z hľadiska dohľadu primerane riešené; ďalej so znepokojením konštatuje, že orgán zistil, že NBS porušila právo Únie, v dôsledku čoho Komisia vydala formálne stanovisko, v ktorom od NBS požaduje, aby prijala opatrenia potrebné na dosiahnutie súladu s právom Únie, a na základe článku 22 nariadenia o EIOPA sa uskutočnilo vyšetrovanie; vyzýva orgán, aby informoval orgán udeľujúci absolutórium o následných opatreniach a výsledkoch tohto vyšetrovania;</w:t>
      </w:r>
    </w:p>
    <w:p w:rsidR="003539C0" w:rsidRPr="007F1287" w:rsidRDefault="003539C0" w:rsidP="003539C0">
      <w:pPr>
        <w:widowControl/>
        <w:spacing w:after="240"/>
        <w:ind w:left="567" w:hanging="567"/>
        <w:rPr>
          <w:szCs w:val="24"/>
        </w:rPr>
      </w:pPr>
      <w:r w:rsidRPr="007F1287">
        <w:t>6.</w:t>
      </w:r>
      <w:r w:rsidRPr="007F1287">
        <w:tab/>
        <w:t>konštatuje, že orgán prispel k zabezpečeniu finančnej stability a ochrane spotrebiteľov dôkladným monitorovaním trhov a posúdením vplyvu v novom kontexte nevyprovokovanej a nezákonnej ruskej invázie na Ukrajinu a postupného sprísňovania menovej politiky v reakcii na rekordne vysokú mieru inflácie v celej Európe; víta včasné zverejnenie vyhlásenia dohľadu o inflácii v roku 2022, ktoré sa zameriava na to, ako inflácia ovplyvňuje technické rezervy, investície a kapitálové požiadavky na solventnosť;</w:t>
      </w:r>
    </w:p>
    <w:p w:rsidR="003539C0" w:rsidRPr="007F1287" w:rsidRDefault="003539C0" w:rsidP="003539C0">
      <w:pPr>
        <w:pStyle w:val="NormalHanging12a"/>
      </w:pPr>
      <w:r w:rsidRPr="007F1287">
        <w:t>7.</w:t>
      </w:r>
      <w:r w:rsidRPr="007F1287">
        <w:tab/>
        <w:t>konštatuje, že v septembri 2022 orgán stanovil svoju stratégiu na obdobie 2023 – 2026, v ktorej určil strategické priority vrátane posilnenia odolnosti a udržateľnosti sektora poisťovníctva a dôchodkového zabezpečenia a zaistenia silnej a konzistentnej ochrany záujmov spotrebiteľov v celej Únii;</w:t>
      </w:r>
    </w:p>
    <w:p w:rsidR="003539C0" w:rsidRPr="007F1287" w:rsidRDefault="003539C0" w:rsidP="003539C0">
      <w:pPr>
        <w:widowControl/>
        <w:spacing w:after="240"/>
        <w:ind w:left="567" w:hanging="567"/>
        <w:rPr>
          <w:b/>
          <w:i/>
          <w:szCs w:val="24"/>
        </w:rPr>
      </w:pPr>
      <w:r w:rsidRPr="007F1287">
        <w:rPr>
          <w:b/>
          <w:i/>
        </w:rPr>
        <w:t>Efektívnosť a prínos</w:t>
      </w:r>
    </w:p>
    <w:p w:rsidR="003539C0" w:rsidRPr="007F1287" w:rsidRDefault="003539C0" w:rsidP="003539C0">
      <w:pPr>
        <w:widowControl/>
        <w:spacing w:after="240"/>
        <w:ind w:left="567" w:hanging="567"/>
        <w:rPr>
          <w:rFonts w:cstheme="minorHAnsi"/>
        </w:rPr>
      </w:pPr>
      <w:r w:rsidRPr="007F1287">
        <w:t>8.</w:t>
      </w:r>
      <w:r w:rsidRPr="007F1287">
        <w:tab/>
        <w:t xml:space="preserve">konštatuje, že európske orgány dohľadu sa navzájom koordinujú, vymieňajú si skúsenosti a podporujú sa v mnohých oblastiach, a to v oblasti hlavnej činnosti, ako aj v podporných oblastiach; víta skutočnosť, že európske orgány dohľadu spojili svoje sily v strategických iniciatívach, ako je vývoj softvérových aplikácií, sieťová infraštruktúra </w:t>
      </w:r>
      <w:r w:rsidRPr="007F1287">
        <w:lastRenderedPageBreak/>
        <w:t xml:space="preserve">a poradenstvo v oblasti IT, napríklad prostredníctvom spoločných dodávateľov; v tejto súvislosti berie na vedomie </w:t>
      </w:r>
      <w:proofErr w:type="spellStart"/>
      <w:r w:rsidRPr="007F1287">
        <w:t>cloudovú</w:t>
      </w:r>
      <w:proofErr w:type="spellEnd"/>
      <w:r w:rsidRPr="007F1287">
        <w:t xml:space="preserve"> stratégiu orgánu schválenú v roku 2022, ktorú orgán vypracoval spolu s ďalšími dvoma európskymi orgánmi dohľadu, inými inštitúciami Únie a príslušnými vnútroštátnymi orgánmi a ktorej cieľom je poskytovať autonómnejšie, automatizovanejšie a samoobslužné produkty, ktoré budú slúžiť expertom orgánu a príslušných vnútroštátnych orgánov;</w:t>
      </w:r>
    </w:p>
    <w:p w:rsidR="003539C0" w:rsidRPr="007F1287" w:rsidRDefault="003539C0" w:rsidP="003539C0">
      <w:pPr>
        <w:widowControl/>
        <w:spacing w:after="240"/>
        <w:ind w:left="567" w:hanging="567"/>
        <w:rPr>
          <w:rFonts w:cstheme="minorHAnsi"/>
        </w:rPr>
      </w:pPr>
      <w:r w:rsidRPr="007F1287">
        <w:t>9.</w:t>
      </w:r>
      <w:r w:rsidRPr="007F1287">
        <w:tab/>
        <w:t>chváli orgán za investíciu do zamestnancov a ich vyčlenenie na projekty v oblasti digitálnej transformácie s cieľom dosiahnuť novú úroveň efektívnosti, okrem iného automatizáciou a zefektívnením prevádzkových procesov a zlepšením času uvedenia na trh a spolupráce v rámci jednotlivých funkcií a medzi nimi; v tejto súvislosti víta projekty orgánu realizované v roku 2022, ktoré sa zameriavajú na zlepšenie schopností analýzy údajov s cieľom premeniť orgán na plne digitálnu organizáciu založenú na údajoch;</w:t>
      </w:r>
    </w:p>
    <w:p w:rsidR="003539C0" w:rsidRPr="007F1287" w:rsidRDefault="003539C0" w:rsidP="003539C0">
      <w:pPr>
        <w:pStyle w:val="NormalHanging12a"/>
      </w:pPr>
      <w:r w:rsidRPr="007F1287">
        <w:t>10.</w:t>
      </w:r>
      <w:r w:rsidRPr="007F1287">
        <w:tab/>
        <w:t xml:space="preserve">poznamenáva, že pokiaľ ide o každodenné pracovné činnosti, orgán zaviedol celý rad opatrení na zvýšenie nákladovej efektívnosti, ako je hybridná práca, spoločné využívanie pracovných stolov, ako aj moderné </w:t>
      </w:r>
      <w:proofErr w:type="spellStart"/>
      <w:r w:rsidRPr="007F1287">
        <w:t>videokonferenčné</w:t>
      </w:r>
      <w:proofErr w:type="spellEnd"/>
      <w:r w:rsidRPr="007F1287">
        <w:t xml:space="preserve"> riešenia, ktoré viedli k zníženiu počtu služobných ciest; konštatuje, že orgán v záujme zachovania inštitucionálnych znalostí, odbornosti a efektívnosti pri vykonávaní hlavných úloh ďalej zlepšil svoj integrovaný systém riadenia talentov, ktorý umožňuje strategicky zosúladené procesy v oblasti ľudských zdrojov, lepší výber uchádzačov a účinnejšie vzdelávanie a rozvoj; vyzýva orgán, aby poskytol orgánu udeľujúcemu absolutórium údaje a čísla týkajúce sa vplyvu tohto systému;</w:t>
      </w:r>
    </w:p>
    <w:p w:rsidR="003539C0" w:rsidRPr="007F1287" w:rsidRDefault="003539C0" w:rsidP="003539C0">
      <w:pPr>
        <w:widowControl/>
        <w:spacing w:after="240"/>
        <w:ind w:left="567" w:hanging="567"/>
        <w:rPr>
          <w:rFonts w:cstheme="minorHAnsi"/>
          <w:iCs/>
        </w:rPr>
      </w:pPr>
      <w:r w:rsidRPr="007F1287">
        <w:t>11.</w:t>
      </w:r>
      <w:r w:rsidRPr="007F1287">
        <w:tab/>
        <w:t>zo správy Dvora audítorov vyplýva, že orgán patrí medzi agentúry, ktoré majú podnikový plán na zlepšenie energetickej efektívnosti a klimatickej neutrality svojich činností a ktoré ako súčasť svojich výročných správ o činnosti vydávajú environmentálne vyhlásenie (napr. o vykazovaní uhlíkovej stopy); ďalej oceňuje, že orgán získal v roku 2022 certifikát EMAS (schéma Európskej únie pre environmentálne manažérstvo a audit) s cieľom získať formálnu akreditáciu EMAS v roku 2023;</w:t>
      </w:r>
    </w:p>
    <w:p w:rsidR="003539C0" w:rsidRPr="007F1287" w:rsidRDefault="003539C0" w:rsidP="003539C0">
      <w:pPr>
        <w:widowControl/>
        <w:spacing w:after="240"/>
        <w:ind w:left="567" w:hanging="567"/>
        <w:rPr>
          <w:b/>
          <w:i/>
          <w:szCs w:val="24"/>
        </w:rPr>
      </w:pPr>
      <w:r w:rsidRPr="007F1287">
        <w:rPr>
          <w:b/>
          <w:i/>
        </w:rPr>
        <w:t>Personálna politika</w:t>
      </w:r>
    </w:p>
    <w:p w:rsidR="003539C0" w:rsidRPr="007F1287" w:rsidRDefault="003539C0" w:rsidP="003539C0">
      <w:pPr>
        <w:widowControl/>
        <w:spacing w:after="240"/>
        <w:ind w:left="567" w:hanging="567"/>
        <w:rPr>
          <w:szCs w:val="24"/>
        </w:rPr>
      </w:pPr>
      <w:r w:rsidRPr="007F1287">
        <w:t>12.</w:t>
      </w:r>
      <w:r w:rsidRPr="007F1287">
        <w:tab/>
        <w:t>konštatuje, že k 31. decembru 2022 bolo splnených 99 % (rovnako ako v roku 2021) plánu pracovných miest, pričom bolo vymenovaných 137 dočasných zamestnancov zo 138 dočasných zamestnancov schválených v rámci rozpočtu Únie; poznamenáva, že v roku 2022 orgán okrem toho zamestnával 36 zmluvných zamestnancov a 24 vyslaných národných expertov;</w:t>
      </w:r>
    </w:p>
    <w:p w:rsidR="003539C0" w:rsidRPr="007F1287" w:rsidRDefault="003539C0" w:rsidP="003539C0">
      <w:pPr>
        <w:pStyle w:val="NormalHanging12a"/>
      </w:pPr>
      <w:r w:rsidRPr="007F1287">
        <w:t>13.</w:t>
      </w:r>
      <w:r w:rsidRPr="007F1287">
        <w:tab/>
        <w:t>berie na vedomie rodové rozdelenie orgánu oznámené na rok 2022, podľa ktorého je na stredných a vyšších riadiacich pozíciách a v jeho správnej rade 15 mužov (65,20 %) a 8 žien (34,80 %) a medzi jeho celkovými zamestnancami je 104 mužov (53,60 %) a 90 žien (46,40 %); pripomína, že je dôležité zabezpečiť rodovú rovnováhu, a vyzýva orgán, aby to zohľadnil pri budúcom prijímaní zamestnancov a menovaní do vyššieho a stredného manažmentu;</w:t>
      </w:r>
    </w:p>
    <w:p w:rsidR="003539C0" w:rsidRPr="007F1287" w:rsidRDefault="003539C0" w:rsidP="003539C0">
      <w:pPr>
        <w:pStyle w:val="NormalHanging12a"/>
      </w:pPr>
      <w:r w:rsidRPr="007F1287">
        <w:t>14.</w:t>
      </w:r>
      <w:r w:rsidRPr="007F1287">
        <w:tab/>
        <w:t xml:space="preserve">víta skutočnosť, že v roku 2022 orgán pokračoval vo vykonávaní stratégie rozmanitosti a začlenenia (prijatej v roku 2021) a jej podrobného akčného plánu v súlade s Chartou EUAN o rozmanitosti prostredníctvom iniciatív, ktoré zahŕňajú prierezové opatrenia, ako je spolupráca s inými inštitúciami, získavanie a výber rozmanitejšej pracovnej sily, </w:t>
      </w:r>
      <w:r w:rsidRPr="007F1287">
        <w:lastRenderedPageBreak/>
        <w:t xml:space="preserve">predchádzanie diskriminácii, obťažovaniu, vedomej a nevedomej zaujatosti a monitorovanie údajov týkajúcich sa rozmanitosti a začlenenia; konštatuje, že v roku 2022 bol nahlásený jeden prípad údajného obťažovania, ale bol uzavretý bez ďalších krokov, keďže po predbežnom posúdení sa nenašli žiadne dôkazy </w:t>
      </w:r>
      <w:proofErr w:type="spellStart"/>
      <w:r w:rsidRPr="007F1287">
        <w:rPr>
          <w:i/>
          <w:iCs/>
        </w:rPr>
        <w:t>prima</w:t>
      </w:r>
      <w:proofErr w:type="spellEnd"/>
      <w:r w:rsidRPr="007F1287">
        <w:rPr>
          <w:i/>
          <w:iCs/>
        </w:rPr>
        <w:t xml:space="preserve"> </w:t>
      </w:r>
      <w:proofErr w:type="spellStart"/>
      <w:r w:rsidRPr="007F1287">
        <w:rPr>
          <w:i/>
          <w:iCs/>
        </w:rPr>
        <w:t>facie</w:t>
      </w:r>
      <w:proofErr w:type="spellEnd"/>
      <w:r w:rsidRPr="007F1287">
        <w:t>;</w:t>
      </w:r>
    </w:p>
    <w:p w:rsidR="003539C0" w:rsidRPr="007F1287" w:rsidRDefault="003539C0" w:rsidP="003539C0">
      <w:pPr>
        <w:widowControl/>
        <w:spacing w:after="240"/>
        <w:ind w:left="567" w:hanging="567"/>
        <w:rPr>
          <w:szCs w:val="24"/>
        </w:rPr>
      </w:pPr>
      <w:r w:rsidRPr="007F1287">
        <w:t>15.</w:t>
      </w:r>
      <w:r w:rsidRPr="007F1287">
        <w:tab/>
        <w:t>víta skutočnosť, že orgán sa venuje podpore a poskytovaniu rozmanitého a </w:t>
      </w:r>
      <w:proofErr w:type="spellStart"/>
      <w:r w:rsidRPr="007F1287">
        <w:t>inkluzívneho</w:t>
      </w:r>
      <w:proofErr w:type="spellEnd"/>
      <w:r w:rsidRPr="007F1287">
        <w:t xml:space="preserve"> pracovného prostredia, ktoré sa prispôsobuje aj potrebám osôb so zdravotným postihnutím; v tejto súvislosti konštatuje, že v roku 2022 bol vymenovaný interný koordinátor a ambasádor orgánu pre zdravotné postihnutie s cieľom ďalej posilniť a zamerať pozornosť na túto konkrétnu oblasť, vykonal sa prieskum na túto tému medzi zamestnancami a riadiacimi pracovníkmi a prijali sa opatrenia na zvýšenie informovanosti;</w:t>
      </w:r>
    </w:p>
    <w:p w:rsidR="003539C0" w:rsidRPr="007F1287" w:rsidRDefault="003539C0" w:rsidP="003539C0">
      <w:pPr>
        <w:pStyle w:val="NormalHanging12a"/>
      </w:pPr>
      <w:r w:rsidRPr="007F1287">
        <w:t>16.</w:t>
      </w:r>
      <w:r w:rsidRPr="007F1287">
        <w:tab/>
        <w:t xml:space="preserve">s uspokojením konštatuje, že orgán sa naďalej intenzívne usiluje o zlepšenie podmienok zamestnancov na pracovisku a rovnováhy medzi pracovným a súkromným životom, pričom pozitívne výsledky sa prejavujú v angažovanosti a spokojnosti zamestnancov; konštatuje, že medzi kľúčové oblasti, na ktoré sa orgán zameriava, patria flexibilné pracovné podmienky, </w:t>
      </w:r>
      <w:proofErr w:type="spellStart"/>
      <w:r w:rsidRPr="007F1287">
        <w:t>telepráca</w:t>
      </w:r>
      <w:proofErr w:type="spellEnd"/>
      <w:r w:rsidRPr="007F1287">
        <w:t>, celoživotné poradenstvo a kariérny rozvoj, programy telesnej a duševnej pohody a podporné riadenie;</w:t>
      </w:r>
    </w:p>
    <w:p w:rsidR="003539C0" w:rsidRPr="007F1287" w:rsidRDefault="003539C0" w:rsidP="003539C0">
      <w:pPr>
        <w:widowControl/>
        <w:spacing w:after="240"/>
        <w:ind w:left="567" w:hanging="567"/>
        <w:rPr>
          <w:b/>
          <w:i/>
          <w:szCs w:val="24"/>
        </w:rPr>
      </w:pPr>
      <w:r w:rsidRPr="007F1287">
        <w:rPr>
          <w:b/>
          <w:i/>
        </w:rPr>
        <w:t>Verejné obstarávanie</w:t>
      </w:r>
    </w:p>
    <w:p w:rsidR="003539C0" w:rsidRPr="007F1287" w:rsidRDefault="003539C0" w:rsidP="003539C0">
      <w:pPr>
        <w:widowControl/>
        <w:spacing w:after="240"/>
        <w:ind w:left="567" w:hanging="567"/>
        <w:rPr>
          <w:szCs w:val="24"/>
        </w:rPr>
      </w:pPr>
      <w:r w:rsidRPr="007F1287">
        <w:t>17.</w:t>
      </w:r>
      <w:r w:rsidRPr="007F1287">
        <w:tab/>
        <w:t>berie na vedomie zistenie v správe Dvora audítorov, že orgán vykonal platby v celkovej výške 25 607 EUR po skončení trvania zmluvy, prostredníctvom ktorej orgán obstaral telekomunikačné služby pre mobilnú komunikáciu na obdobie štyroch rokov (2017 – 2021); berie na vedomie záver Dvora audítorov, že tieto platby boli neoprávnené; ďalej berie na vedomie konštatovanie Dvora audítorov, že dodatok k tejto zmluve podpísaný v apríli 2022 bol uzavretý v rozpore s bodom 1.1 prílohy I k nariadeniu o rozpočtových pravidlách;</w:t>
      </w:r>
    </w:p>
    <w:p w:rsidR="003539C0" w:rsidRPr="007F1287" w:rsidRDefault="003539C0" w:rsidP="003539C0">
      <w:pPr>
        <w:widowControl/>
        <w:spacing w:after="240"/>
        <w:ind w:left="567" w:hanging="567"/>
        <w:rPr>
          <w:szCs w:val="24"/>
        </w:rPr>
      </w:pPr>
      <w:r w:rsidRPr="007F1287">
        <w:t>18.</w:t>
      </w:r>
      <w:r w:rsidRPr="007F1287">
        <w:tab/>
        <w:t>pripomína z výročnej správy Dvora audítorov o agentúrach Únie za rok 2021 pripomienku k sume 288 125 EUR, ktorú orgán neoprávnene zaplatil v súvislosti so zmluvou o prenájme svojich priestorov; v tejto súvislosti berie na vedomie stanovisko orgánu zo správy orgánu o opatreniach prijatých na základe odporúčaní orgánu udeľujúceho absolutórium (absolutórium za rok 2021), že nedodržanie zmluvných záväzkov by malo negatívny právny účinok a negatívny vplyv na povesť orgánu; zo správy Dvora audítorov vyplýva, že stav tejto pripomienky zostáva otvorený; vyzýva orgán, aby pri začatí postupu verejného obstarávania na novú nájomnú zmluvu vynaložil všetko potrebné úsilie na to, aby zabránil akémukoľvek rozporu medzi povinnosťami vyplývajúcimi z nájomnej zmluvy a príslušnými ustanoveniami nariadenia o rozpočtových pravidlách;</w:t>
      </w:r>
    </w:p>
    <w:p w:rsidR="003539C0" w:rsidRPr="007F1287" w:rsidRDefault="003539C0" w:rsidP="003539C0">
      <w:pPr>
        <w:widowControl/>
        <w:spacing w:after="240"/>
        <w:rPr>
          <w:szCs w:val="24"/>
        </w:rPr>
      </w:pPr>
      <w:r w:rsidRPr="007F1287">
        <w:rPr>
          <w:b/>
          <w:i/>
        </w:rPr>
        <w:t>Prevencia a riešenie konfliktov záujmov a transparentnosť</w:t>
      </w:r>
    </w:p>
    <w:p w:rsidR="003539C0" w:rsidRPr="007F1287" w:rsidRDefault="003539C0" w:rsidP="003539C0">
      <w:pPr>
        <w:widowControl/>
        <w:spacing w:after="240"/>
        <w:ind w:left="567" w:hanging="567"/>
        <w:rPr>
          <w:szCs w:val="24"/>
        </w:rPr>
      </w:pPr>
      <w:r w:rsidRPr="007F1287">
        <w:t>19.</w:t>
      </w:r>
      <w:r w:rsidRPr="007F1287">
        <w:tab/>
        <w:t>víta, že v súlade s právnymi požiadavkami orgánu sú na webovom sídle orgánu uverejnené životopisy členov rady orgánov dohľadu a správnej rady orgánu, stručný životopis predsedu a výkonného riaditeľa orgánu a stručný životopis vedúcich oddelení orgánu; berie na vedomie, že individuálne vyhlásenia o záujmoch a vyhlásenie o úmysle sú verejne dostupné pre každého člena správnej rady a každého člena rady orgánov dohľadu a vyššieho manažmentu orgánu; ďalej víta zverejňovanie stretnutí zamestnancov orgánu s lobistami na webovom sídle orgánu;</w:t>
      </w:r>
    </w:p>
    <w:p w:rsidR="003539C0" w:rsidRPr="007F1287" w:rsidRDefault="003539C0" w:rsidP="003539C0">
      <w:pPr>
        <w:widowControl/>
        <w:spacing w:after="240"/>
        <w:ind w:left="567" w:hanging="567"/>
        <w:rPr>
          <w:szCs w:val="24"/>
        </w:rPr>
      </w:pPr>
      <w:r w:rsidRPr="007F1287">
        <w:lastRenderedPageBreak/>
        <w:t>20.</w:t>
      </w:r>
      <w:r w:rsidRPr="007F1287">
        <w:tab/>
        <w:t>víta skutočnosť, že orgán v roku 2022 posilnil svoje etické pravidlá pre zamestnancov a osoby, ktoré nie sú zamestnancami, čím reagoval na pripomienky zo správy Dvora audítorov o ročnej účtovnej závierke orgánu za rok 2021 s cieľom zachovať nestranné, objektívne a nezávislé rozhodovanie a včas identifikovať a riešiť prípadné konflikty záujmov; v tejto súvislosti berie na vedomie revíziu rokovacieho poriadku orgánu, prijatie politiky nezávislosti a rozhodovacích procesov na predchádzanie konfliktom záujmov pre osoby, ktoré nie sú zamestnancami, schválenie revízie rozhodnutia o hodnotení predsedu a výkonného riaditeľa a prijatie revízie etických pravidiel pre zamestnancov orgánu;</w:t>
      </w:r>
    </w:p>
    <w:p w:rsidR="003539C0" w:rsidRPr="007F1287" w:rsidRDefault="003539C0" w:rsidP="003539C0">
      <w:pPr>
        <w:widowControl/>
        <w:spacing w:after="240"/>
        <w:ind w:left="567" w:hanging="567"/>
        <w:rPr>
          <w:szCs w:val="24"/>
        </w:rPr>
      </w:pPr>
      <w:r w:rsidRPr="007F1287">
        <w:t>21.</w:t>
      </w:r>
      <w:r w:rsidRPr="007F1287">
        <w:tab/>
        <w:t>v súvislosti s oznamovaním nezrovnalostí konštatuje, že v roku 2022 jeden zamestnanec vyjadril obavy v súvislosti s možným prípadom nezrovnalostí a orgán tieto obavy riešil v súlade s platnými pravidlami; v tejto súvislosti poznamenáva, že orgán bezodkladne informoval Európsky úrad pre boj proti podvodom (OLAF) a že OLAF vykonal posúdenie a zamietol prípad z dôvodu, že neexistovalo dostatočné podozrenie na začatie vyšetrovania;</w:t>
      </w:r>
    </w:p>
    <w:p w:rsidR="003539C0" w:rsidRPr="007F1287" w:rsidRDefault="003539C0" w:rsidP="003539C0">
      <w:pPr>
        <w:spacing w:after="240"/>
        <w:ind w:left="567" w:hanging="567"/>
        <w:rPr>
          <w:sz w:val="22"/>
        </w:rPr>
      </w:pPr>
      <w:r w:rsidRPr="007F1287">
        <w:t>22.</w:t>
      </w:r>
      <w:r w:rsidRPr="007F1287">
        <w:tab/>
        <w:t>víta skutočnosť, že v júli 2022 rada orgánov dohľadu revidovala svoj rokovací poriadok, pričom sa riadila pripomienkou Dvora audítorov týkajúcou sa prítomnosti konfliktných členov rady počas diskusií a hlasovania; ďalej konštatuje, že správna rada orgánu v decembri 2022 schválila revidované rozhodnutie týkajúce sa hodnotenia predsedu a výkonného riaditeľa v súlade s pripomienkami Dvora audítorov;</w:t>
      </w:r>
    </w:p>
    <w:p w:rsidR="003539C0" w:rsidRPr="007F1287" w:rsidRDefault="003539C0" w:rsidP="003539C0">
      <w:pPr>
        <w:widowControl/>
        <w:spacing w:after="240"/>
        <w:ind w:left="567" w:hanging="567"/>
        <w:rPr>
          <w:b/>
          <w:i/>
          <w:szCs w:val="24"/>
        </w:rPr>
      </w:pPr>
      <w:r w:rsidRPr="007F1287">
        <w:rPr>
          <w:b/>
          <w:i/>
        </w:rPr>
        <w:t>Vnútorná kontrola</w:t>
      </w:r>
    </w:p>
    <w:p w:rsidR="003539C0" w:rsidRPr="007F1287" w:rsidRDefault="003539C0" w:rsidP="003539C0">
      <w:pPr>
        <w:widowControl/>
        <w:spacing w:after="240"/>
        <w:ind w:left="567" w:hanging="567"/>
        <w:rPr>
          <w:szCs w:val="24"/>
        </w:rPr>
      </w:pPr>
      <w:r w:rsidRPr="007F1287">
        <w:t>23.</w:t>
      </w:r>
      <w:r w:rsidRPr="007F1287">
        <w:tab/>
        <w:t>berie na vedomie, že v roku 2022 orgán vykonal ročné hodnotenie svojho rámca vnútornej kontroly, pričom dospel k záveru, že všetky zložky a zásady sú zavedené a fungujú tak, ako majú, pričom v dôsledku zisteného mierneho nedostatku sú potrebné určité zlepšenia;</w:t>
      </w:r>
    </w:p>
    <w:p w:rsidR="003539C0" w:rsidRPr="007F1287" w:rsidRDefault="003539C0" w:rsidP="003539C0">
      <w:pPr>
        <w:widowControl/>
        <w:spacing w:after="240"/>
        <w:ind w:left="567" w:hanging="567"/>
        <w:rPr>
          <w:szCs w:val="24"/>
        </w:rPr>
      </w:pPr>
      <w:r w:rsidRPr="007F1287">
        <w:t>24.</w:t>
      </w:r>
      <w:r w:rsidRPr="007F1287">
        <w:tab/>
        <w:t xml:space="preserve">konštatuje, že v roku 2022 vydal útvar pre vnútorný audit správu týkajúcu sa auditu vykonaného v roku 2021 v súvislosti s „intervenčnými opatreniami orgánu EIOPA“ zameranými na príslušné vnútroštátne orgány a hospodárske subjekty na trhu v sektore poisťovníctva a dôchodkového poistenia zamestnancov v Únii; ďalej poznamenáva, že výbor orgánu poverený kontrolou kvality vydal správu o preskúmaní s názvom Ponaučenia zo spolupráce a interakcie medzi orgánom EIOPA a príslušnými vnútroštátnymi orgánmi počas pandémie </w:t>
      </w:r>
      <w:r w:rsidR="009B2BA1" w:rsidRPr="007F1287">
        <w:t xml:space="preserve">ochorenia </w:t>
      </w:r>
      <w:r w:rsidRPr="007F1287">
        <w:t>COVID-19; vyzýva orgán, aby informoval orgán udeľujúci absolutórium o vykonávaní odporúčaní, ktoré vydali útvar pre vnútorný audit a výbor poverený kontrolou kvality;</w:t>
      </w:r>
    </w:p>
    <w:p w:rsidR="003539C0" w:rsidRPr="007F1287" w:rsidRDefault="003539C0" w:rsidP="003539C0">
      <w:pPr>
        <w:widowControl/>
        <w:spacing w:after="240"/>
        <w:ind w:left="567" w:hanging="567"/>
      </w:pPr>
      <w:r w:rsidRPr="007F1287">
        <w:t>25.</w:t>
      </w:r>
      <w:r w:rsidRPr="007F1287">
        <w:tab/>
        <w:t>s uznaním berie na vedomie, že v roku 2022 orgán identifikoval, monitoroval a prijal opatrenia na zmiernenie účinkov rizík, pokiaľ ide o nedostatočnú kapacitu na vykonávanie nových právomocí a úloh pri súčasnom plnení existujúcich záväzkov, nedostatok kvalifikovaných zamestnancov s požadovanými kompetenciami v dôsledku problémov súvisiacich s atraktívnosťou zamestnania a prijímaním zamestnancov, hrozby v oblasti kybernetickej bezpečnosti a kontinuitu činností;</w:t>
      </w:r>
    </w:p>
    <w:p w:rsidR="003539C0" w:rsidRPr="007F1287" w:rsidRDefault="003539C0" w:rsidP="003539C0">
      <w:pPr>
        <w:widowControl/>
        <w:spacing w:after="240"/>
        <w:ind w:left="567" w:hanging="567"/>
      </w:pPr>
      <w:r w:rsidRPr="007F1287">
        <w:t>26.</w:t>
      </w:r>
      <w:r w:rsidRPr="007F1287">
        <w:tab/>
        <w:t xml:space="preserve">berie na vedomie, že orgán v roku 2022 pokračoval v riešení zostávajúcich odporúčaní z auditu s názvom Nástroje dohľadu v oblasti ochrany spotrebiteľa (2019 – 2020); ďalej konštatuje, že výsledkom tohto auditu boli štyri odporúčania, ktoré sa riešili tak, že dve </w:t>
      </w:r>
      <w:r w:rsidRPr="007F1287">
        <w:lastRenderedPageBreak/>
        <w:t>odporúčania útvar pre vnútorný audit oficiálne uzavrel v novembri 2021 a dve odporúčania boli oficiálne uzavreté v júni 2022;</w:t>
      </w:r>
    </w:p>
    <w:p w:rsidR="003539C0" w:rsidRPr="007F1287" w:rsidRDefault="003539C0" w:rsidP="003539C0">
      <w:pPr>
        <w:widowControl/>
        <w:spacing w:after="240"/>
        <w:ind w:left="567" w:hanging="567"/>
        <w:rPr>
          <w:b/>
          <w:i/>
          <w:szCs w:val="24"/>
        </w:rPr>
      </w:pPr>
      <w:r w:rsidRPr="007F1287">
        <w:rPr>
          <w:b/>
          <w:i/>
        </w:rPr>
        <w:t>Ďalšie pripomienky</w:t>
      </w:r>
    </w:p>
    <w:p w:rsidR="003539C0" w:rsidRPr="007F1287" w:rsidRDefault="003539C0" w:rsidP="003539C0">
      <w:pPr>
        <w:spacing w:after="240"/>
        <w:ind w:left="567" w:hanging="567"/>
        <w:rPr>
          <w:szCs w:val="24"/>
        </w:rPr>
      </w:pPr>
      <w:r w:rsidRPr="007F1287">
        <w:t>27.</w:t>
      </w:r>
      <w:r w:rsidRPr="007F1287">
        <w:tab/>
        <w:t xml:space="preserve">konštatuje, že v roku 2022 vydal orgán spolu s ostatnými európskymi orgánmi dohľadu varovania pre spotrebiteľov v súvislosti s vysokorizikovými a špekulatívnymi činnosťami spojenými s mnohými </w:t>
      </w:r>
      <w:proofErr w:type="spellStart"/>
      <w:r w:rsidRPr="007F1287">
        <w:t>kryptoaktívami</w:t>
      </w:r>
      <w:proofErr w:type="spellEnd"/>
      <w:r w:rsidRPr="007F1287">
        <w:t>;</w:t>
      </w:r>
    </w:p>
    <w:p w:rsidR="003539C0" w:rsidRPr="007F1287" w:rsidRDefault="003539C0" w:rsidP="003539C0">
      <w:pPr>
        <w:spacing w:after="240"/>
        <w:ind w:left="567" w:hanging="567"/>
        <w:rPr>
          <w:szCs w:val="24"/>
        </w:rPr>
      </w:pPr>
      <w:r w:rsidRPr="007F1287">
        <w:t>28.</w:t>
      </w:r>
      <w:r w:rsidRPr="007F1287">
        <w:tab/>
        <w:t>z odpovedí orgánu na otázky orgánu udeľujúceho absolutórium vyplýva, že orgán v súčasnosti využíva nástroje elektronického verejného obstarávania Komisie (elektronické zadávanie zákazky, elektronické predkladanie, elektronická fakturácia) a medzitým bol zavedený nástroj na riadenie verejného obstarávania (od júla 2023); víta skutočnosť, že výberové konania orgánu EIOPA zahŕňajú požiadavky na kritériá zeleného verejného obstarávania, ak je to možné, a uchádzači orgánu EIOPA musia okrem iného podpísať čestné vyhlásenie o dodržiavaní environmentálnych a sociálnych záväzkov;</w:t>
      </w:r>
    </w:p>
    <w:p w:rsidR="003539C0" w:rsidRPr="007F1287" w:rsidRDefault="003539C0" w:rsidP="003539C0">
      <w:pPr>
        <w:spacing w:after="240"/>
        <w:ind w:left="567" w:hanging="567"/>
      </w:pPr>
      <w:r w:rsidRPr="007F1287">
        <w:t>29.</w:t>
      </w:r>
      <w:r w:rsidRPr="007F1287">
        <w:tab/>
        <w:t>konštatuje, že v roku 2022 orgán zverejňoval výsledky svojej práce vo forme správ na svojom webovom sídle a v sociálnych médiách, pričom väčšinu správ sprevádzala tlačová správa; víta skutočnosť, že v niektorých prípadoch sú k správam pripojené aj zhrnutia, krátke klipy zo sociálnych médií alebo krátke rozhovory, ktoré obsah vysvetľujú jednoduchšie;</w:t>
      </w:r>
    </w:p>
    <w:p w:rsidR="009B2BA1" w:rsidRPr="007F1287" w:rsidRDefault="009B2BA1" w:rsidP="009B2BA1">
      <w:pPr>
        <w:widowControl/>
        <w:spacing w:after="240"/>
        <w:jc w:val="center"/>
        <w:rPr>
          <w:szCs w:val="24"/>
        </w:rPr>
      </w:pPr>
      <w:r w:rsidRPr="007F1287">
        <w:rPr>
          <w:szCs w:val="24"/>
        </w:rPr>
        <w:t>°</w:t>
      </w:r>
    </w:p>
    <w:p w:rsidR="009B2BA1" w:rsidRPr="007F1287" w:rsidRDefault="009B2BA1" w:rsidP="009B2BA1">
      <w:pPr>
        <w:widowControl/>
        <w:spacing w:after="240"/>
        <w:jc w:val="center"/>
        <w:rPr>
          <w:szCs w:val="24"/>
        </w:rPr>
      </w:pPr>
      <w:r w:rsidRPr="007F1287">
        <w:rPr>
          <w:szCs w:val="24"/>
        </w:rPr>
        <w:t>°     °</w:t>
      </w:r>
    </w:p>
    <w:p w:rsidR="003539C0" w:rsidRPr="007F1287" w:rsidRDefault="003539C0" w:rsidP="003539C0">
      <w:pPr>
        <w:pStyle w:val="NormalHanging12a"/>
      </w:pPr>
      <w:r w:rsidRPr="007F1287">
        <w:t>30.</w:t>
      </w:r>
      <w:r w:rsidRPr="007F1287">
        <w:tab/>
        <w:t>pokiaľ ide o ďalšie poznámky horizontálnej povahy, ktoré sú súčasťou rozhodnutia o absolutóriu, odvoláva sa na svoje uznesenie z</w:t>
      </w:r>
      <w:r w:rsidR="009B2BA1" w:rsidRPr="007F1287">
        <w:t> </w:t>
      </w:r>
      <w:r w:rsidR="00563CEF" w:rsidRPr="007F1287">
        <w:t>11</w:t>
      </w:r>
      <w:r w:rsidR="009B2BA1" w:rsidRPr="007F1287">
        <w:t>. apríla</w:t>
      </w:r>
      <w:r w:rsidRPr="007F1287">
        <w:t xml:space="preserve"> 2024</w:t>
      </w:r>
      <w:r w:rsidRPr="007F1287">
        <w:rPr>
          <w:rStyle w:val="FootnoteReference"/>
        </w:rPr>
        <w:footnoteReference w:id="12"/>
      </w:r>
      <w:r w:rsidRPr="007F1287">
        <w:t xml:space="preserve"> o výkonnosti, finančnom riadení a kontrole agentúr.</w:t>
      </w:r>
    </w:p>
    <w:sectPr w:rsidR="003539C0" w:rsidRPr="007F1287" w:rsidSect="0000441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numRestart w:val="eachPage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0699" w:rsidRPr="00004417" w:rsidRDefault="00280699">
      <w:r w:rsidRPr="00004417">
        <w:separator/>
      </w:r>
    </w:p>
  </w:endnote>
  <w:endnote w:type="continuationSeparator" w:id="0">
    <w:p w:rsidR="00280699" w:rsidRPr="00004417" w:rsidRDefault="00280699">
      <w:r w:rsidRPr="0000441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okChampa">
    <w:altName w:val="Leelawadee UI"/>
    <w:charset w:val="00"/>
    <w:family w:val="swiss"/>
    <w:pitch w:val="variable"/>
    <w:sig w:usb0="03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39C0" w:rsidRPr="00004417" w:rsidRDefault="003539C0" w:rsidP="00807770">
    <w:pPr>
      <w:pStyle w:val="EPFooter"/>
    </w:pPr>
    <w:r w:rsidRPr="00004417">
      <w:t>PE</w:t>
    </w:r>
    <w:r w:rsidRPr="00004417">
      <w:rPr>
        <w:rStyle w:val="HideTWBExt"/>
      </w:rPr>
      <w:t>&lt;NoPE&gt;</w:t>
    </w:r>
    <w:r w:rsidRPr="00004417">
      <w:t>753.521</w:t>
    </w:r>
    <w:r w:rsidRPr="00004417">
      <w:rPr>
        <w:rStyle w:val="HideTWBExt"/>
      </w:rPr>
      <w:t>&lt;/NoPE&gt;&lt;Version&gt;</w:t>
    </w:r>
    <w:r w:rsidRPr="00004417">
      <w:t>v02-00</w:t>
    </w:r>
    <w:r w:rsidRPr="00004417">
      <w:rPr>
        <w:rStyle w:val="HideTWBExt"/>
      </w:rPr>
      <w:t>&lt;/Version&gt;</w:t>
    </w:r>
    <w:r w:rsidRPr="00004417">
      <w:tab/>
    </w:r>
    <w:r w:rsidRPr="00004417">
      <w:fldChar w:fldCharType="begin"/>
    </w:r>
    <w:r w:rsidRPr="00004417">
      <w:instrText xml:space="preserve"> PAGE  \* MERGEFORMAT </w:instrText>
    </w:r>
    <w:r w:rsidRPr="00004417">
      <w:fldChar w:fldCharType="separate"/>
    </w:r>
    <w:r w:rsidR="00004417" w:rsidRPr="00004417">
      <w:rPr>
        <w:noProof/>
      </w:rPr>
      <w:t>2</w:t>
    </w:r>
    <w:r w:rsidRPr="00004417">
      <w:fldChar w:fldCharType="end"/>
    </w:r>
    <w:r w:rsidRPr="00004417">
      <w:t>/</w:t>
    </w:r>
    <w:fldSimple w:instr=" NUMPAGES  \* MERGEFORMAT ">
      <w:r w:rsidR="00004417" w:rsidRPr="00004417">
        <w:rPr>
          <w:noProof/>
        </w:rPr>
        <w:t>4</w:t>
      </w:r>
    </w:fldSimple>
    <w:r w:rsidRPr="00004417">
      <w:tab/>
    </w:r>
    <w:r w:rsidRPr="00004417">
      <w:rPr>
        <w:rStyle w:val="HideTWBExt"/>
      </w:rPr>
      <w:t>&lt;PathFdR&gt;</w:t>
    </w:r>
    <w:r w:rsidRPr="00004417">
      <w:t>RR\1298747SK.docx</w:t>
    </w:r>
    <w:r w:rsidRPr="00004417">
      <w:rPr>
        <w:rStyle w:val="HideTWBExt"/>
      </w:rPr>
      <w:t>&lt;/PathFdR&gt;</w:t>
    </w:r>
  </w:p>
  <w:p w:rsidR="003539C0" w:rsidRPr="00004417" w:rsidRDefault="003539C0" w:rsidP="00807770">
    <w:pPr>
      <w:pStyle w:val="EPFooter2"/>
    </w:pPr>
    <w:r w:rsidRPr="00004417">
      <w:t>SK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39C0" w:rsidRPr="00004417" w:rsidRDefault="003539C0" w:rsidP="00807770">
    <w:pPr>
      <w:pStyle w:val="EPFooter"/>
    </w:pPr>
    <w:r w:rsidRPr="00004417">
      <w:rPr>
        <w:rStyle w:val="HideTWBExt"/>
      </w:rPr>
      <w:t>&lt;PathFdR&gt;</w:t>
    </w:r>
    <w:r w:rsidRPr="00004417">
      <w:t>RR\1298747SK.docx</w:t>
    </w:r>
    <w:r w:rsidRPr="00004417">
      <w:rPr>
        <w:rStyle w:val="HideTWBExt"/>
      </w:rPr>
      <w:t>&lt;/PathFdR&gt;</w:t>
    </w:r>
    <w:r w:rsidRPr="00004417">
      <w:tab/>
    </w:r>
    <w:r w:rsidRPr="00004417">
      <w:tab/>
      <w:t>PE</w:t>
    </w:r>
    <w:r w:rsidRPr="00004417">
      <w:rPr>
        <w:rStyle w:val="HideTWBExt"/>
      </w:rPr>
      <w:t>&lt;NoPE&gt;</w:t>
    </w:r>
    <w:r w:rsidRPr="00004417">
      <w:t>753.521</w:t>
    </w:r>
    <w:r w:rsidRPr="00004417">
      <w:rPr>
        <w:rStyle w:val="HideTWBExt"/>
      </w:rPr>
      <w:t>&lt;/NoPE&gt;&lt;Version&gt;</w:t>
    </w:r>
    <w:r w:rsidRPr="00004417">
      <w:t>v02-00</w:t>
    </w:r>
    <w:r w:rsidRPr="00004417">
      <w:rPr>
        <w:rStyle w:val="HideTWBExt"/>
      </w:rPr>
      <w:t>&lt;/Version&gt;</w:t>
    </w:r>
  </w:p>
  <w:p w:rsidR="003539C0" w:rsidRPr="00004417" w:rsidRDefault="003539C0" w:rsidP="00807770">
    <w:pPr>
      <w:pStyle w:val="EPFooter2"/>
    </w:pPr>
    <w:r w:rsidRPr="00004417">
      <w:t>SK</w:t>
    </w:r>
    <w:r w:rsidRPr="00004417">
      <w:tab/>
    </w:r>
    <w:r w:rsidRPr="00004417">
      <w:rPr>
        <w:b w:val="0"/>
        <w:i/>
        <w:color w:val="C0C0C0"/>
        <w:sz w:val="22"/>
      </w:rPr>
      <w:t>Zjednotení v rozmanitosti</w:t>
    </w:r>
    <w:r w:rsidRPr="00004417">
      <w:tab/>
      <w:t>SK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002" w:rsidRPr="00004417" w:rsidRDefault="00064002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002" w:rsidRPr="00004417" w:rsidRDefault="00064002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002" w:rsidRPr="00004417" w:rsidRDefault="0006400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0699" w:rsidRPr="00004417" w:rsidRDefault="00280699">
      <w:r w:rsidRPr="00004417">
        <w:separator/>
      </w:r>
    </w:p>
  </w:footnote>
  <w:footnote w:type="continuationSeparator" w:id="0">
    <w:p w:rsidR="00280699" w:rsidRPr="00004417" w:rsidRDefault="00280699">
      <w:r w:rsidRPr="00004417">
        <w:continuationSeparator/>
      </w:r>
    </w:p>
  </w:footnote>
  <w:footnote w:id="1">
    <w:p w:rsidR="003539C0" w:rsidRPr="00004417" w:rsidRDefault="003539C0" w:rsidP="00004417">
      <w:pPr>
        <w:pStyle w:val="FootnoteText"/>
        <w:ind w:left="567" w:hanging="567"/>
        <w:rPr>
          <w:sz w:val="24"/>
          <w:lang w:val="sk-SK"/>
        </w:rPr>
      </w:pPr>
      <w:r w:rsidRPr="00004417">
        <w:rPr>
          <w:rStyle w:val="FootnoteReference"/>
          <w:sz w:val="24"/>
          <w:lang w:val="sk-SK"/>
        </w:rPr>
        <w:footnoteRef/>
      </w:r>
      <w:r w:rsidR="00004417" w:rsidRPr="00004417">
        <w:rPr>
          <w:sz w:val="24"/>
          <w:lang w:val="sk-SK"/>
        </w:rPr>
        <w:t xml:space="preserve"> </w:t>
      </w:r>
      <w:r w:rsidR="00004417" w:rsidRPr="00004417">
        <w:rPr>
          <w:sz w:val="24"/>
          <w:lang w:val="sk-SK"/>
        </w:rPr>
        <w:tab/>
      </w:r>
      <w:r w:rsidRPr="00004417">
        <w:rPr>
          <w:sz w:val="24"/>
          <w:lang w:val="sk-SK"/>
        </w:rPr>
        <w:t>Ú. v. EÚ C, C/2023/594, 27.10.2023.</w:t>
      </w:r>
    </w:p>
  </w:footnote>
  <w:footnote w:id="2">
    <w:p w:rsidR="003539C0" w:rsidRPr="00004417" w:rsidRDefault="003539C0" w:rsidP="00004417">
      <w:pPr>
        <w:pStyle w:val="FootnoteText"/>
        <w:ind w:left="567" w:hanging="567"/>
        <w:rPr>
          <w:sz w:val="24"/>
          <w:lang w:val="sk-SK"/>
        </w:rPr>
      </w:pPr>
      <w:r w:rsidRPr="00004417">
        <w:rPr>
          <w:rStyle w:val="FootnoteReference"/>
          <w:sz w:val="24"/>
          <w:lang w:val="sk-SK"/>
        </w:rPr>
        <w:footnoteRef/>
      </w:r>
      <w:r w:rsidR="00004417" w:rsidRPr="00004417">
        <w:rPr>
          <w:sz w:val="24"/>
          <w:lang w:val="sk-SK"/>
        </w:rPr>
        <w:t xml:space="preserve"> </w:t>
      </w:r>
      <w:r w:rsidR="00004417" w:rsidRPr="00004417">
        <w:rPr>
          <w:sz w:val="24"/>
          <w:lang w:val="sk-SK"/>
        </w:rPr>
        <w:tab/>
      </w:r>
      <w:r w:rsidRPr="00004417">
        <w:rPr>
          <w:sz w:val="24"/>
          <w:lang w:val="sk-SK"/>
        </w:rPr>
        <w:t>Ú. v. EÚ C, C/2023/112, 12.10.2023.</w:t>
      </w:r>
    </w:p>
  </w:footnote>
  <w:footnote w:id="3">
    <w:p w:rsidR="003539C0" w:rsidRPr="00004417" w:rsidRDefault="003539C0" w:rsidP="00004417">
      <w:pPr>
        <w:pStyle w:val="FootnoteText"/>
        <w:ind w:left="567" w:hanging="567"/>
        <w:rPr>
          <w:sz w:val="24"/>
          <w:lang w:val="sk-SK"/>
        </w:rPr>
      </w:pPr>
      <w:r w:rsidRPr="00004417">
        <w:rPr>
          <w:rStyle w:val="FootnoteReference"/>
          <w:sz w:val="24"/>
          <w:lang w:val="sk-SK"/>
        </w:rPr>
        <w:footnoteRef/>
      </w:r>
      <w:r w:rsidR="00004417" w:rsidRPr="00004417">
        <w:rPr>
          <w:sz w:val="24"/>
          <w:lang w:val="sk-SK"/>
        </w:rPr>
        <w:t xml:space="preserve"> </w:t>
      </w:r>
      <w:r w:rsidR="00004417" w:rsidRPr="00004417">
        <w:rPr>
          <w:sz w:val="24"/>
          <w:lang w:val="sk-SK"/>
        </w:rPr>
        <w:tab/>
      </w:r>
      <w:r w:rsidRPr="00004417">
        <w:rPr>
          <w:sz w:val="24"/>
          <w:lang w:val="sk-SK"/>
        </w:rPr>
        <w:t>Ú. v. EÚ L 193, 30.7.2018, s. 1.</w:t>
      </w:r>
    </w:p>
  </w:footnote>
  <w:footnote w:id="4">
    <w:p w:rsidR="003539C0" w:rsidRPr="00004417" w:rsidRDefault="003539C0" w:rsidP="00004417">
      <w:pPr>
        <w:pStyle w:val="FootnoteText"/>
        <w:ind w:left="567" w:hanging="567"/>
        <w:rPr>
          <w:sz w:val="24"/>
          <w:lang w:val="sk-SK"/>
        </w:rPr>
      </w:pPr>
      <w:r w:rsidRPr="00004417">
        <w:rPr>
          <w:rStyle w:val="FootnoteReference"/>
          <w:sz w:val="24"/>
          <w:lang w:val="sk-SK"/>
        </w:rPr>
        <w:footnoteRef/>
      </w:r>
      <w:r w:rsidR="00004417" w:rsidRPr="00004417">
        <w:rPr>
          <w:sz w:val="24"/>
          <w:lang w:val="sk-SK"/>
        </w:rPr>
        <w:t xml:space="preserve"> </w:t>
      </w:r>
      <w:r w:rsidR="00004417" w:rsidRPr="00004417">
        <w:rPr>
          <w:sz w:val="24"/>
          <w:lang w:val="sk-SK"/>
        </w:rPr>
        <w:tab/>
      </w:r>
      <w:r w:rsidRPr="00004417">
        <w:rPr>
          <w:sz w:val="24"/>
          <w:lang w:val="sk-SK"/>
        </w:rPr>
        <w:t>Ú. v. EÚ L 331, 15.12.2010, s. 48.</w:t>
      </w:r>
    </w:p>
  </w:footnote>
  <w:footnote w:id="5">
    <w:p w:rsidR="003539C0" w:rsidRPr="00004417" w:rsidRDefault="003539C0" w:rsidP="00004417">
      <w:pPr>
        <w:pStyle w:val="FootnoteText"/>
        <w:ind w:left="567" w:hanging="567"/>
        <w:rPr>
          <w:sz w:val="24"/>
          <w:szCs w:val="24"/>
          <w:lang w:val="sk-SK"/>
        </w:rPr>
      </w:pPr>
      <w:r w:rsidRPr="00004417">
        <w:rPr>
          <w:rStyle w:val="FootnoteReference"/>
          <w:sz w:val="24"/>
          <w:lang w:val="sk-SK"/>
        </w:rPr>
        <w:footnoteRef/>
      </w:r>
      <w:r w:rsidR="00004417" w:rsidRPr="00004417">
        <w:rPr>
          <w:sz w:val="24"/>
          <w:lang w:val="sk-SK"/>
        </w:rPr>
        <w:t xml:space="preserve"> </w:t>
      </w:r>
      <w:r w:rsidR="00004417" w:rsidRPr="00004417">
        <w:rPr>
          <w:sz w:val="24"/>
          <w:lang w:val="sk-SK"/>
        </w:rPr>
        <w:tab/>
      </w:r>
      <w:r w:rsidRPr="00004417">
        <w:rPr>
          <w:sz w:val="24"/>
          <w:lang w:val="sk-SK"/>
        </w:rPr>
        <w:t>Ú. v. EÚ L 122, 10.5.2019, s. 1.</w:t>
      </w:r>
    </w:p>
  </w:footnote>
  <w:footnote w:id="6">
    <w:p w:rsidR="003539C0" w:rsidRPr="00004417" w:rsidRDefault="003539C0" w:rsidP="00004417">
      <w:pPr>
        <w:pStyle w:val="FootnoteText"/>
        <w:ind w:left="567" w:hanging="567"/>
        <w:rPr>
          <w:sz w:val="24"/>
          <w:lang w:val="sk-SK"/>
        </w:rPr>
      </w:pPr>
      <w:r w:rsidRPr="00004417">
        <w:rPr>
          <w:rStyle w:val="FootnoteReference"/>
          <w:sz w:val="24"/>
          <w:lang w:val="sk-SK"/>
        </w:rPr>
        <w:footnoteRef/>
      </w:r>
      <w:r w:rsidR="00004417" w:rsidRPr="00004417">
        <w:rPr>
          <w:sz w:val="24"/>
          <w:lang w:val="sk-SK"/>
        </w:rPr>
        <w:t xml:space="preserve"> </w:t>
      </w:r>
      <w:r w:rsidR="00004417" w:rsidRPr="00004417">
        <w:rPr>
          <w:sz w:val="24"/>
          <w:lang w:val="sk-SK"/>
        </w:rPr>
        <w:tab/>
      </w:r>
      <w:r w:rsidRPr="00004417">
        <w:rPr>
          <w:sz w:val="24"/>
          <w:lang w:val="sk-SK"/>
        </w:rPr>
        <w:t>Ú. v. EÚ C, C/2023/594, 27.10.2023.</w:t>
      </w:r>
    </w:p>
  </w:footnote>
  <w:footnote w:id="7">
    <w:p w:rsidR="003539C0" w:rsidRPr="00004417" w:rsidRDefault="003539C0" w:rsidP="00004417">
      <w:pPr>
        <w:pStyle w:val="FootnoteText"/>
        <w:ind w:left="567" w:hanging="567"/>
        <w:rPr>
          <w:sz w:val="24"/>
          <w:lang w:val="sk-SK"/>
        </w:rPr>
      </w:pPr>
      <w:r w:rsidRPr="00004417">
        <w:rPr>
          <w:rStyle w:val="FootnoteReference"/>
          <w:sz w:val="24"/>
          <w:lang w:val="sk-SK"/>
        </w:rPr>
        <w:footnoteRef/>
      </w:r>
      <w:r w:rsidR="00004417" w:rsidRPr="00004417">
        <w:rPr>
          <w:sz w:val="24"/>
          <w:lang w:val="sk-SK"/>
        </w:rPr>
        <w:t xml:space="preserve"> </w:t>
      </w:r>
      <w:r w:rsidR="00004417" w:rsidRPr="00004417">
        <w:rPr>
          <w:sz w:val="24"/>
          <w:lang w:val="sk-SK"/>
        </w:rPr>
        <w:tab/>
      </w:r>
      <w:r w:rsidRPr="00004417">
        <w:rPr>
          <w:sz w:val="24"/>
          <w:lang w:val="sk-SK"/>
        </w:rPr>
        <w:t>Ú. v. EÚ C, C/2023/112, 12.10.2023.</w:t>
      </w:r>
    </w:p>
  </w:footnote>
  <w:footnote w:id="8">
    <w:p w:rsidR="003539C0" w:rsidRPr="00004417" w:rsidRDefault="003539C0" w:rsidP="00004417">
      <w:pPr>
        <w:pStyle w:val="FootnoteText"/>
        <w:ind w:left="567" w:hanging="567"/>
        <w:rPr>
          <w:sz w:val="24"/>
          <w:lang w:val="sk-SK"/>
        </w:rPr>
      </w:pPr>
      <w:r w:rsidRPr="00004417">
        <w:rPr>
          <w:rStyle w:val="FootnoteReference"/>
          <w:sz w:val="24"/>
          <w:lang w:val="sk-SK"/>
        </w:rPr>
        <w:footnoteRef/>
      </w:r>
      <w:r w:rsidR="00004417" w:rsidRPr="00004417">
        <w:rPr>
          <w:sz w:val="24"/>
          <w:lang w:val="sk-SK"/>
        </w:rPr>
        <w:t xml:space="preserve"> </w:t>
      </w:r>
      <w:r w:rsidR="00004417" w:rsidRPr="00004417">
        <w:rPr>
          <w:sz w:val="24"/>
          <w:lang w:val="sk-SK"/>
        </w:rPr>
        <w:tab/>
      </w:r>
      <w:r w:rsidRPr="00004417">
        <w:rPr>
          <w:sz w:val="24"/>
          <w:lang w:val="sk-SK"/>
        </w:rPr>
        <w:t>Ú. v. EÚ L 193, 30.7.2018, s. 1.</w:t>
      </w:r>
    </w:p>
  </w:footnote>
  <w:footnote w:id="9">
    <w:p w:rsidR="003539C0" w:rsidRPr="00004417" w:rsidRDefault="003539C0" w:rsidP="00004417">
      <w:pPr>
        <w:pStyle w:val="FootnoteText"/>
        <w:ind w:left="567" w:hanging="567"/>
        <w:rPr>
          <w:sz w:val="24"/>
          <w:lang w:val="sk-SK"/>
        </w:rPr>
      </w:pPr>
      <w:r w:rsidRPr="00004417">
        <w:rPr>
          <w:rStyle w:val="FootnoteReference"/>
          <w:sz w:val="24"/>
          <w:lang w:val="sk-SK"/>
        </w:rPr>
        <w:footnoteRef/>
      </w:r>
      <w:r w:rsidR="00004417" w:rsidRPr="00004417">
        <w:rPr>
          <w:sz w:val="24"/>
          <w:lang w:val="sk-SK"/>
        </w:rPr>
        <w:t xml:space="preserve"> </w:t>
      </w:r>
      <w:r w:rsidR="00004417" w:rsidRPr="00004417">
        <w:rPr>
          <w:sz w:val="24"/>
          <w:lang w:val="sk-SK"/>
        </w:rPr>
        <w:tab/>
      </w:r>
      <w:r w:rsidRPr="00004417">
        <w:rPr>
          <w:sz w:val="24"/>
          <w:lang w:val="sk-SK"/>
        </w:rPr>
        <w:t>Ú. v. EÚ L 331, 15.12.2010, s. 48.</w:t>
      </w:r>
    </w:p>
  </w:footnote>
  <w:footnote w:id="10">
    <w:p w:rsidR="003539C0" w:rsidRPr="00004417" w:rsidRDefault="003539C0" w:rsidP="00004417">
      <w:pPr>
        <w:pStyle w:val="FootnoteText"/>
        <w:ind w:left="567" w:hanging="567"/>
        <w:rPr>
          <w:sz w:val="24"/>
          <w:szCs w:val="24"/>
          <w:lang w:val="sk-SK"/>
        </w:rPr>
      </w:pPr>
      <w:r w:rsidRPr="00004417">
        <w:rPr>
          <w:rStyle w:val="FootnoteReference"/>
          <w:sz w:val="24"/>
          <w:lang w:val="sk-SK"/>
        </w:rPr>
        <w:footnoteRef/>
      </w:r>
      <w:r w:rsidR="00004417" w:rsidRPr="00004417">
        <w:rPr>
          <w:sz w:val="24"/>
          <w:lang w:val="sk-SK"/>
        </w:rPr>
        <w:t xml:space="preserve"> </w:t>
      </w:r>
      <w:r w:rsidR="00004417" w:rsidRPr="00004417">
        <w:rPr>
          <w:sz w:val="24"/>
          <w:lang w:val="sk-SK"/>
        </w:rPr>
        <w:tab/>
      </w:r>
      <w:r w:rsidRPr="00004417">
        <w:rPr>
          <w:sz w:val="24"/>
          <w:lang w:val="sk-SK"/>
        </w:rPr>
        <w:t>Ú. v. EÚ L 122, 10.5.2019, s. 1.</w:t>
      </w:r>
    </w:p>
  </w:footnote>
  <w:footnote w:id="11">
    <w:p w:rsidR="003539C0" w:rsidRPr="00004417" w:rsidRDefault="003539C0" w:rsidP="00004417">
      <w:pPr>
        <w:pStyle w:val="FootnoteText"/>
        <w:ind w:left="567" w:hanging="567"/>
        <w:rPr>
          <w:sz w:val="24"/>
          <w:lang w:val="sk-SK"/>
        </w:rPr>
      </w:pPr>
      <w:r w:rsidRPr="00004417">
        <w:rPr>
          <w:rStyle w:val="FootnoteReference"/>
          <w:sz w:val="24"/>
          <w:lang w:val="sk-SK"/>
        </w:rPr>
        <w:footnoteRef/>
      </w:r>
      <w:r w:rsidR="00004417" w:rsidRPr="00004417">
        <w:rPr>
          <w:sz w:val="24"/>
          <w:lang w:val="sk-SK"/>
        </w:rPr>
        <w:t xml:space="preserve"> </w:t>
      </w:r>
      <w:r w:rsidR="00004417" w:rsidRPr="00004417">
        <w:rPr>
          <w:sz w:val="24"/>
          <w:lang w:val="sk-SK"/>
        </w:rPr>
        <w:tab/>
      </w:r>
      <w:r w:rsidRPr="00004417">
        <w:rPr>
          <w:sz w:val="24"/>
          <w:lang w:val="sk-SK"/>
        </w:rPr>
        <w:t>Ú. v. EÚ C 38, 31.1.2023, s. 78.</w:t>
      </w:r>
    </w:p>
  </w:footnote>
  <w:footnote w:id="12">
    <w:p w:rsidR="003539C0" w:rsidRPr="00004417" w:rsidRDefault="003539C0" w:rsidP="00004417">
      <w:pPr>
        <w:pStyle w:val="FootnoteText"/>
        <w:ind w:left="567" w:hanging="567"/>
        <w:rPr>
          <w:sz w:val="24"/>
          <w:lang w:val="sk-SK"/>
        </w:rPr>
      </w:pPr>
      <w:r w:rsidRPr="00004417">
        <w:rPr>
          <w:rStyle w:val="FootnoteReference"/>
          <w:sz w:val="24"/>
          <w:lang w:val="sk-SK"/>
        </w:rPr>
        <w:footnoteRef/>
      </w:r>
      <w:r w:rsidR="00004417" w:rsidRPr="00004417">
        <w:rPr>
          <w:sz w:val="24"/>
          <w:lang w:val="sk-SK"/>
        </w:rPr>
        <w:t xml:space="preserve"> </w:t>
      </w:r>
      <w:r w:rsidR="00004417" w:rsidRPr="00004417">
        <w:rPr>
          <w:sz w:val="24"/>
          <w:lang w:val="sk-SK"/>
        </w:rPr>
        <w:tab/>
      </w:r>
      <w:r w:rsidRPr="00004417">
        <w:rPr>
          <w:sz w:val="24"/>
          <w:lang w:val="sk-SK"/>
        </w:rPr>
        <w:t>Prijaté texty, P9_TA(2024)</w:t>
      </w:r>
      <w:r w:rsidR="007F1287">
        <w:rPr>
          <w:sz w:val="24"/>
          <w:lang w:val="sk-SK"/>
        </w:rPr>
        <w:t>0280</w:t>
      </w:r>
      <w:r w:rsidRPr="00004417">
        <w:rPr>
          <w:sz w:val="24"/>
          <w:lang w:val="sk-SK"/>
        </w:rPr>
        <w:t>.</w:t>
      </w:r>
      <w:bookmarkStart w:id="12" w:name="_GoBack"/>
      <w:bookmarkEnd w:id="12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002" w:rsidRPr="00004417" w:rsidRDefault="0006400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002" w:rsidRPr="00004417" w:rsidRDefault="0006400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4002" w:rsidRPr="00004417" w:rsidRDefault="0006400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3C6E60"/>
    <w:multiLevelType w:val="multilevel"/>
    <w:tmpl w:val="BC64E5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abstractNum w:abstractNumId="11" w15:restartNumberingAfterBreak="0">
    <w:nsid w:val="39692AE2"/>
    <w:multiLevelType w:val="multilevel"/>
    <w:tmpl w:val="975EA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122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1728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2232"/>
        </w:tabs>
        <w:ind w:left="2232" w:hanging="223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27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324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374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4320"/>
      </w:p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  <w:num w:numId="41">
    <w:abstractNumId w:val="10"/>
  </w:num>
  <w:num w:numId="42">
    <w:abstractNumId w:val="10"/>
  </w:num>
  <w:num w:numId="43">
    <w:abstractNumId w:val="10"/>
  </w:num>
  <w:num w:numId="4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vdocse" w:val="A9-0097/2024"/>
    <w:docVar w:name="dvlangue" w:val="SK"/>
    <w:docVar w:name="dvnumam" w:val="0"/>
    <w:docVar w:name="dvpe" w:val="753.521"/>
    <w:docVar w:name="dvrapporteur" w:val="Spravodajca: "/>
    <w:docVar w:name="dvtitre" w:val="Rozhodnutie Európskeho parlamentu z xx. apríla 2024 o absolutóriu za plnenie rozpočtu Európskeho orgánu pre poisťovníctvo a dôchodkové poistenie zamestnancov za rozpočtový rok 2022(2023/2153(DEC))"/>
  </w:docVars>
  <w:rsids>
    <w:rsidRoot w:val="00280699"/>
    <w:rsid w:val="00002272"/>
    <w:rsid w:val="00004417"/>
    <w:rsid w:val="00064002"/>
    <w:rsid w:val="000677B9"/>
    <w:rsid w:val="000831BA"/>
    <w:rsid w:val="000A42CC"/>
    <w:rsid w:val="000E7DD9"/>
    <w:rsid w:val="0010095E"/>
    <w:rsid w:val="00125B37"/>
    <w:rsid w:val="00184B3E"/>
    <w:rsid w:val="00187494"/>
    <w:rsid w:val="001F32AE"/>
    <w:rsid w:val="002767FF"/>
    <w:rsid w:val="00280699"/>
    <w:rsid w:val="002B18FE"/>
    <w:rsid w:val="002B5493"/>
    <w:rsid w:val="002C161E"/>
    <w:rsid w:val="00343214"/>
    <w:rsid w:val="003539C0"/>
    <w:rsid w:val="00361C00"/>
    <w:rsid w:val="00395FA1"/>
    <w:rsid w:val="003E15D4"/>
    <w:rsid w:val="00411CCE"/>
    <w:rsid w:val="0041666E"/>
    <w:rsid w:val="00421060"/>
    <w:rsid w:val="00471C19"/>
    <w:rsid w:val="004867E3"/>
    <w:rsid w:val="00494A28"/>
    <w:rsid w:val="004C0004"/>
    <w:rsid w:val="004C5D52"/>
    <w:rsid w:val="0050519A"/>
    <w:rsid w:val="005072A1"/>
    <w:rsid w:val="00514517"/>
    <w:rsid w:val="00545827"/>
    <w:rsid w:val="00560270"/>
    <w:rsid w:val="00563CEF"/>
    <w:rsid w:val="005A4ABA"/>
    <w:rsid w:val="005C2568"/>
    <w:rsid w:val="006037C0"/>
    <w:rsid w:val="006631B6"/>
    <w:rsid w:val="00680577"/>
    <w:rsid w:val="006F74FA"/>
    <w:rsid w:val="00731ADD"/>
    <w:rsid w:val="00734777"/>
    <w:rsid w:val="00747932"/>
    <w:rsid w:val="00751A4A"/>
    <w:rsid w:val="00756632"/>
    <w:rsid w:val="00762C74"/>
    <w:rsid w:val="00786EC0"/>
    <w:rsid w:val="007C575A"/>
    <w:rsid w:val="007D1690"/>
    <w:rsid w:val="007E22AD"/>
    <w:rsid w:val="007F1287"/>
    <w:rsid w:val="00817416"/>
    <w:rsid w:val="00842779"/>
    <w:rsid w:val="00865F67"/>
    <w:rsid w:val="00881A7B"/>
    <w:rsid w:val="008840E5"/>
    <w:rsid w:val="00887B3E"/>
    <w:rsid w:val="008C2AC6"/>
    <w:rsid w:val="00930C23"/>
    <w:rsid w:val="0093193B"/>
    <w:rsid w:val="009509D8"/>
    <w:rsid w:val="00950B64"/>
    <w:rsid w:val="00981893"/>
    <w:rsid w:val="009B2BA1"/>
    <w:rsid w:val="00A1687D"/>
    <w:rsid w:val="00A43E52"/>
    <w:rsid w:val="00A4678D"/>
    <w:rsid w:val="00A778C7"/>
    <w:rsid w:val="00AB441E"/>
    <w:rsid w:val="00AB6293"/>
    <w:rsid w:val="00AE0928"/>
    <w:rsid w:val="00AF3B82"/>
    <w:rsid w:val="00B12E95"/>
    <w:rsid w:val="00B22876"/>
    <w:rsid w:val="00B558F0"/>
    <w:rsid w:val="00BD48FE"/>
    <w:rsid w:val="00BD7BD8"/>
    <w:rsid w:val="00BE6ADC"/>
    <w:rsid w:val="00C05BFE"/>
    <w:rsid w:val="00C23CD4"/>
    <w:rsid w:val="00C61C0C"/>
    <w:rsid w:val="00C941CB"/>
    <w:rsid w:val="00CC2357"/>
    <w:rsid w:val="00CF071A"/>
    <w:rsid w:val="00D058B8"/>
    <w:rsid w:val="00D56C11"/>
    <w:rsid w:val="00D834A0"/>
    <w:rsid w:val="00D872DF"/>
    <w:rsid w:val="00D91E21"/>
    <w:rsid w:val="00DA7FCD"/>
    <w:rsid w:val="00E365E1"/>
    <w:rsid w:val="00E820A4"/>
    <w:rsid w:val="00EB006A"/>
    <w:rsid w:val="00EB4772"/>
    <w:rsid w:val="00ED169E"/>
    <w:rsid w:val="00ED4235"/>
    <w:rsid w:val="00F04346"/>
    <w:rsid w:val="00F075DC"/>
    <w:rsid w:val="00F149E9"/>
    <w:rsid w:val="00F5134D"/>
    <w:rsid w:val="00F74202"/>
    <w:rsid w:val="00F87713"/>
    <w:rsid w:val="00FB4360"/>
    <w:rsid w:val="00FD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13F647-00BA-4465-A7E8-ECEEA80EE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7FCD"/>
    <w:pPr>
      <w:widowControl w:val="0"/>
    </w:pPr>
    <w:rPr>
      <w:sz w:val="24"/>
      <w:lang w:val="sk-SK"/>
    </w:rPr>
  </w:style>
  <w:style w:type="paragraph" w:styleId="Heading1">
    <w:name w:val="heading 1"/>
    <w:basedOn w:val="Normal"/>
    <w:next w:val="Normal"/>
    <w:semiHidden/>
    <w:qFormat/>
    <w:rsid w:val="00395FA1"/>
    <w:pPr>
      <w:keepNext/>
      <w:keepLines/>
      <w:widowControl/>
      <w:spacing w:after="120"/>
      <w:ind w:left="510" w:hanging="510"/>
      <w:outlineLvl w:val="0"/>
    </w:pPr>
    <w:rPr>
      <w:b/>
      <w:kern w:val="28"/>
      <w:sz w:val="28"/>
      <w:lang w:val="fr-FR" w:eastAsia="fr-FR"/>
    </w:rPr>
  </w:style>
  <w:style w:type="paragraph" w:styleId="Heading2">
    <w:name w:val="heading 2"/>
    <w:basedOn w:val="Normal"/>
    <w:next w:val="Normal"/>
    <w:semiHidden/>
    <w:qFormat/>
    <w:rsid w:val="00395FA1"/>
    <w:pPr>
      <w:keepNext/>
      <w:widowControl/>
      <w:numPr>
        <w:ilvl w:val="1"/>
        <w:numId w:val="43"/>
      </w:numPr>
      <w:spacing w:before="240" w:after="60"/>
      <w:outlineLvl w:val="1"/>
    </w:pPr>
    <w:rPr>
      <w:lang w:val="fr-FR" w:eastAsia="fr-FR"/>
    </w:rPr>
  </w:style>
  <w:style w:type="paragraph" w:styleId="Heading3">
    <w:name w:val="heading 3"/>
    <w:basedOn w:val="Normal"/>
    <w:next w:val="Normal"/>
    <w:semiHidden/>
    <w:qFormat/>
    <w:rsid w:val="00395FA1"/>
    <w:pPr>
      <w:keepNext/>
      <w:widowControl/>
      <w:numPr>
        <w:ilvl w:val="2"/>
        <w:numId w:val="43"/>
      </w:numPr>
      <w:spacing w:before="240" w:after="60"/>
      <w:outlineLvl w:val="2"/>
    </w:pPr>
    <w:rPr>
      <w:rFonts w:ascii="Arial" w:hAnsi="Arial"/>
      <w:lang w:val="fr-FR" w:eastAsia="fr-FR"/>
    </w:rPr>
  </w:style>
  <w:style w:type="paragraph" w:styleId="Heading4">
    <w:name w:val="heading 4"/>
    <w:basedOn w:val="Normal"/>
    <w:next w:val="Normal"/>
    <w:semiHidden/>
    <w:qFormat/>
    <w:rsid w:val="00395FA1"/>
    <w:pPr>
      <w:keepNext/>
      <w:widowControl/>
      <w:numPr>
        <w:ilvl w:val="3"/>
        <w:numId w:val="43"/>
      </w:numPr>
      <w:spacing w:before="240" w:after="60"/>
      <w:outlineLvl w:val="3"/>
    </w:pPr>
    <w:rPr>
      <w:lang w:val="en-US" w:eastAsia="fr-FR"/>
    </w:rPr>
  </w:style>
  <w:style w:type="paragraph" w:styleId="Heading5">
    <w:name w:val="heading 5"/>
    <w:basedOn w:val="Normal"/>
    <w:next w:val="Normal"/>
    <w:semiHidden/>
    <w:qFormat/>
    <w:rsid w:val="00395FA1"/>
    <w:pPr>
      <w:widowControl/>
      <w:numPr>
        <w:ilvl w:val="4"/>
        <w:numId w:val="44"/>
      </w:numPr>
      <w:spacing w:before="240" w:after="60"/>
      <w:outlineLvl w:val="4"/>
    </w:pPr>
    <w:rPr>
      <w:lang w:val="en-US" w:eastAsia="fr-FR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styleId="TOC1">
    <w:name w:val="toc 1"/>
    <w:basedOn w:val="Normal"/>
    <w:next w:val="Normal"/>
    <w:autoRedefine/>
    <w:semiHidden/>
    <w:rsid w:val="00395FA1"/>
    <w:pPr>
      <w:keepNext/>
      <w:keepLines/>
      <w:widowControl/>
      <w:spacing w:before="200"/>
    </w:pPr>
    <w:rPr>
      <w:b/>
      <w:noProof/>
      <w:lang w:val="fr-FR" w:eastAsia="fr-FR"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EPBodyTA2">
    <w:name w:val="EPBodyTA2"/>
    <w:basedOn w:val="Normal"/>
    <w:rsid w:val="00AE0928"/>
    <w:pPr>
      <w:jc w:val="center"/>
    </w:pPr>
    <w:rPr>
      <w:rFonts w:ascii="Arial" w:hAnsi="Arial"/>
      <w:bCs/>
      <w:i/>
      <w:sz w:val="20"/>
    </w:rPr>
  </w:style>
  <w:style w:type="table" w:styleId="TableGrid">
    <w:name w:val="Table Grid"/>
    <w:basedOn w:val="TableNormal"/>
    <w:rsid w:val="00D058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TA1">
    <w:name w:val="EPBodyTA1"/>
    <w:basedOn w:val="Normal"/>
    <w:rsid w:val="00AE0928"/>
    <w:pPr>
      <w:jc w:val="center"/>
    </w:pPr>
    <w:rPr>
      <w:rFonts w:ascii="Arial" w:hAnsi="Arial" w:cs="Arial"/>
      <w:b/>
      <w:sz w:val="22"/>
      <w:szCs w:val="22"/>
    </w:rPr>
  </w:style>
  <w:style w:type="paragraph" w:customStyle="1" w:styleId="LineTop">
    <w:name w:val="LineTop"/>
    <w:basedOn w:val="Normal"/>
    <w:next w:val="Normal"/>
    <w:rsid w:val="00D058B8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A1687D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ATHeading1">
    <w:name w:val="AT Heading 1"/>
    <w:basedOn w:val="Normal"/>
    <w:next w:val="Normal"/>
    <w:rsid w:val="00F5134D"/>
    <w:pPr>
      <w:keepNext/>
      <w:keepLines/>
      <w:widowControl/>
      <w:spacing w:before="480" w:after="120"/>
      <w:outlineLvl w:val="0"/>
    </w:pPr>
    <w:rPr>
      <w:b/>
      <w:sz w:val="28"/>
      <w:lang w:eastAsia="fr-FR"/>
    </w:rPr>
  </w:style>
  <w:style w:type="paragraph" w:customStyle="1" w:styleId="ATHeading2">
    <w:name w:val="AT Heading 2"/>
    <w:basedOn w:val="Normal"/>
    <w:next w:val="Normal"/>
    <w:rsid w:val="00395FA1"/>
    <w:pPr>
      <w:widowControl/>
      <w:spacing w:before="120" w:after="120"/>
      <w:outlineLvl w:val="1"/>
    </w:pPr>
    <w:rPr>
      <w:b/>
      <w:sz w:val="28"/>
      <w:lang w:eastAsia="fr-FR"/>
    </w:rPr>
  </w:style>
  <w:style w:type="paragraph" w:customStyle="1" w:styleId="ATHeading3">
    <w:name w:val="AT Heading 3"/>
    <w:basedOn w:val="Normal"/>
    <w:next w:val="Normal"/>
    <w:rsid w:val="00395FA1"/>
    <w:pPr>
      <w:keepNext/>
      <w:keepLines/>
      <w:widowControl/>
      <w:spacing w:before="120" w:after="120"/>
      <w:outlineLvl w:val="2"/>
    </w:pPr>
    <w:rPr>
      <w:b/>
      <w:lang w:eastAsia="fr-FR"/>
    </w:rPr>
  </w:style>
  <w:style w:type="paragraph" w:customStyle="1" w:styleId="ATHeadingMotiv">
    <w:name w:val="AT Heading Motiv"/>
    <w:basedOn w:val="Normal"/>
    <w:next w:val="Normal"/>
    <w:rsid w:val="00395FA1"/>
    <w:pPr>
      <w:keepNext/>
      <w:widowControl/>
      <w:spacing w:before="60" w:after="60"/>
      <w:jc w:val="center"/>
    </w:pPr>
    <w:rPr>
      <w:i/>
      <w:lang w:eastAsia="fr-FR"/>
    </w:rPr>
  </w:style>
  <w:style w:type="character" w:styleId="FootnoteReference">
    <w:name w:val="footnote reference"/>
    <w:rsid w:val="00395FA1"/>
    <w:rPr>
      <w:b w:val="0"/>
      <w:vertAlign w:val="superscript"/>
    </w:rPr>
  </w:style>
  <w:style w:type="paragraph" w:styleId="FootnoteText">
    <w:name w:val="footnote text"/>
    <w:basedOn w:val="Normal"/>
    <w:link w:val="FootnoteTextChar"/>
    <w:rsid w:val="00395FA1"/>
    <w:pPr>
      <w:keepLines/>
      <w:widowControl/>
      <w:spacing w:line="260" w:lineRule="exact"/>
      <w:ind w:left="425" w:hanging="425"/>
    </w:pPr>
    <w:rPr>
      <w:sz w:val="22"/>
      <w:lang w:val="fr-FR" w:eastAsia="fr-FR"/>
    </w:rPr>
  </w:style>
  <w:style w:type="character" w:customStyle="1" w:styleId="FootnoteTextChar">
    <w:name w:val="Footnote Text Char"/>
    <w:link w:val="FootnoteText"/>
    <w:rsid w:val="00762C74"/>
    <w:rPr>
      <w:sz w:val="22"/>
      <w:lang w:val="fr-FR" w:eastAsia="fr-FR"/>
    </w:rPr>
  </w:style>
  <w:style w:type="character" w:styleId="PageNumber">
    <w:name w:val="page number"/>
    <w:semiHidden/>
    <w:rsid w:val="00395FA1"/>
  </w:style>
  <w:style w:type="paragraph" w:styleId="TOC2">
    <w:name w:val="toc 2"/>
    <w:basedOn w:val="Normal"/>
    <w:next w:val="Normal"/>
    <w:autoRedefine/>
    <w:semiHidden/>
    <w:rsid w:val="00395FA1"/>
    <w:pPr>
      <w:keepNext/>
      <w:keepLines/>
      <w:widowControl/>
    </w:pPr>
    <w:rPr>
      <w:b/>
      <w:noProof/>
      <w:lang w:val="fr-FR" w:eastAsia="fr-FR"/>
    </w:rPr>
  </w:style>
  <w:style w:type="paragraph" w:styleId="TOC3">
    <w:name w:val="toc 3"/>
    <w:basedOn w:val="Normal"/>
    <w:next w:val="Normal"/>
    <w:autoRedefine/>
    <w:semiHidden/>
    <w:rsid w:val="00395FA1"/>
    <w:pPr>
      <w:keepLines/>
      <w:widowControl/>
      <w:ind w:right="510"/>
    </w:pPr>
    <w:rPr>
      <w:noProof/>
      <w:lang w:val="fr-FR" w:eastAsia="fr-FR"/>
    </w:rPr>
  </w:style>
  <w:style w:type="paragraph" w:customStyle="1" w:styleId="EPName">
    <w:name w:val="EPName"/>
    <w:basedOn w:val="Normal"/>
    <w:rsid w:val="00751A4A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EPTerm">
    <w:name w:val="EPTerm"/>
    <w:basedOn w:val="Normal"/>
    <w:next w:val="Normal"/>
    <w:rsid w:val="00751A4A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751A4A"/>
    <w:pPr>
      <w:jc w:val="right"/>
    </w:pPr>
  </w:style>
  <w:style w:type="paragraph" w:customStyle="1" w:styleId="EPFooter2">
    <w:name w:val="EPFooter2"/>
    <w:basedOn w:val="Normal"/>
    <w:next w:val="Normal"/>
    <w:rsid w:val="003539C0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customStyle="1" w:styleId="EPComma">
    <w:name w:val="EPComma"/>
    <w:basedOn w:val="Normal"/>
    <w:rsid w:val="003539C0"/>
    <w:pPr>
      <w:spacing w:before="480" w:after="240"/>
    </w:pPr>
  </w:style>
  <w:style w:type="paragraph" w:customStyle="1" w:styleId="PageHeading">
    <w:name w:val="PageHeading"/>
    <w:basedOn w:val="Normal"/>
    <w:rsid w:val="003539C0"/>
    <w:pPr>
      <w:keepNext/>
      <w:spacing w:after="480"/>
      <w:jc w:val="center"/>
    </w:pPr>
    <w:rPr>
      <w:rFonts w:ascii="Arial" w:hAnsi="Arial" w:cs="Arial"/>
      <w:b/>
    </w:rPr>
  </w:style>
  <w:style w:type="paragraph" w:customStyle="1" w:styleId="NormalBold">
    <w:name w:val="NormalBold"/>
    <w:basedOn w:val="Normal"/>
    <w:rsid w:val="003539C0"/>
    <w:rPr>
      <w:b/>
    </w:rPr>
  </w:style>
  <w:style w:type="paragraph" w:customStyle="1" w:styleId="NormalHanging12a">
    <w:name w:val="NormalHanging12a"/>
    <w:basedOn w:val="Normal"/>
    <w:link w:val="NormalHanging12aChar"/>
    <w:rsid w:val="003539C0"/>
    <w:pPr>
      <w:spacing w:after="240"/>
      <w:ind w:left="567" w:hanging="567"/>
    </w:pPr>
  </w:style>
  <w:style w:type="paragraph" w:customStyle="1" w:styleId="NormalCenter12a">
    <w:name w:val="NormalCenter12a"/>
    <w:basedOn w:val="Normal"/>
    <w:rsid w:val="003539C0"/>
    <w:pPr>
      <w:spacing w:after="240"/>
      <w:jc w:val="center"/>
    </w:pPr>
  </w:style>
  <w:style w:type="paragraph" w:styleId="Header">
    <w:name w:val="header"/>
    <w:basedOn w:val="Normal"/>
    <w:link w:val="HeaderChar"/>
    <w:rsid w:val="003539C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3539C0"/>
    <w:rPr>
      <w:sz w:val="24"/>
      <w:lang w:val="sk-SK"/>
    </w:rPr>
  </w:style>
  <w:style w:type="paragraph" w:customStyle="1" w:styleId="EPFooter">
    <w:name w:val="EPFooter"/>
    <w:basedOn w:val="Normal"/>
    <w:rsid w:val="003539C0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customStyle="1" w:styleId="NormalHanging12aChar">
    <w:name w:val="NormalHanging12a Char"/>
    <w:basedOn w:val="DefaultParagraphFont"/>
    <w:link w:val="NormalHanging12a"/>
    <w:rsid w:val="003539C0"/>
    <w:rPr>
      <w:sz w:val="24"/>
      <w:lang w:val="sk-SK"/>
    </w:rPr>
  </w:style>
  <w:style w:type="paragraph" w:styleId="Footer">
    <w:name w:val="footer"/>
    <w:basedOn w:val="Normal"/>
    <w:link w:val="FooterChar"/>
    <w:rsid w:val="009B2BA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9B2BA1"/>
    <w:rPr>
      <w:sz w:val="24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D07298-B08E-49D6-AE4F-D299AC581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3223</Words>
  <Characters>19696</Characters>
  <Application>Microsoft Office Word</Application>
  <DocSecurity>0</DocSecurity>
  <Lines>164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</vt:lpstr>
    </vt:vector>
  </TitlesOfParts>
  <Company/>
  <LinksUpToDate>false</LinksUpToDate>
  <CharactersWithSpaces>22874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</dc:title>
  <dc:subject/>
  <dc:creator>SOLTYSOVA Zuzana</dc:creator>
  <cp:keywords/>
  <cp:lastModifiedBy>Alexandre Zuzana</cp:lastModifiedBy>
  <cp:revision>3</cp:revision>
  <cp:lastPrinted>2004-11-19T15:42:00Z</cp:lastPrinted>
  <dcterms:created xsi:type="dcterms:W3CDTF">2024-04-11T11:09:00Z</dcterms:created>
  <dcterms:modified xsi:type="dcterms:W3CDTF">2024-04-11T13:57:00Z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SK</vt:lpwstr>
  </property>
  <property fmtid="{D5CDD505-2E9C-101B-9397-08002B2CF9AE}" pid="3" name="&lt;FdR&gt;">
    <vt:lpwstr>A9-0097/2024</vt:lpwstr>
  </property>
  <property fmtid="{D5CDD505-2E9C-101B-9397-08002B2CF9AE}" pid="4" name="&lt;Type&gt;">
    <vt:lpwstr>RR</vt:lpwstr>
  </property>
</Properties>
</file>