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6536" w:rsidTr="0010095E">
        <w:trPr>
          <w:trHeight w:hRule="exact" w:val="1418"/>
        </w:trPr>
        <w:tc>
          <w:tcPr>
            <w:tcW w:w="6804" w:type="dxa"/>
            <w:shd w:val="clear" w:color="auto" w:fill="auto"/>
            <w:vAlign w:val="center"/>
          </w:tcPr>
          <w:p w:rsidR="00751A4A" w:rsidRPr="00546536" w:rsidRDefault="00DB5CFE" w:rsidP="0010095E">
            <w:pPr>
              <w:pStyle w:val="EPName"/>
            </w:pPr>
            <w:r w:rsidRPr="00546536">
              <w:t>Evropski parlament</w:t>
            </w:r>
          </w:p>
          <w:p w:rsidR="00751A4A" w:rsidRPr="00546536" w:rsidRDefault="00817416" w:rsidP="00756632">
            <w:pPr>
              <w:pStyle w:val="EPTerm"/>
              <w:rPr>
                <w:rStyle w:val="HideTWBExt"/>
                <w:noProof w:val="0"/>
                <w:vanish w:val="0"/>
                <w:color w:val="auto"/>
              </w:rPr>
            </w:pPr>
            <w:r w:rsidRPr="00546536">
              <w:t>2019-2024</w:t>
            </w:r>
          </w:p>
        </w:tc>
        <w:tc>
          <w:tcPr>
            <w:tcW w:w="2268" w:type="dxa"/>
            <w:shd w:val="clear" w:color="auto" w:fill="auto"/>
          </w:tcPr>
          <w:p w:rsidR="00751A4A" w:rsidRPr="00546536" w:rsidRDefault="00187494" w:rsidP="0010095E">
            <w:pPr>
              <w:pStyle w:val="EPLogo"/>
            </w:pPr>
            <w:r w:rsidRPr="005465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6536" w:rsidRDefault="00D058B8" w:rsidP="004C5D52">
      <w:pPr>
        <w:pStyle w:val="LineTop"/>
      </w:pPr>
    </w:p>
    <w:p w:rsidR="00680577" w:rsidRPr="00546536" w:rsidRDefault="00DB5CFE" w:rsidP="00680577">
      <w:pPr>
        <w:pStyle w:val="EPBodyTA1"/>
      </w:pPr>
      <w:r w:rsidRPr="00546536">
        <w:t>SPREJETA BESEDILA</w:t>
      </w:r>
    </w:p>
    <w:p w:rsidR="00D058B8" w:rsidRPr="00546536" w:rsidRDefault="00D058B8" w:rsidP="00D058B8">
      <w:pPr>
        <w:pStyle w:val="LineBottom"/>
      </w:pPr>
    </w:p>
    <w:p w:rsidR="00DB5CFE" w:rsidRPr="00546536" w:rsidRDefault="00DB5CFE" w:rsidP="00546536">
      <w:pPr>
        <w:pStyle w:val="ATHeading1"/>
      </w:pPr>
      <w:bookmarkStart w:id="0" w:name="TANumber"/>
      <w:r w:rsidRPr="00546536">
        <w:t>P9_TA(2024)0</w:t>
      </w:r>
      <w:r w:rsidR="00546536" w:rsidRPr="00546536">
        <w:t>263</w:t>
      </w:r>
      <w:bookmarkEnd w:id="0"/>
    </w:p>
    <w:p w:rsidR="00DB5CFE" w:rsidRPr="00546536" w:rsidRDefault="00DB5CFE" w:rsidP="00DB5CFE">
      <w:pPr>
        <w:pStyle w:val="ATHeading2"/>
      </w:pPr>
      <w:bookmarkStart w:id="1" w:name="title"/>
      <w:r w:rsidRPr="00546536">
        <w:t>Razrešnica za leto 2022: Evropski organ za zavarovanja in poklicne pokojnine</w:t>
      </w:r>
      <w:bookmarkEnd w:id="1"/>
    </w:p>
    <w:p w:rsidR="00DB5CFE" w:rsidRPr="00546536" w:rsidRDefault="00DB5CFE" w:rsidP="00DB5CFE">
      <w:pPr>
        <w:rPr>
          <w:i/>
          <w:vanish/>
        </w:rPr>
      </w:pPr>
      <w:r w:rsidRPr="00546536">
        <w:rPr>
          <w:i/>
        </w:rPr>
        <w:fldChar w:fldCharType="begin"/>
      </w:r>
      <w:r w:rsidRPr="00546536">
        <w:rPr>
          <w:i/>
        </w:rPr>
        <w:instrText xml:space="preserve"> TC"(</w:instrText>
      </w:r>
      <w:bookmarkStart w:id="2" w:name="DocNumber"/>
      <w:r w:rsidRPr="00546536">
        <w:rPr>
          <w:i/>
        </w:rPr>
        <w:instrText>A9-0097/2024</w:instrText>
      </w:r>
      <w:bookmarkEnd w:id="2"/>
      <w:r w:rsidRPr="00546536">
        <w:rPr>
          <w:i/>
        </w:rPr>
        <w:instrText xml:space="preserve"> - Poročevalec: Petri Sarvamaa)"\l3 \n&gt; \* MERGEFORMAT </w:instrText>
      </w:r>
      <w:r w:rsidRPr="00546536">
        <w:rPr>
          <w:i/>
        </w:rPr>
        <w:fldChar w:fldCharType="end"/>
      </w:r>
    </w:p>
    <w:p w:rsidR="00DB5CFE" w:rsidRPr="00546536" w:rsidRDefault="00DB5CFE" w:rsidP="00DB5CFE">
      <w:pPr>
        <w:rPr>
          <w:vanish/>
        </w:rPr>
      </w:pPr>
      <w:bookmarkStart w:id="3" w:name="Commission"/>
      <w:r w:rsidRPr="00546536">
        <w:rPr>
          <w:vanish/>
        </w:rPr>
        <w:t>Odbor za proračunski nadzor</w:t>
      </w:r>
      <w:bookmarkEnd w:id="3"/>
    </w:p>
    <w:p w:rsidR="00DB5CFE" w:rsidRPr="00546536" w:rsidRDefault="00DB5CFE" w:rsidP="00DB5CFE">
      <w:pPr>
        <w:rPr>
          <w:vanish/>
        </w:rPr>
      </w:pPr>
      <w:bookmarkStart w:id="4" w:name="PE"/>
      <w:r w:rsidRPr="00546536">
        <w:rPr>
          <w:vanish/>
        </w:rPr>
        <w:t>PE753.521</w:t>
      </w:r>
      <w:bookmarkEnd w:id="4"/>
    </w:p>
    <w:p w:rsidR="00DB5CFE" w:rsidRPr="00546536" w:rsidRDefault="00DB5CFE" w:rsidP="00DB5CFE">
      <w:pPr>
        <w:pStyle w:val="ATHeading3"/>
      </w:pPr>
      <w:bookmarkStart w:id="5" w:name="Sujet"/>
      <w:r w:rsidRPr="00546536">
        <w:t>1. Sklep Evropskega parlamenta z dne 11. aprila 2024 o razrešnici glede izvrševanja proračuna Evropskega organa za zavarovanja in poklicne pokojnine za proračunsko leto 2022</w:t>
      </w:r>
      <w:bookmarkEnd w:id="5"/>
      <w:r w:rsidRPr="00546536">
        <w:t xml:space="preserve"> </w:t>
      </w:r>
      <w:bookmarkStart w:id="6" w:name="References"/>
      <w:r w:rsidRPr="00546536">
        <w:t>(2023/2153(DEC))</w:t>
      </w:r>
      <w:bookmarkEnd w:id="6"/>
    </w:p>
    <w:p w:rsidR="00DA7650" w:rsidRPr="00546536" w:rsidRDefault="00DA7650" w:rsidP="00DA7650">
      <w:pPr>
        <w:pStyle w:val="EPComma"/>
      </w:pPr>
      <w:bookmarkStart w:id="7" w:name="TextBodyBegin"/>
      <w:bookmarkEnd w:id="7"/>
      <w:r w:rsidRPr="00546536">
        <w:rPr>
          <w:i/>
        </w:rPr>
        <w:t>Evropski parlament</w:t>
      </w:r>
      <w:r w:rsidRPr="00546536">
        <w:t>,</w:t>
      </w:r>
    </w:p>
    <w:p w:rsidR="00DA7650" w:rsidRPr="00546536" w:rsidRDefault="00DA7650" w:rsidP="00DA7650">
      <w:pPr>
        <w:pStyle w:val="NormalHanging12a"/>
      </w:pPr>
      <w:r w:rsidRPr="00546536">
        <w:t>–</w:t>
      </w:r>
      <w:r w:rsidRPr="00546536">
        <w:tab/>
        <w:t>ob upoštevanju končnega zaključnega računa Evropskega organa za zavarovanja in poklicne pokojnine za proračunsko leto 2022,</w:t>
      </w:r>
    </w:p>
    <w:p w:rsidR="00DA7650" w:rsidRPr="00546536" w:rsidRDefault="00DA7650" w:rsidP="00DA7650">
      <w:pPr>
        <w:pStyle w:val="NormalHanging12a"/>
      </w:pPr>
      <w:r w:rsidRPr="00546536">
        <w:t>–</w:t>
      </w:r>
      <w:r w:rsidRPr="00546536">
        <w:tab/>
        <w:t>ob upoštevanju letnega poročila Računskega sodišča o agencijah EU za proračunsko leto 2022 skupaj z odgovori agencij</w:t>
      </w:r>
      <w:r w:rsidRPr="00546536">
        <w:rPr>
          <w:rStyle w:val="FootnoteReference"/>
        </w:rPr>
        <w:footnoteReference w:id="1"/>
      </w:r>
      <w:r w:rsidRPr="00546536">
        <w:t>,</w:t>
      </w:r>
    </w:p>
    <w:p w:rsidR="00DA7650" w:rsidRPr="00546536" w:rsidRDefault="00DA7650" w:rsidP="00DA7650">
      <w:pPr>
        <w:pStyle w:val="NormalHanging12a"/>
      </w:pPr>
      <w:r w:rsidRPr="00546536">
        <w:t>–</w:t>
      </w:r>
      <w:r w:rsidRPr="00546536">
        <w:tab/>
        <w:t>ob upoštevanju izjave o zanesljivosti</w:t>
      </w:r>
      <w:r w:rsidRPr="00546536">
        <w:rPr>
          <w:rStyle w:val="FootnoteReference"/>
        </w:rPr>
        <w:footnoteReference w:id="2"/>
      </w:r>
      <w:r w:rsidRPr="00546536">
        <w:t xml:space="preserve"> računovodskih izkazov ter zakonitosti in pravilnosti z njimi povezanih transakcij, ki jo je za proračunsko leto 2022 v skladu s členom 287 Pogodbe o delovanju Evropske unije pripravilo Računsko sodišče,</w:t>
      </w:r>
    </w:p>
    <w:p w:rsidR="00DA7650" w:rsidRPr="00546536" w:rsidRDefault="00DA7650" w:rsidP="007B7FF1">
      <w:pPr>
        <w:pStyle w:val="NormalHanging12a"/>
      </w:pPr>
      <w:r w:rsidRPr="00546536">
        <w:t>–</w:t>
      </w:r>
      <w:r w:rsidRPr="00546536">
        <w:tab/>
        <w:t>ob upoštevanju priporočila Sveta z dne 22. februarja 2024 o podelitvi razrešnice organu glede izvrševanja proračuna za proračunsko leto 2022 (</w:t>
      </w:r>
      <w:r w:rsidR="007B7FF1" w:rsidRPr="00546536">
        <w:t>06180</w:t>
      </w:r>
      <w:r w:rsidRPr="00546536">
        <w:t>/2024 – C9</w:t>
      </w:r>
      <w:r w:rsidRPr="00546536">
        <w:noBreakHyphen/>
        <w:t>00</w:t>
      </w:r>
      <w:r w:rsidR="007B7FF1" w:rsidRPr="00546536">
        <w:t>91</w:t>
      </w:r>
      <w:r w:rsidRPr="00546536">
        <w:t>/2024),</w:t>
      </w:r>
    </w:p>
    <w:p w:rsidR="00DA7650" w:rsidRPr="00546536" w:rsidRDefault="00DA7650" w:rsidP="00DA7650">
      <w:pPr>
        <w:pStyle w:val="NormalHanging12a"/>
      </w:pPr>
      <w:r w:rsidRPr="00546536">
        <w:t>–</w:t>
      </w:r>
      <w:r w:rsidRPr="00546536">
        <w:tab/>
        <w:t>ob upoštevanju člena 319 Pogodbe o delovanju Evropske unije,</w:t>
      </w:r>
    </w:p>
    <w:p w:rsidR="00DA7650" w:rsidRPr="00546536" w:rsidRDefault="00DA7650" w:rsidP="00DA7650">
      <w:pPr>
        <w:pStyle w:val="NormalHanging12a"/>
      </w:pPr>
      <w:r w:rsidRPr="00546536">
        <w:t>–</w:t>
      </w:r>
      <w:r w:rsidRPr="00546536">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546536">
        <w:rPr>
          <w:rStyle w:val="FootnoteReference"/>
        </w:rPr>
        <w:footnoteReference w:id="3"/>
      </w:r>
      <w:r w:rsidRPr="00546536">
        <w:t xml:space="preserve"> in zlasti člena 70,</w:t>
      </w:r>
    </w:p>
    <w:p w:rsidR="00DA7650" w:rsidRPr="00546536" w:rsidRDefault="00DA7650" w:rsidP="00DA7650">
      <w:pPr>
        <w:pStyle w:val="NormalHanging12a"/>
      </w:pPr>
      <w:r w:rsidRPr="00546536">
        <w:t>–</w:t>
      </w:r>
      <w:r w:rsidRPr="00546536">
        <w:tab/>
        <w:t xml:space="preserve">ob upoštevanju Uredbe (EU) št. 1094/2010 Evropskega parlamenta in Sveta z dne 24. novembra 2010 o ustanovitvi Evropskega nadzornega organa (Evropski organ za </w:t>
      </w:r>
      <w:r w:rsidRPr="00546536">
        <w:lastRenderedPageBreak/>
        <w:t>zavarovanja in poklicne pokojnine) in o spremembi Sklepa št. 716/2009/ES ter razveljavitvi Sklepa Komisije 2009/79/ES</w:t>
      </w:r>
      <w:r w:rsidRPr="00546536">
        <w:rPr>
          <w:rStyle w:val="FootnoteReference"/>
        </w:rPr>
        <w:footnoteReference w:id="4"/>
      </w:r>
      <w:r w:rsidRPr="00546536">
        <w:t xml:space="preserve"> in zlasti člena 64,</w:t>
      </w:r>
    </w:p>
    <w:p w:rsidR="00DA7650" w:rsidRPr="00546536" w:rsidRDefault="00DA7650" w:rsidP="00DA7650">
      <w:pPr>
        <w:pStyle w:val="NormalHanging12a"/>
      </w:pPr>
      <w:r w:rsidRPr="00546536">
        <w:t>–</w:t>
      </w:r>
      <w:r w:rsidRPr="00546536">
        <w:tab/>
        <w:t>ob upoštevanju Delegirane uredbe Komisije (EU) 2019/715 z dne 18. decembra 2018 o okvirni finančni uredbi za organe, ustanovljene na podlagi PDEU in Pogodbe Euratom, iz člena 70 Uredbe (EU, Euratom) 2018/1046 Evropskega parlamenta in Sveta</w:t>
      </w:r>
      <w:r w:rsidRPr="00546536">
        <w:rPr>
          <w:rStyle w:val="FootnoteReference"/>
        </w:rPr>
        <w:footnoteReference w:id="5"/>
      </w:r>
      <w:r w:rsidRPr="00546536">
        <w:t xml:space="preserve"> in zlasti člena 105,</w:t>
      </w:r>
    </w:p>
    <w:p w:rsidR="00DA7650" w:rsidRPr="00546536" w:rsidRDefault="00DA7650" w:rsidP="00DA7650">
      <w:pPr>
        <w:pStyle w:val="NormalHanging12a"/>
      </w:pPr>
      <w:r w:rsidRPr="00546536">
        <w:t>–</w:t>
      </w:r>
      <w:r w:rsidRPr="00546536">
        <w:tab/>
        <w:t>ob upoštevanju člena 100 in Priloge V Poslovnika,</w:t>
      </w:r>
    </w:p>
    <w:p w:rsidR="00DA7650" w:rsidRPr="00546536" w:rsidRDefault="00DA7650" w:rsidP="00DA7650">
      <w:pPr>
        <w:pStyle w:val="NormalHanging12a"/>
      </w:pPr>
      <w:r w:rsidRPr="00546536">
        <w:t>–</w:t>
      </w:r>
      <w:r w:rsidRPr="00546536">
        <w:tab/>
        <w:t>ob upoštevanju poročila Odbora za proračunski nadzor (A9</w:t>
      </w:r>
      <w:r w:rsidRPr="00546536">
        <w:noBreakHyphen/>
        <w:t>0097/2024),</w:t>
      </w:r>
    </w:p>
    <w:p w:rsidR="00DA7650" w:rsidRPr="00546536" w:rsidRDefault="00DA7650" w:rsidP="00DA7650">
      <w:pPr>
        <w:pStyle w:val="NormalHanging12a"/>
      </w:pPr>
      <w:r w:rsidRPr="00546536">
        <w:t>1.</w:t>
      </w:r>
      <w:r w:rsidRPr="00546536">
        <w:tab/>
        <w:t>podeli razrešnico izvršnemu direktorju Evropskega organa za zavarovanja in poklicne pokojnine glede izvrševanja proračuna organa za proračunsko leto 2022;</w:t>
      </w:r>
    </w:p>
    <w:p w:rsidR="00DA7650" w:rsidRPr="00546536" w:rsidRDefault="00DA7650" w:rsidP="00DA7650">
      <w:pPr>
        <w:pStyle w:val="NormalHanging12a"/>
      </w:pPr>
      <w:r w:rsidRPr="00546536">
        <w:t>2.</w:t>
      </w:r>
      <w:r w:rsidRPr="00546536">
        <w:tab/>
        <w:t>navaja svoje pripombe v spodnji resoluciji;</w:t>
      </w:r>
    </w:p>
    <w:p w:rsidR="00DA7650" w:rsidRPr="00546536" w:rsidRDefault="00DA7650" w:rsidP="00DA7650">
      <w:pPr>
        <w:pStyle w:val="NormalHanging12a"/>
      </w:pPr>
      <w:r w:rsidRPr="00546536">
        <w:t>3.</w:t>
      </w:r>
      <w:r w:rsidRPr="00546536">
        <w:tab/>
        <w:t xml:space="preserve">naroči svoji predsednici, naj ta sklep in resolucijo, ki je del sklepa, posreduje izvršnemu direktorju Evropskega organa za zavarovanja in poklicne pokojnine, Svetu, Komisiji in Računskemu sodišču in poskrbi za objavo v </w:t>
      </w:r>
      <w:r w:rsidRPr="00546536">
        <w:rPr>
          <w:i/>
        </w:rPr>
        <w:t>Uradnem listu Evropske unije</w:t>
      </w:r>
      <w:r w:rsidRPr="00546536">
        <w:t xml:space="preserve"> (serija L).</w:t>
      </w:r>
    </w:p>
    <w:p w:rsidR="00DA7650" w:rsidRPr="00546536" w:rsidRDefault="00DA7650" w:rsidP="00DA7650"/>
    <w:p w:rsidR="00DA7650" w:rsidRPr="00546536" w:rsidRDefault="00DA7650" w:rsidP="00DA7650">
      <w:pPr>
        <w:pStyle w:val="PageHeading"/>
        <w:sectPr w:rsidR="00DA7650" w:rsidRPr="00546536" w:rsidSect="009F37B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A7650" w:rsidRPr="00546536" w:rsidRDefault="009004E6" w:rsidP="009004E6">
      <w:pPr>
        <w:pStyle w:val="ATHeading3"/>
      </w:pPr>
      <w:r w:rsidRPr="00546536">
        <w:lastRenderedPageBreak/>
        <w:t xml:space="preserve">2. Sklep Evropskega parlamenta z dne 11. aprila 2024 </w:t>
      </w:r>
      <w:r w:rsidR="00DA7650" w:rsidRPr="00546536">
        <w:t>o zaključnem računu Evropskega organa za zavarovanja in poklicne pokojnine za proračunsko leto 2022</w:t>
      </w:r>
      <w:r w:rsidRPr="00546536">
        <w:t xml:space="preserve"> </w:t>
      </w:r>
      <w:r w:rsidR="00DA7650" w:rsidRPr="00546536">
        <w:t>(2023/2153(DEC))</w:t>
      </w:r>
    </w:p>
    <w:p w:rsidR="00DA7650" w:rsidRPr="00546536" w:rsidRDefault="00DA7650" w:rsidP="00DA7650">
      <w:pPr>
        <w:pStyle w:val="EPComma"/>
      </w:pPr>
      <w:r w:rsidRPr="00546536">
        <w:rPr>
          <w:i/>
        </w:rPr>
        <w:t>Evropski parlament</w:t>
      </w:r>
      <w:r w:rsidRPr="00546536">
        <w:t>,</w:t>
      </w:r>
    </w:p>
    <w:p w:rsidR="00DA7650" w:rsidRPr="00546536" w:rsidRDefault="00DA7650" w:rsidP="00DA7650">
      <w:pPr>
        <w:pStyle w:val="NormalHanging12a"/>
      </w:pPr>
      <w:r w:rsidRPr="00546536">
        <w:t>–</w:t>
      </w:r>
      <w:r w:rsidRPr="00546536">
        <w:tab/>
        <w:t>ob upoštevanju končnega zaključnega računa Evropskega organa za zavarovanja in poklicne pokojnine za proračunsko leto 2022,</w:t>
      </w:r>
    </w:p>
    <w:p w:rsidR="00DA7650" w:rsidRPr="00546536" w:rsidRDefault="00DA7650" w:rsidP="00DA7650">
      <w:pPr>
        <w:pStyle w:val="NormalHanging12a"/>
      </w:pPr>
      <w:r w:rsidRPr="00546536">
        <w:t>–</w:t>
      </w:r>
      <w:r w:rsidRPr="00546536">
        <w:tab/>
        <w:t>ob upoštevanju letnega poročila Računskega sodišča o agencijah EU za proračunsko leto 2022 skupaj z odgovori agencij</w:t>
      </w:r>
      <w:r w:rsidRPr="00546536">
        <w:rPr>
          <w:rStyle w:val="FootnoteReference"/>
        </w:rPr>
        <w:footnoteReference w:id="6"/>
      </w:r>
      <w:r w:rsidRPr="00546536">
        <w:t>,</w:t>
      </w:r>
    </w:p>
    <w:p w:rsidR="00DA7650" w:rsidRPr="00546536" w:rsidRDefault="00DA7650" w:rsidP="00DA7650">
      <w:pPr>
        <w:pStyle w:val="NormalHanging12a"/>
      </w:pPr>
      <w:r w:rsidRPr="00546536">
        <w:t>–</w:t>
      </w:r>
      <w:r w:rsidRPr="00546536">
        <w:tab/>
        <w:t>ob upoštevanju izjave o zanesljivosti</w:t>
      </w:r>
      <w:r w:rsidRPr="00546536">
        <w:rPr>
          <w:rStyle w:val="FootnoteReference"/>
        </w:rPr>
        <w:footnoteReference w:id="7"/>
      </w:r>
      <w:r w:rsidRPr="00546536">
        <w:t xml:space="preserve"> računovodskih izkazov ter zakonitosti in pravilnosti z njimi povezanih transakcij, ki jo je za proračunsko leto 2022 v skladu s členom 287 Pogodbe o delovanju Evropske unije pripravilo Računsko sodišče,</w:t>
      </w:r>
    </w:p>
    <w:p w:rsidR="00DA7650" w:rsidRPr="00546536" w:rsidRDefault="00DA7650" w:rsidP="007B7FF1">
      <w:pPr>
        <w:pStyle w:val="NormalHanging12a"/>
      </w:pPr>
      <w:r w:rsidRPr="00546536">
        <w:t>–</w:t>
      </w:r>
      <w:r w:rsidRPr="00546536">
        <w:tab/>
        <w:t>ob upoštevanju priporočila Sveta z dne 22. februarja 2024 o podelitvi razrešnice organu glede izvrševanja proračuna za proračunsko leto 2022 (</w:t>
      </w:r>
      <w:r w:rsidR="007B7FF1" w:rsidRPr="00546536">
        <w:t>06180</w:t>
      </w:r>
      <w:r w:rsidRPr="00546536">
        <w:t>/2024 – C9</w:t>
      </w:r>
      <w:r w:rsidRPr="00546536">
        <w:noBreakHyphen/>
        <w:t>00</w:t>
      </w:r>
      <w:r w:rsidR="007B7FF1" w:rsidRPr="00546536">
        <w:t>91</w:t>
      </w:r>
      <w:r w:rsidRPr="00546536">
        <w:t>/2024),</w:t>
      </w:r>
    </w:p>
    <w:p w:rsidR="00DA7650" w:rsidRPr="00546536" w:rsidRDefault="00DA7650" w:rsidP="00DA7650">
      <w:pPr>
        <w:pStyle w:val="NormalHanging12a"/>
      </w:pPr>
      <w:r w:rsidRPr="00546536">
        <w:t>–</w:t>
      </w:r>
      <w:r w:rsidRPr="00546536">
        <w:tab/>
        <w:t>ob upoštevanju člena 319 Pogodbe o delovanju Evropske unije,</w:t>
      </w:r>
    </w:p>
    <w:p w:rsidR="00DA7650" w:rsidRPr="00546536" w:rsidRDefault="00DA7650" w:rsidP="00DA7650">
      <w:pPr>
        <w:pStyle w:val="NormalHanging12a"/>
      </w:pPr>
      <w:r w:rsidRPr="00546536">
        <w:t>–</w:t>
      </w:r>
      <w:r w:rsidRPr="00546536">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546536">
        <w:rPr>
          <w:rStyle w:val="FootnoteReference"/>
        </w:rPr>
        <w:footnoteReference w:id="8"/>
      </w:r>
      <w:r w:rsidRPr="00546536">
        <w:t xml:space="preserve"> in zlasti člena 70,</w:t>
      </w:r>
    </w:p>
    <w:p w:rsidR="00DA7650" w:rsidRPr="00546536" w:rsidRDefault="00DA7650" w:rsidP="00DA7650">
      <w:pPr>
        <w:pStyle w:val="NormalHanging12a"/>
      </w:pPr>
      <w:r w:rsidRPr="00546536">
        <w:t>–</w:t>
      </w:r>
      <w:r w:rsidRPr="00546536">
        <w:tab/>
        <w:t>ob upoštevanju Uredbe (EU) št. 1094/2010 Evropskega parlamenta in Sveta z dne 24. novembra 2010 o ustanovitvi Evropskega nadzornega organa (Evropski organ za zavarovanja in poklicne pokojnine) in o spremembi Sklepa št. 716/2009/ES ter razveljavitvi Sklepa Komisije 2009/79/ES</w:t>
      </w:r>
      <w:r w:rsidRPr="00546536">
        <w:rPr>
          <w:rStyle w:val="FootnoteReference"/>
        </w:rPr>
        <w:footnoteReference w:id="9"/>
      </w:r>
      <w:r w:rsidRPr="00546536">
        <w:t xml:space="preserve"> in zlasti člena 64,</w:t>
      </w:r>
    </w:p>
    <w:p w:rsidR="00DA7650" w:rsidRPr="00546536" w:rsidRDefault="00DA7650" w:rsidP="00DA7650">
      <w:pPr>
        <w:pStyle w:val="NormalHanging12a"/>
      </w:pPr>
      <w:r w:rsidRPr="00546536">
        <w:t>–</w:t>
      </w:r>
      <w:r w:rsidRPr="00546536">
        <w:tab/>
        <w:t>ob upoštevanju Delegirane uredbe Komisije (EU) 2019/715 z dne 18. decembra 2018 o okvirni finančni uredbi za organe, ustanovljene na podlagi PDEU in Pogodbe Euratom, iz člena 70 Uredbe (EU, Euratom) 2018/1046 Evropskega parlamenta in Sveta</w:t>
      </w:r>
      <w:r w:rsidRPr="00546536">
        <w:rPr>
          <w:rStyle w:val="FootnoteReference"/>
        </w:rPr>
        <w:footnoteReference w:id="10"/>
      </w:r>
      <w:r w:rsidRPr="00546536">
        <w:t xml:space="preserve"> in zlasti člena 105,</w:t>
      </w:r>
    </w:p>
    <w:p w:rsidR="00DA7650" w:rsidRPr="00546536" w:rsidRDefault="00DA7650" w:rsidP="00DA7650">
      <w:pPr>
        <w:pStyle w:val="NormalHanging12a"/>
      </w:pPr>
      <w:r w:rsidRPr="00546536">
        <w:t>–</w:t>
      </w:r>
      <w:r w:rsidRPr="00546536">
        <w:tab/>
        <w:t>ob upoštevanju člena 100 in Priloge V Poslovnika,</w:t>
      </w:r>
    </w:p>
    <w:p w:rsidR="00DA7650" w:rsidRPr="00546536" w:rsidRDefault="00DA7650" w:rsidP="00DA7650">
      <w:pPr>
        <w:pStyle w:val="NormalHanging12a"/>
      </w:pPr>
      <w:r w:rsidRPr="00546536">
        <w:t>–</w:t>
      </w:r>
      <w:r w:rsidRPr="00546536">
        <w:tab/>
        <w:t>ob upoštevanju poročila Odbora za proračunski nadzor (A9</w:t>
      </w:r>
      <w:r w:rsidRPr="00546536">
        <w:noBreakHyphen/>
        <w:t>0097/2024),</w:t>
      </w:r>
    </w:p>
    <w:p w:rsidR="00DA7650" w:rsidRPr="00546536" w:rsidRDefault="00DA7650" w:rsidP="00DA7650">
      <w:pPr>
        <w:pStyle w:val="NormalHanging12a"/>
      </w:pPr>
      <w:r w:rsidRPr="00546536">
        <w:t>1.</w:t>
      </w:r>
      <w:r w:rsidRPr="00546536">
        <w:tab/>
        <w:t>odobri zaključni račun Evropskega organa za zavarovanja in poklicne pokojnine za proračunsko leto 2022;</w:t>
      </w:r>
    </w:p>
    <w:p w:rsidR="00DA7650" w:rsidRPr="00546536" w:rsidRDefault="00DA7650" w:rsidP="00DA7650">
      <w:pPr>
        <w:pStyle w:val="NormalHanging12a"/>
      </w:pPr>
      <w:r w:rsidRPr="00546536">
        <w:t>2.</w:t>
      </w:r>
      <w:r w:rsidRPr="00546536">
        <w:tab/>
        <w:t xml:space="preserve">naroči svoji predsednici, naj ta sklep posreduje izvršnemu direktorju Evropskega organa </w:t>
      </w:r>
      <w:r w:rsidRPr="00546536">
        <w:lastRenderedPageBreak/>
        <w:t xml:space="preserve">za zavarovanja in poklicne pokojnine, Svetu, Komisiji in Računskemu sodišču in poskrbi za objavo v </w:t>
      </w:r>
      <w:r w:rsidRPr="00546536">
        <w:rPr>
          <w:i/>
        </w:rPr>
        <w:t>Uradnem listu Evropske unije</w:t>
      </w:r>
      <w:r w:rsidRPr="00546536">
        <w:t xml:space="preserve"> (serija L).</w:t>
      </w:r>
    </w:p>
    <w:p w:rsidR="00DA7650" w:rsidRPr="00546536" w:rsidRDefault="00DA7650" w:rsidP="00DA7650"/>
    <w:p w:rsidR="00DA7650" w:rsidRPr="00546536" w:rsidRDefault="00DA7650" w:rsidP="00DA7650">
      <w:pPr>
        <w:pStyle w:val="PageHeading"/>
        <w:sectPr w:rsidR="00DA7650" w:rsidRPr="00546536" w:rsidSect="009F37B9">
          <w:footnotePr>
            <w:numRestart w:val="eachPage"/>
          </w:footnotePr>
          <w:endnotePr>
            <w:numFmt w:val="decimal"/>
          </w:endnotePr>
          <w:pgSz w:w="11906" w:h="16838" w:code="9"/>
          <w:pgMar w:top="1134" w:right="1418" w:bottom="1418" w:left="1418" w:header="567" w:footer="567" w:gutter="0"/>
          <w:cols w:space="720"/>
          <w:noEndnote/>
          <w:docGrid w:linePitch="326"/>
        </w:sectPr>
      </w:pPr>
    </w:p>
    <w:p w:rsidR="00DA7650" w:rsidRPr="00546536" w:rsidRDefault="009004E6" w:rsidP="009004E6">
      <w:pPr>
        <w:pStyle w:val="ATHeading3"/>
      </w:pPr>
      <w:r w:rsidRPr="00546536">
        <w:lastRenderedPageBreak/>
        <w:t xml:space="preserve">3. Resolucija Evropskega parlamenta z dne 11. aprila 2024 </w:t>
      </w:r>
      <w:r w:rsidR="00DA7650" w:rsidRPr="00546536">
        <w:t>s pripombami, ki so del sklepa o razrešnici glede i</w:t>
      </w:r>
      <w:bookmarkStart w:id="8" w:name="_GoBack"/>
      <w:bookmarkEnd w:id="8"/>
      <w:r w:rsidR="00DA7650" w:rsidRPr="00546536">
        <w:t>zvrševanja proračuna Evropskega organa za zavarovanja in poklicne pokojnine za proračunsko leto 2022</w:t>
      </w:r>
      <w:r w:rsidRPr="00546536">
        <w:t xml:space="preserve"> </w:t>
      </w:r>
      <w:r w:rsidR="00DA7650" w:rsidRPr="00546536">
        <w:t>(2023/2153(DEC))</w:t>
      </w:r>
    </w:p>
    <w:p w:rsidR="00DA7650" w:rsidRPr="00546536" w:rsidRDefault="00DA7650" w:rsidP="00DA7650">
      <w:pPr>
        <w:pStyle w:val="EPComma"/>
      </w:pPr>
      <w:r w:rsidRPr="00546536">
        <w:rPr>
          <w:i/>
        </w:rPr>
        <w:t>Evropski parlament</w:t>
      </w:r>
      <w:r w:rsidRPr="00546536">
        <w:t>,</w:t>
      </w:r>
    </w:p>
    <w:p w:rsidR="00DA7650" w:rsidRPr="00546536" w:rsidRDefault="00DA7650" w:rsidP="00DA7650">
      <w:pPr>
        <w:pStyle w:val="NormalHanging12a"/>
      </w:pPr>
      <w:r w:rsidRPr="00546536">
        <w:t>–</w:t>
      </w:r>
      <w:r w:rsidRPr="00546536">
        <w:tab/>
        <w:t>ob upoštevanju sklepa o razrešnici glede izvrševanja proračuna Evropskega organa za zavarovanja in poklicne pokojnine za proračunsko leto 2022,</w:t>
      </w:r>
    </w:p>
    <w:p w:rsidR="00DA7650" w:rsidRPr="00546536" w:rsidRDefault="00DA7650" w:rsidP="00DA7650">
      <w:pPr>
        <w:pStyle w:val="NormalHanging12a"/>
      </w:pPr>
      <w:r w:rsidRPr="00546536">
        <w:t>–</w:t>
      </w:r>
      <w:r w:rsidRPr="00546536">
        <w:tab/>
        <w:t>ob upoštevanju člena 100 in Priloge V Poslovnika,</w:t>
      </w:r>
    </w:p>
    <w:p w:rsidR="00DA7650" w:rsidRPr="00546536" w:rsidRDefault="00DA7650" w:rsidP="00DA7650">
      <w:pPr>
        <w:pStyle w:val="NormalHanging12a"/>
      </w:pPr>
      <w:r w:rsidRPr="00546536">
        <w:t>–</w:t>
      </w:r>
      <w:r w:rsidRPr="00546536">
        <w:tab/>
        <w:t>ob upoštevanju poročila Odbora za proračunski nadzor (A9</w:t>
      </w:r>
      <w:r w:rsidRPr="00546536">
        <w:noBreakHyphen/>
        <w:t>0097/2024),</w:t>
      </w:r>
    </w:p>
    <w:p w:rsidR="00DA7650" w:rsidRPr="00546536" w:rsidRDefault="00DA7650" w:rsidP="00DA7650">
      <w:pPr>
        <w:widowControl/>
        <w:spacing w:after="240"/>
        <w:ind w:left="567" w:hanging="567"/>
        <w:rPr>
          <w:szCs w:val="24"/>
        </w:rPr>
      </w:pPr>
      <w:r w:rsidRPr="00546536">
        <w:t>A.</w:t>
      </w:r>
      <w:r w:rsidRPr="00546536">
        <w:tab/>
        <w:t>ker poročilo o prihodkih in odhodkih Evropskega organa za zavarovanja in poklicne pokojnine</w:t>
      </w:r>
      <w:r w:rsidRPr="00546536">
        <w:rPr>
          <w:rStyle w:val="FootnoteReference"/>
          <w:szCs w:val="24"/>
        </w:rPr>
        <w:footnoteReference w:id="11"/>
      </w:r>
      <w:r w:rsidRPr="00546536">
        <w:t xml:space="preserve"> (v nadaljnjem besedilu: organ) kaže, da je končni proračun organa v proračunskem letu 2022 znašal 34.571.120 EUR, kar je bilo 5,27 % več kot leta 2021; ker se organ financira iz prispevkov Unije (12.932.000 EUR oz. 37,40 %) in iz prispevkov nacionalnih nadzornih organov držav članic (21.076.120 EUR oz. 60,96 %);</w:t>
      </w:r>
    </w:p>
    <w:p w:rsidR="00DA7650" w:rsidRPr="00546536" w:rsidRDefault="00DA7650" w:rsidP="00DA7650">
      <w:pPr>
        <w:widowControl/>
        <w:spacing w:after="240"/>
        <w:ind w:left="567" w:hanging="567"/>
        <w:rPr>
          <w:szCs w:val="24"/>
        </w:rPr>
      </w:pPr>
      <w:r w:rsidRPr="00546536">
        <w:t>B.</w:t>
      </w:r>
      <w:r w:rsidRPr="00546536">
        <w:tab/>
        <w:t>ker je Računsko sodišče v poročilu o zaključnem računu organa za proračunsko leto 2022 (v nadaljnjem besedilu: poročilo Računskega sodišča) navedlo, da je prejelo razumno zagotovilo o zanesljivosti letnih računovodskih izkazov organa ter o zakonitosti in pravilnosti z njimi povezanih transakcij;</w:t>
      </w:r>
    </w:p>
    <w:p w:rsidR="00DA7650" w:rsidRPr="00546536" w:rsidRDefault="00DA7650" w:rsidP="00DA7650">
      <w:pPr>
        <w:widowControl/>
        <w:spacing w:after="240"/>
        <w:ind w:left="567" w:hanging="567"/>
        <w:rPr>
          <w:b/>
          <w:i/>
          <w:szCs w:val="24"/>
        </w:rPr>
      </w:pPr>
      <w:r w:rsidRPr="00546536">
        <w:rPr>
          <w:b/>
          <w:i/>
        </w:rPr>
        <w:t>Proračunsko upravljanje in finančno poslovodenje</w:t>
      </w:r>
    </w:p>
    <w:p w:rsidR="00DA7650" w:rsidRPr="00546536" w:rsidRDefault="00DA7650" w:rsidP="00DA7650">
      <w:pPr>
        <w:widowControl/>
        <w:spacing w:after="240"/>
        <w:ind w:left="567" w:hanging="567"/>
        <w:rPr>
          <w:szCs w:val="24"/>
        </w:rPr>
      </w:pPr>
      <w:r w:rsidRPr="00546536">
        <w:t>1.</w:t>
      </w:r>
      <w:r w:rsidRPr="00546536">
        <w:tab/>
        <w:t>z zadovoljstvom ugotavlja, da je stopnja izvrševanja proračuna zaradi proračunskega spremljanja v proračunskem letu 2022 znašala 99,46 %, kar je sicer 0,52 % manj kot leta 2021; ugotavlja pa, da je stopnja izvrševanja plačil znašala 92,07 %, kar je 12,95 % več kot leta 2021;</w:t>
      </w:r>
    </w:p>
    <w:p w:rsidR="00DA7650" w:rsidRPr="00546536" w:rsidRDefault="00DA7650" w:rsidP="00DA7650">
      <w:pPr>
        <w:widowControl/>
        <w:spacing w:after="240"/>
        <w:ind w:left="567" w:hanging="567"/>
        <w:rPr>
          <w:szCs w:val="24"/>
        </w:rPr>
      </w:pPr>
      <w:r w:rsidRPr="00546536">
        <w:rPr>
          <w:b/>
          <w:i/>
        </w:rPr>
        <w:t>Uspešnost</w:t>
      </w:r>
    </w:p>
    <w:p w:rsidR="00DA7650" w:rsidRPr="00546536" w:rsidRDefault="00DA7650" w:rsidP="00DA7650">
      <w:pPr>
        <w:widowControl/>
        <w:spacing w:after="240"/>
        <w:ind w:left="567" w:hanging="567"/>
        <w:rPr>
          <w:szCs w:val="24"/>
        </w:rPr>
      </w:pPr>
      <w:r w:rsidRPr="00546536">
        <w:t>2.</w:t>
      </w:r>
      <w:r w:rsidRPr="00546536">
        <w:tab/>
        <w:t>ugotavlja, da organ uporablja nekatera merila, denimo ključne kazalnike uspešnosti, za ocenjevanje dodane vrednosti, ki jo ustvarjajo njegove dejavnosti, druga merila pa za izboljšanje svojega upravljanja proračuna; ugotavlja, da je leta 2022 določil 17 strateških ciljev za uspešnost na svojih sedmih glavnih področjih dela; z zadovoljstvom ugotavlja, da je organ dosegel ali presegel 15 teh ciljev, čeprav cilja drugih dveh ključnih kazalnikov uspešnosti nista bila primerna za sporočanje zaradi njune odvisnosti od zakonodajnih rokov akta o digitalni operativni odpornosti in tehnoloških motenj;</w:t>
      </w:r>
    </w:p>
    <w:p w:rsidR="00DA7650" w:rsidRPr="00546536" w:rsidRDefault="00DA7650" w:rsidP="00DA7650">
      <w:pPr>
        <w:widowControl/>
        <w:spacing w:after="240"/>
        <w:ind w:left="567" w:hanging="567"/>
        <w:rPr>
          <w:szCs w:val="24"/>
        </w:rPr>
      </w:pPr>
      <w:r w:rsidRPr="00546536">
        <w:t>3.</w:t>
      </w:r>
      <w:r w:rsidRPr="00546536">
        <w:tab/>
        <w:t>ugotavlja, da je organ zagotovil 342 proizvodov in storitev, ki predstavljajo 91 % vseh proizvodov in storitev, kot je bilo načrtovano, pri 20 proizvodih in storitvah je prišlo do manjših zamud, 13 pa jih ni bilo izvedenih, pogosto zaradi odvisnosti od pravočasnosti zakonodajnih odločitev, na primer pregleda direktive Solventnost II, ali tehnološkega razvoja na trgu in konkurenčnih prednostnih nalog; izreka pohvalo organu za povečanje udeležbe pri govorih s 167 v letu 2021 na 214 v letu 2022;</w:t>
      </w:r>
    </w:p>
    <w:p w:rsidR="00DA7650" w:rsidRPr="00546536" w:rsidRDefault="00DA7650" w:rsidP="00DA7650">
      <w:pPr>
        <w:widowControl/>
        <w:spacing w:after="240"/>
        <w:ind w:left="567" w:hanging="567"/>
        <w:rPr>
          <w:szCs w:val="24"/>
        </w:rPr>
      </w:pPr>
      <w:r w:rsidRPr="00546536">
        <w:lastRenderedPageBreak/>
        <w:t>4.</w:t>
      </w:r>
      <w:r w:rsidRPr="00546536">
        <w:tab/>
        <w:t>priznava številne dosežke organa v letu 2022, s katerimi je v veliki meri izpolnil svoje cilje na področju konvergence nadzora, varstva potrošnikov in finančne stabilnosti; zlasti ugotavlja, da je organ izvedel prvi stresni test institucije za poklicno pokojninsko zavarovanje, da bi pridobil vpogled v učinke okoljskih tveganj na evropski poklicni pokojninski sektor, predložil Komisiji izvedbene tehnične standarde, ki določajo zahteve glede nadzornega poročanja in razkritja v skladu z direktivo Solventnost II, objavil več dokumentov, poročil in smernic o vključevanju tveganj glede trajnosti v obvladovanje tveganj zavarovateljev ali pozavarovateljev in poklicnih pokojninskih skladov ter Evropskemu parlamentu in Svetu zagotovil prispevke in tehnične nasvete v zakonodajnem postopku v zvezi z aktom o umetni inteligenci in aktom DORA; izreka pohvalo organu za različne pobude in ukrepe na področju digitalne preobrazbe, s čimer podpira cilje strategije Unije za digitalne finance, tudi tako, da skupaj z več deležniki, kot je Evropski univerzitetni inštitut, prispeva k ustanovitvi Akademije EU za nadzor digitalnih financ;</w:t>
      </w:r>
    </w:p>
    <w:p w:rsidR="00DA7650" w:rsidRPr="00546536" w:rsidRDefault="00DA7650" w:rsidP="00DA7650">
      <w:pPr>
        <w:widowControl/>
        <w:spacing w:after="240"/>
        <w:ind w:left="567" w:hanging="567"/>
        <w:rPr>
          <w:szCs w:val="24"/>
        </w:rPr>
      </w:pPr>
      <w:r w:rsidRPr="00546536">
        <w:t>5.</w:t>
      </w:r>
      <w:r w:rsidRPr="00546536">
        <w:tab/>
        <w:t>ugotavlja, da je organ prvič uporabil številna pooblastila in orodja, ki so mu bila dodeljena z uredbo EIOPA; v zvezi s tem ugotavlja, da je organ leta 2022 Nacionalni banki Slovaške izdal priporočilo, potem ko je ugotovil, da kršitev kapitalskih zahtev s strani slovaške zavarovalnice z vidika nadzora ni bila ustrezno obravnavana; z zaskrbljenostjo ugotavlja tudi, da je organ odkril, da je Nacionalna banka Slovaške kršila pravo Unije, zato je Komisija izdala uradno mnenje, v katerem je od te banke zahtevala, da sprejme ukrepe, potrebne za uskladitev s pravom Unije, izvedena je bila tudi preiskava na podlagi člena 22 uredbe o organu EIOPA; poziva organ, naj organ za podelitev razrešnice še naprej obvešča o nadaljnjih ukrepih v zvezi s to preiskavo in njenih rezultatih;</w:t>
      </w:r>
    </w:p>
    <w:p w:rsidR="00DA7650" w:rsidRPr="00546536" w:rsidRDefault="00DA7650" w:rsidP="00DA7650">
      <w:pPr>
        <w:widowControl/>
        <w:spacing w:after="240"/>
        <w:ind w:left="567" w:hanging="567"/>
        <w:rPr>
          <w:szCs w:val="24"/>
        </w:rPr>
      </w:pPr>
      <w:r w:rsidRPr="00546536">
        <w:t>6.</w:t>
      </w:r>
      <w:r w:rsidRPr="00546536">
        <w:tab/>
        <w:t>ugotavlja, da je organ prispeval k zagotavljanju finančne stabilnosti in varstvu potrošnikov, s tem da je temeljito spremljal trge in ocenjeval učinek v novih razmerah, ki sta jih povzročila neizzvana in nezakonita ruska invazija Ukrajine ter postopno zaostrovanje monetarne politike v odziv na rekordno visoko stopnjo inflacije v Evropi; pozdravlja, da je bila leta 2022 pravočasno objavljena nadzorna izjava o inflaciji, ki se osredotoča na to, kako inflacija vpliva na tehnične določbe, naložbe in zahtevani solventnostni kapital;</w:t>
      </w:r>
    </w:p>
    <w:p w:rsidR="00DA7650" w:rsidRPr="00546536" w:rsidRDefault="00DA7650" w:rsidP="00DA7650">
      <w:pPr>
        <w:pStyle w:val="NormalHanging12a"/>
      </w:pPr>
      <w:r w:rsidRPr="00546536">
        <w:t>7.</w:t>
      </w:r>
      <w:r w:rsidRPr="00546536">
        <w:tab/>
        <w:t>ugotavlja, da je organ septembra 2022 določil strategijo za obdobje 2023–2026, v kateri je opredelil strateške prednostne naloge, vključno s krepitvijo odpornosti in vzdržnosti zavarovalniškega in pokojninskega sektorja ter zagotavljanjem močne in dosledne zaščite interesov potrošnikov po vsej Uniji;</w:t>
      </w:r>
    </w:p>
    <w:p w:rsidR="00DA7650" w:rsidRPr="00546536" w:rsidRDefault="00DA7650" w:rsidP="00DA7650">
      <w:pPr>
        <w:widowControl/>
        <w:spacing w:after="240"/>
        <w:ind w:left="567" w:hanging="567"/>
        <w:rPr>
          <w:b/>
          <w:i/>
          <w:szCs w:val="24"/>
        </w:rPr>
      </w:pPr>
      <w:r w:rsidRPr="00546536">
        <w:rPr>
          <w:b/>
          <w:i/>
        </w:rPr>
        <w:t>Učinkovitost in dosežki</w:t>
      </w:r>
    </w:p>
    <w:p w:rsidR="00DA7650" w:rsidRPr="00546536" w:rsidRDefault="00DA7650" w:rsidP="00DA7650">
      <w:pPr>
        <w:widowControl/>
        <w:spacing w:after="240"/>
        <w:ind w:left="567" w:hanging="567"/>
        <w:rPr>
          <w:rFonts w:cstheme="minorHAnsi"/>
        </w:rPr>
      </w:pPr>
      <w:r w:rsidRPr="00546536">
        <w:t>8.</w:t>
      </w:r>
      <w:r w:rsidRPr="00546536">
        <w:tab/>
        <w:t>ugotavlja, da se evropski nadzorni organi usklajujejo, izmenjujejo in podpirajo na številnih področjih, tako na ključnih področjih poslovanja kot podpornih; pozdravlja dejstvo, da so evropski nadzorni organi združili moči pri strateških pobudah, kot so razvoj programske opreme, omrežna infrastruktura in svetovanje na področju informacijske tehnologije, pri čemer imajo skupne dobavitelje; v zvezi s tem je seznanjen s strategijo organa za računalništvo v oblaku, odobreno leta 2022, ki jo je organ pripravil skupaj z dvema drugima evropskima nadzornima organoma, drugimi institucijami Unije in nacionalnimi pristojnimi organi, njen cilj pa je zagotoviti bolj avtonomne, avtomatizirane in samopostrežne proizvode za pomoč strokovnjakom in pristojnim nacionalnim organom;</w:t>
      </w:r>
    </w:p>
    <w:p w:rsidR="00DA7650" w:rsidRPr="00546536" w:rsidRDefault="00DA7650" w:rsidP="00DA7650">
      <w:pPr>
        <w:widowControl/>
        <w:spacing w:after="240"/>
        <w:ind w:left="567" w:hanging="567"/>
        <w:rPr>
          <w:rFonts w:cstheme="minorHAnsi"/>
        </w:rPr>
      </w:pPr>
      <w:r w:rsidRPr="00546536">
        <w:lastRenderedPageBreak/>
        <w:t>9.</w:t>
      </w:r>
      <w:r w:rsidRPr="00546536">
        <w:tab/>
        <w:t>izreka pohvalo organu za naložbe in dodelitev osebja za projekte na področju digitalne preobrazbe, da bi z avtomatizacijo in racionalizacijo poslovnih procesov, izboljšanjem časa do vstopa projekta na trg in sodelovanja znotraj funkcij ter med njimi dosegel nove ravni učinkovitosti; v zvezi s tem pozdravlja projekte, ki jih je organ izvedel leta 2022 in se osredotočajo na izboljšanje zmogljivosti za analizo podatkov, da bi postal popolnoma digitalna organizacija, ki temelji na podatkih;</w:t>
      </w:r>
    </w:p>
    <w:p w:rsidR="00DA7650" w:rsidRPr="00546536" w:rsidRDefault="00DA7650" w:rsidP="00DA7650">
      <w:pPr>
        <w:pStyle w:val="NormalHanging12a"/>
      </w:pPr>
      <w:r w:rsidRPr="00546536">
        <w:t>10.</w:t>
      </w:r>
      <w:r w:rsidRPr="00546536">
        <w:tab/>
        <w:t>ugotavlja, da je organ v vsakodnevnih poslovnih praksah izvedel vrsto ukrepov za povečanje stroškovne učinkovitosti, kot so hibridno delo, skupne pisarne ter sodobne videokonferenčne rešitve, po zaslugi katerih se je zmanjšalo število poslovnih potovanj; je seznanjen, da je organ dodatno okrepil svoj integrirani sistem za upravljanje talentov, ki omogoča strateško usklajene kadrovske procese, boljše iskanje kandidatov ter učinkovitejše učenje in razvoj, da bi ohranil institucionalno znanje, strokovnost in učinkovitost pri izvajanju glavnih nalog; poziva organ, naj organu za podelitev razrešnice posreduje podatke in številke o učinku tega sistema;</w:t>
      </w:r>
    </w:p>
    <w:p w:rsidR="00DA7650" w:rsidRPr="00546536" w:rsidRDefault="00DA7650" w:rsidP="00DA7650">
      <w:pPr>
        <w:widowControl/>
        <w:spacing w:after="240"/>
        <w:ind w:left="567" w:hanging="567"/>
        <w:rPr>
          <w:rFonts w:cstheme="minorHAnsi"/>
          <w:iCs/>
        </w:rPr>
      </w:pPr>
      <w:r w:rsidRPr="00546536">
        <w:t>11.</w:t>
      </w:r>
      <w:r w:rsidRPr="00546536">
        <w:tab/>
        <w:t>na podlagi poročila Računskega sodišča ugotavlja, da organ ni med agencijami, ki so pripravile poslovne načrte, da bi izboljšale energijsko učinkovitost in podnebno nevtralnost svojih dejavnosti, ter izdale okoljsko izjavo (npr. o poročanju o ogljičnem odtisu), vključeno v njihova letna poročila o dejavnostih; poleg tega izreka pohvalo organu, ker je leta 2022 pridobil certifikat EMAS (sistem Evropske unije za okoljsko ravnanje in presojo), da bi leta 2023 pridobil uradno akreditacijo EMAS;</w:t>
      </w:r>
    </w:p>
    <w:p w:rsidR="00DA7650" w:rsidRPr="00546536" w:rsidRDefault="00DA7650" w:rsidP="00DA7650">
      <w:pPr>
        <w:widowControl/>
        <w:spacing w:after="240"/>
        <w:ind w:left="567" w:hanging="567"/>
        <w:rPr>
          <w:b/>
          <w:i/>
          <w:szCs w:val="24"/>
        </w:rPr>
      </w:pPr>
      <w:r w:rsidRPr="00546536">
        <w:rPr>
          <w:b/>
          <w:i/>
        </w:rPr>
        <w:t>Kadrovska politika</w:t>
      </w:r>
    </w:p>
    <w:p w:rsidR="00DA7650" w:rsidRPr="00546536" w:rsidRDefault="00DA7650" w:rsidP="00DA7650">
      <w:pPr>
        <w:widowControl/>
        <w:spacing w:after="240"/>
        <w:ind w:left="567" w:hanging="567"/>
        <w:rPr>
          <w:szCs w:val="24"/>
        </w:rPr>
      </w:pPr>
      <w:r w:rsidRPr="00546536">
        <w:t>12.</w:t>
      </w:r>
      <w:r w:rsidRPr="00546536">
        <w:tab/>
        <w:t>je seznanjen, da je bil kadrovski načrt na dan 31. decembra 2022 99-odstotno uresničen (enako kot leta 2021), saj je bilo zaposlenih 137 od 138 začasnih uslužbencev, odobrenih v proračunu Unije; ugotavlja, da je organ leta 2022 zaposloval še 36 pogodbenih uslužbencev in 24 napotenih nacionalnih strokovnjakov;</w:t>
      </w:r>
    </w:p>
    <w:p w:rsidR="00DA7650" w:rsidRPr="00546536" w:rsidRDefault="00DA7650" w:rsidP="00DA7650">
      <w:pPr>
        <w:pStyle w:val="NormalHanging12a"/>
      </w:pPr>
      <w:r w:rsidRPr="00546536">
        <w:t>13.</w:t>
      </w:r>
      <w:r w:rsidRPr="00546536">
        <w:tab/>
        <w:t>je seznanjen z razčlenitvijo po spolu, o kateri je organ poročal za leto 2022, pri čemer je bilo na srednjih in višjih vodstvenih položajih ter v njegovem upravnem odboru 15 moških (65,20 %) in 8 žensk (34,80 %), med vsemi zaposlenimi pa 104 moški (53,60 %) in 90 žensk (46,40 %); opozarja, kako pomembno je zagotoviti uravnoteženo zastopanost spolov, in poziva organ, naj ta vidik v prihodnje upošteva pri zaposlovanju novih uslužbencev ter imenovanjih v srednjem in višjem vodstvu;</w:t>
      </w:r>
    </w:p>
    <w:p w:rsidR="00DA7650" w:rsidRPr="00546536" w:rsidRDefault="00DA7650" w:rsidP="007B7FF1">
      <w:pPr>
        <w:pStyle w:val="NormalHanging12a"/>
      </w:pPr>
      <w:r w:rsidRPr="00546536">
        <w:t>14.</w:t>
      </w:r>
      <w:r w:rsidRPr="00546536">
        <w:tab/>
        <w:t xml:space="preserve">pozdravlja dejstvo, da je organ v letu 2022 nadaljeval izvajanje strategije za raznolikost in vključevanje (sprejete leta 2021) in njenega podrobnega akcijskega načrta, ki je v skladu z listino mreže EUAN o raznolikosti in zajema medsektorske ukrepe, kot so med drugim sodelovanje z drugimi institucijami, privabljanje in izbiranje bolj raznolike delovne sile, preprečevanje diskriminacije, nadlegovanja, zavestne in nezavedne pristranskosti ter spremljanje podatkov, povezanih z raznolikostjo in vključevanjem; ugotavlja, da se je leta 2022 poročalo o enem primeru domnevnega nadlegovanja, vendar je bil primer zaključen brez nadaljnjih ukrepov, saj po predhodni oceni ni bilo odkritih dokazov </w:t>
      </w:r>
      <w:r w:rsidRPr="00546536">
        <w:rPr>
          <w:i/>
          <w:iCs/>
        </w:rPr>
        <w:t xml:space="preserve">prima </w:t>
      </w:r>
      <w:proofErr w:type="spellStart"/>
      <w:r w:rsidRPr="00546536">
        <w:rPr>
          <w:i/>
          <w:iCs/>
        </w:rPr>
        <w:t>facie</w:t>
      </w:r>
      <w:proofErr w:type="spellEnd"/>
      <w:r w:rsidRPr="00546536">
        <w:t>;</w:t>
      </w:r>
    </w:p>
    <w:p w:rsidR="00DA7650" w:rsidRPr="00546536" w:rsidRDefault="00DA7650" w:rsidP="00DA7650">
      <w:pPr>
        <w:widowControl/>
        <w:spacing w:after="240"/>
        <w:ind w:left="567" w:hanging="567"/>
        <w:rPr>
          <w:szCs w:val="24"/>
        </w:rPr>
      </w:pPr>
      <w:r w:rsidRPr="00546536">
        <w:t>15.</w:t>
      </w:r>
      <w:r w:rsidRPr="00546536">
        <w:tab/>
        <w:t xml:space="preserve">pozdravlja dejstvo, da je organ namenjen spodbujanju in zagotavljanju raznolikega in vključujočega delovnega okolja, prilagojenega tudi potrebam invalidov; v zvezi s tem ugotavlja, da je bil leta 2022 imenovan notranji koordinator in ambasador organa za invalidnost, da bi dodatno okrepil in usmeril pozornost na to posebno področje, </w:t>
      </w:r>
      <w:r w:rsidRPr="00546536">
        <w:lastRenderedPageBreak/>
        <w:t>izvedena pa je bila tudi namenska raziskava ter uvedeni ukrepi za povečanje ozaveščenosti med osebjem in vodstvom;</w:t>
      </w:r>
    </w:p>
    <w:p w:rsidR="00DA7650" w:rsidRPr="00546536" w:rsidRDefault="00DA7650" w:rsidP="00DA7650">
      <w:pPr>
        <w:pStyle w:val="NormalHanging12a"/>
      </w:pPr>
      <w:r w:rsidRPr="00546536">
        <w:t>16.</w:t>
      </w:r>
      <w:r w:rsidRPr="00546536">
        <w:tab/>
        <w:t>z zadovoljstvom ugotavlja, da je organ še naprej močno zavezan izboljšanju dobrega počutja zaposlenih ter usklajevanju poklicnega in zasebnega življenja, pri čemer sta bila vključenost in zadovoljstvo zaposlenih pozitivna; ugotavlja, da so ključna področja, na katera se je treba osredotočiti, vključevala prožne ureditve dela, delo na daljavo, vseživljenjsko usmerjanje in poklicni razvoj, programe za dobro počutje in podporno upravljanje;</w:t>
      </w:r>
    </w:p>
    <w:p w:rsidR="00DA7650" w:rsidRPr="00546536" w:rsidRDefault="00DA7650" w:rsidP="00DA7650">
      <w:pPr>
        <w:widowControl/>
        <w:spacing w:after="240"/>
        <w:ind w:left="567" w:hanging="567"/>
        <w:rPr>
          <w:b/>
          <w:i/>
          <w:szCs w:val="24"/>
        </w:rPr>
      </w:pPr>
      <w:r w:rsidRPr="00546536">
        <w:rPr>
          <w:b/>
          <w:i/>
        </w:rPr>
        <w:t>Javna naročila</w:t>
      </w:r>
    </w:p>
    <w:p w:rsidR="00DA7650" w:rsidRPr="00546536" w:rsidRDefault="00DA7650" w:rsidP="00DA7650">
      <w:pPr>
        <w:widowControl/>
        <w:spacing w:after="240"/>
        <w:ind w:left="567" w:hanging="567"/>
        <w:rPr>
          <w:szCs w:val="24"/>
        </w:rPr>
      </w:pPr>
      <w:r w:rsidRPr="00546536">
        <w:t>17.</w:t>
      </w:r>
      <w:r w:rsidRPr="00546536">
        <w:tab/>
        <w:t>na podlagi poročila Računskega sodišča ugotavlja, da je organ izvršil plačila (v skupnem znesku 25.607 EUR) po izteku pogodbe, s katero je organ izvedel javno naročilo za telekomunikacijske storitve za mobilne telefonske komunikacije za obdobje štirih let (2017–2021); je seznanjen z ugotovitvijo Računskega sodišča, da so bila ta plačila nepravilna; poleg tega Računsko sodišče ugotavlja, da je bila s spremembo te pogodbe, podpisano aprila 2022, kršena točka 1.1 priloge I finančne uredbe;</w:t>
      </w:r>
    </w:p>
    <w:p w:rsidR="00DA7650" w:rsidRPr="00546536" w:rsidRDefault="00DA7650" w:rsidP="00DA7650">
      <w:pPr>
        <w:widowControl/>
        <w:spacing w:after="240"/>
        <w:ind w:left="567" w:hanging="567"/>
        <w:rPr>
          <w:szCs w:val="24"/>
        </w:rPr>
      </w:pPr>
      <w:r w:rsidRPr="00546536">
        <w:t>18.</w:t>
      </w:r>
      <w:r w:rsidRPr="00546536">
        <w:tab/>
        <w:t>na podlagi letnega poročila Računskega sodišča o agencijah Unije za leto 2021 opozarja na ugotovitev, da je organ v zvezi s pogodbo o najemu prostorov neupravičeno izplačal znesek 288.125 EUR; v zvezi s tem se seznanja s stališčem organa iz poročila organa o ukrepih, sprejetih ob upoštevanju priporočil organa za podelitev razrešnice (razrešnica za leto 2021), da bi neupoštevanje pogodbenih obveznosti imelo negativen pravni učinek in učinek na ugled organa; iz poročila Računskega sodišča ugotavlja, da je ta ugotovitev še vedno nerešena; poziva organ, naj stori vse potrebno za začetek postopka javnega naročanja za novo zakupno pogodbo, da bi preprečil vsakršno nasprotje med obveznostmi, ki jih nalaga najemna pogodba, in ustreznimi določbami finančne uredbe;</w:t>
      </w:r>
    </w:p>
    <w:p w:rsidR="00DA7650" w:rsidRPr="00546536" w:rsidRDefault="00DA7650" w:rsidP="00DA7650">
      <w:pPr>
        <w:widowControl/>
        <w:spacing w:after="240"/>
        <w:rPr>
          <w:szCs w:val="24"/>
        </w:rPr>
      </w:pPr>
      <w:r w:rsidRPr="00546536">
        <w:rPr>
          <w:b/>
          <w:i/>
        </w:rPr>
        <w:t>Preprečevanje in obvladovanje nasprotij interesov ter preglednost</w:t>
      </w:r>
    </w:p>
    <w:p w:rsidR="00DA7650" w:rsidRPr="00546536" w:rsidRDefault="00DA7650" w:rsidP="00DA7650">
      <w:pPr>
        <w:widowControl/>
        <w:spacing w:after="240"/>
        <w:ind w:left="567" w:hanging="567"/>
        <w:rPr>
          <w:szCs w:val="24"/>
        </w:rPr>
      </w:pPr>
      <w:r w:rsidRPr="00546536">
        <w:t>19.</w:t>
      </w:r>
      <w:r w:rsidRPr="00546536">
        <w:tab/>
        <w:t>pozdravlja, da so v skladu s pravnimi zahtevami organa na njegovem spletnem mestu objavljeni življenjepisi članov odbora nadzornikov in upravnega odbora organa, življenjepis predsednika in izvršnega direktorja organa ter kratek življenjepis vodij oddelkov organa; ugotavlja, da so posamezne izjave o interesih in izjavah o nameri javno dostopne vsakemu članu upravnega odbora, vsakemu članu odbora nadzornikov in višjemu vodstvu organa; pozdravlja tudi, da so na spletnem mestu organa objavljena srečanja uslužbencev z lobisti;</w:t>
      </w:r>
    </w:p>
    <w:p w:rsidR="00DA7650" w:rsidRPr="00546536" w:rsidRDefault="00DA7650" w:rsidP="00DA7650">
      <w:pPr>
        <w:widowControl/>
        <w:spacing w:after="240"/>
        <w:ind w:left="567" w:hanging="567"/>
        <w:rPr>
          <w:szCs w:val="24"/>
        </w:rPr>
      </w:pPr>
      <w:r w:rsidRPr="00546536">
        <w:t>20.</w:t>
      </w:r>
      <w:r w:rsidRPr="00546536">
        <w:tab/>
        <w:t>pozdravlja dejstvo, da je organ v letu 2022 okrepil svoja etična pravila za uslužbence in druge uslužbence, pri čemer se je odzval na ugotovitve Računskega sodišča iz poročila o zaključnem računu za leto 2021 in si prizadeval za ohranjanje nepristranskega, objektivnega in neodvisnega odločanja ter hitro prepoznavanje in obravnavo morebitnih nasprotij interesov; v zvezi s tem je seznanjen z revizijo poslovnika organa, sprejetjem politike neodvisnosti in postopkih odločanja za preprečevanje nasprotij interesov za osebe, ki niso zaposleni, odobritvijo revizije sklepa o oceni predsednika in izvršnega direktorja ter sprejetjem revizije etičnih pravil organa za uslužbence;</w:t>
      </w:r>
    </w:p>
    <w:p w:rsidR="00DA7650" w:rsidRPr="00546536" w:rsidRDefault="00DA7650" w:rsidP="00DA7650">
      <w:pPr>
        <w:widowControl/>
        <w:spacing w:after="240"/>
        <w:ind w:left="567" w:hanging="567"/>
        <w:rPr>
          <w:szCs w:val="24"/>
        </w:rPr>
      </w:pPr>
      <w:r w:rsidRPr="00546536">
        <w:t>21.</w:t>
      </w:r>
      <w:r w:rsidRPr="00546536">
        <w:tab/>
        <w:t xml:space="preserve">v zvezi z prijavljanjem nepravilnosti ugotavlja, da je leta 2022 en uslužbenec izrazil zaskrbljenost glede morebitnega primera nepravilnosti, ki ga je organ obravnaval v skladu z veljavnimi pravili; v zvezi s tem ugotavlja, da je organ o tem nemudoma </w:t>
      </w:r>
      <w:r w:rsidRPr="00546536">
        <w:lastRenderedPageBreak/>
        <w:t>obvestil Evropski urad za boj proti goljufijam (OLAF), ki je pripravil oceno, s katero je primer ovrgel, saj ni bilo zadostnega suma za začetek preiskave;</w:t>
      </w:r>
    </w:p>
    <w:p w:rsidR="00DA7650" w:rsidRPr="00546536" w:rsidRDefault="00DA7650" w:rsidP="00DA7650">
      <w:pPr>
        <w:spacing w:after="240"/>
        <w:ind w:left="567" w:hanging="567"/>
        <w:rPr>
          <w:sz w:val="22"/>
        </w:rPr>
      </w:pPr>
      <w:r w:rsidRPr="00546536">
        <w:t>22.</w:t>
      </w:r>
      <w:r w:rsidRPr="00546536">
        <w:tab/>
        <w:t>pozdravlja dejstvo, da je odbor nadzornikov julija 2022 revidiral svoj poslovnik, pri čemer je upošteval ugotovitve Računskega sodišča v zvezi z navzočnostjo članov, ki so v nasprotju interesov, na razpravah in glasovanju; ugotavlja tudi, da je upravni odbor organa decembra 2022 v skladu z ugotovitvami Računskega sodišča odobril revidirano odločitev o ocenjevanju predsednika in izvršnega direktorja;</w:t>
      </w:r>
    </w:p>
    <w:p w:rsidR="00DA7650" w:rsidRPr="00546536" w:rsidRDefault="00DA7650" w:rsidP="00DA7650">
      <w:pPr>
        <w:widowControl/>
        <w:spacing w:after="240"/>
        <w:ind w:left="567" w:hanging="567"/>
        <w:rPr>
          <w:b/>
          <w:i/>
          <w:szCs w:val="24"/>
        </w:rPr>
      </w:pPr>
      <w:r w:rsidRPr="00546536">
        <w:rPr>
          <w:b/>
          <w:i/>
        </w:rPr>
        <w:t>Notranje kontrole</w:t>
      </w:r>
    </w:p>
    <w:p w:rsidR="00DA7650" w:rsidRPr="00546536" w:rsidRDefault="00DA7650" w:rsidP="00DA7650">
      <w:pPr>
        <w:widowControl/>
        <w:spacing w:after="240"/>
        <w:ind w:left="567" w:hanging="567"/>
        <w:rPr>
          <w:szCs w:val="24"/>
        </w:rPr>
      </w:pPr>
      <w:r w:rsidRPr="00546536">
        <w:t>23.</w:t>
      </w:r>
      <w:r w:rsidRPr="00546536">
        <w:tab/>
        <w:t>ugotavlja, da je v letu 2022 organ izvedel letno oceno svojega okvira notranje kontrole in ugotovil, da se vsi sestavni deli in načela izvajajo in delujejo v skladu z načrti, potrebnih pa je tudi nekaj izboljšav zaradi odkritih manjših pomanjkljivosti;</w:t>
      </w:r>
    </w:p>
    <w:p w:rsidR="00DA7650" w:rsidRPr="00546536" w:rsidRDefault="00DA7650" w:rsidP="00DA7650">
      <w:pPr>
        <w:widowControl/>
        <w:spacing w:after="240"/>
        <w:ind w:left="567" w:hanging="567"/>
        <w:rPr>
          <w:szCs w:val="24"/>
        </w:rPr>
      </w:pPr>
      <w:r w:rsidRPr="00546536">
        <w:t>24.</w:t>
      </w:r>
      <w:r w:rsidRPr="00546536">
        <w:tab/>
        <w:t>ugotavlja, da je služba za notranjo revizijo leta 2022 izdala poročilo o reviziji intervencijskih ukrepov organa EIOPA, ki je bila izvedena leta 2021 in je bila osredotočena na pristojne nacionalne organe in udeležence na trgu v sektorju zavarovanj in poklicnih pokojnin v Uniji; opaža tudi, da je odbor organa za nadzor kakovosti izdal poročilo o pregledu izkušenj, pridobljenih s sodelovanjem in interakcijo med organom EIOPA in pristojnimi nacionalnimi organi med pandemijo covida-19; poziva organ, naj organ za razrešnico redno obvešča glede izvajanja priporočil, ki sta jih izdala služba za notranjo revizijo in organ za nadzor kakovosti;</w:t>
      </w:r>
    </w:p>
    <w:p w:rsidR="00DA7650" w:rsidRPr="00546536" w:rsidRDefault="00DA7650" w:rsidP="00DA7650">
      <w:pPr>
        <w:widowControl/>
        <w:spacing w:after="240"/>
        <w:ind w:left="567" w:hanging="567"/>
      </w:pPr>
      <w:r w:rsidRPr="00546536">
        <w:t>25.</w:t>
      </w:r>
      <w:r w:rsidRPr="00546536">
        <w:tab/>
        <w:t>z zadovoljstvom ugotavlja, da je organ v letu 2022 opredelil, spremljal in sprejel ukrepe za ublažitev učinkov tveganj, saj nima zadostnih zmogljivosti za izvajanje novih pooblastil in nalog, hkrati pa izpolnjuje obstoječe zaveze, pomanjkanje usposobljenega osebja z zahtevanimi kompetencami zaradi težav, povezanih s privlačnostjo in zaposlovanjem, grožnjami kibernetske varnosti in neprekinjenim poslovanjem;</w:t>
      </w:r>
    </w:p>
    <w:p w:rsidR="00DA7650" w:rsidRPr="00546536" w:rsidRDefault="00DA7650" w:rsidP="00DA7650">
      <w:pPr>
        <w:widowControl/>
        <w:spacing w:after="240"/>
        <w:ind w:left="567" w:hanging="567"/>
      </w:pPr>
      <w:r w:rsidRPr="00546536">
        <w:t>26.</w:t>
      </w:r>
      <w:r w:rsidRPr="00546536">
        <w:tab/>
        <w:t>ugotavlja, da je organ v letu 2022 še naprej obravnaval preostala priporočila iz revizije orodij za nadzor na področju varstva potrošnikov (2019–2020); ugotavlja tudi, da so bila na podlagi te revizije oblikovana štiri priporočila, ki so bila obravnavana, tako da je služba za notranjo revizijo novembra 2021 uradno zaključila dve priporočili, dve pa sta bili uradno zaključeni junija 2022;</w:t>
      </w:r>
    </w:p>
    <w:p w:rsidR="00DA7650" w:rsidRPr="00546536" w:rsidRDefault="00DA7650" w:rsidP="00DA7650">
      <w:pPr>
        <w:widowControl/>
        <w:spacing w:after="240"/>
        <w:ind w:left="567" w:hanging="567"/>
        <w:rPr>
          <w:b/>
          <w:i/>
          <w:szCs w:val="24"/>
        </w:rPr>
      </w:pPr>
      <w:r w:rsidRPr="00546536">
        <w:rPr>
          <w:b/>
          <w:i/>
        </w:rPr>
        <w:t>Druge pripombe</w:t>
      </w:r>
    </w:p>
    <w:p w:rsidR="00DA7650" w:rsidRPr="00546536" w:rsidRDefault="00DA7650" w:rsidP="00DA7650">
      <w:pPr>
        <w:spacing w:after="240"/>
        <w:ind w:left="567" w:hanging="567"/>
        <w:rPr>
          <w:szCs w:val="24"/>
        </w:rPr>
      </w:pPr>
      <w:r w:rsidRPr="00546536">
        <w:t>27.</w:t>
      </w:r>
      <w:r w:rsidRPr="00546536">
        <w:tab/>
        <w:t>ugotavlja, da je organ leta 2022 skupaj z drugimi evropskimi nadzornimi organi potrošnikom izdal opozorila v zvezi z visoko tveganimi in špekulativnimi dejavnostmi, povezanimi s številnimi kriptoimetji;</w:t>
      </w:r>
    </w:p>
    <w:p w:rsidR="00DA7650" w:rsidRPr="00546536" w:rsidRDefault="00DA7650" w:rsidP="00DA7650">
      <w:pPr>
        <w:spacing w:after="240"/>
        <w:ind w:left="567" w:hanging="567"/>
        <w:rPr>
          <w:szCs w:val="24"/>
        </w:rPr>
      </w:pPr>
      <w:r w:rsidRPr="00546536">
        <w:t>28.</w:t>
      </w:r>
      <w:r w:rsidRPr="00546536">
        <w:tab/>
        <w:t>na podlagi odgovorov organa na vprašanja organa za podelitev razrešnice se seznanja, da organ trenutno uporablja orodja Komisije za e-razpise (e-razpisi, elektronska oddaja ponudb, izdajanje elektronskih računov) ter da je bilo medtem izvedeno orodje za upravljanje javnih naročil (PPMT) (od julija 2023); pozdravlja dejstvo, da razpisni postopki organa EIOPA vključujejo zahteve glede meril za zelena javna naročila, kadar je mogoče, ponudniki za organ EIOPA pa morajo med drugim podpisati častno izjavo o izpolnjevanju okoljskih in socialnih obveznosti;</w:t>
      </w:r>
    </w:p>
    <w:p w:rsidR="00DA7650" w:rsidRPr="00546536" w:rsidRDefault="00DA7650" w:rsidP="00DA7650">
      <w:pPr>
        <w:spacing w:after="240"/>
        <w:ind w:left="567" w:hanging="567"/>
        <w:rPr>
          <w:szCs w:val="24"/>
        </w:rPr>
      </w:pPr>
      <w:r w:rsidRPr="00546536">
        <w:t>29.</w:t>
      </w:r>
      <w:r w:rsidRPr="00546536">
        <w:tab/>
        <w:t xml:space="preserve">ugotavlja, da je organ leta 2022 rezultate svojega dela objavil v obliki poročil na svojem spletnem mestu in v družbenih medijih, pri čemer je večini poročil priložil sporočilo za </w:t>
      </w:r>
      <w:r w:rsidRPr="00546536">
        <w:lastRenderedPageBreak/>
        <w:t>javnost; pozdravlja dejstvo, da so v nekaterih primerih poročilom priloženi tudi povzetki, kratki posnetki v družbenih medijih ali kratki intervjuji, ki enostavneje pojasnjujejo vsebino;</w:t>
      </w:r>
    </w:p>
    <w:p w:rsidR="00DA7650" w:rsidRPr="00546536" w:rsidRDefault="00DA7650" w:rsidP="00DA7650">
      <w:pPr>
        <w:pStyle w:val="NormalCenter12a"/>
      </w:pPr>
      <w:r w:rsidRPr="00546536">
        <w:t>°</w:t>
      </w:r>
    </w:p>
    <w:p w:rsidR="00DA7650" w:rsidRPr="00546536" w:rsidRDefault="00DA7650" w:rsidP="00DA7650">
      <w:pPr>
        <w:pStyle w:val="NormalCenter12a"/>
      </w:pPr>
      <w:r w:rsidRPr="00546536">
        <w:t>°</w:t>
      </w:r>
      <w:r w:rsidRPr="00546536">
        <w:tab/>
        <w:t>°</w:t>
      </w:r>
    </w:p>
    <w:p w:rsidR="00E365E1" w:rsidRPr="00546536" w:rsidRDefault="00DA7650" w:rsidP="009004E6">
      <w:pPr>
        <w:ind w:left="567" w:hanging="567"/>
      </w:pPr>
      <w:r w:rsidRPr="00546536">
        <w:t>30.</w:t>
      </w:r>
      <w:r w:rsidRPr="00546536">
        <w:tab/>
        <w:t xml:space="preserve">sporoča, da so druge ugotovitve horizontalne narave, ki spremljajo sklep o razrešnici, zbrane v resoluciji z dne </w:t>
      </w:r>
      <w:r w:rsidR="009004E6" w:rsidRPr="00546536">
        <w:t xml:space="preserve">11. </w:t>
      </w:r>
      <w:r w:rsidRPr="00546536">
        <w:t>aprila 2024</w:t>
      </w:r>
      <w:r w:rsidRPr="00546536">
        <w:rPr>
          <w:rStyle w:val="FootnoteReference"/>
        </w:rPr>
        <w:footnoteReference w:id="12"/>
      </w:r>
      <w:r w:rsidRPr="00546536">
        <w:t xml:space="preserve"> o uspešnosti, finančnem poslovodenju in nadzoru agencij.</w:t>
      </w:r>
      <w:bookmarkStart w:id="9" w:name="TextBodyEnd"/>
      <w:bookmarkEnd w:id="9"/>
    </w:p>
    <w:sectPr w:rsidR="00E365E1" w:rsidRPr="00546536" w:rsidSect="009F37B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CFE" w:rsidRPr="009F37B9" w:rsidRDefault="00DB5CFE">
      <w:r w:rsidRPr="009F37B9">
        <w:separator/>
      </w:r>
    </w:p>
  </w:endnote>
  <w:endnote w:type="continuationSeparator" w:id="0">
    <w:p w:rsidR="00DB5CFE" w:rsidRPr="009F37B9" w:rsidRDefault="00DB5CFE">
      <w:r w:rsidRPr="009F37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650" w:rsidRPr="009F37B9" w:rsidRDefault="00DA7650" w:rsidP="002C0BDB">
    <w:pPr>
      <w:pStyle w:val="EPFooter"/>
    </w:pPr>
    <w:r w:rsidRPr="009F37B9">
      <w:t>PE</w:t>
    </w:r>
    <w:r w:rsidRPr="009F37B9">
      <w:rPr>
        <w:rStyle w:val="HideTWBExt"/>
      </w:rPr>
      <w:t>&lt;NoPE&gt;</w:t>
    </w:r>
    <w:r w:rsidRPr="009F37B9">
      <w:t>753.521</w:t>
    </w:r>
    <w:r w:rsidRPr="009F37B9">
      <w:rPr>
        <w:rStyle w:val="HideTWBExt"/>
      </w:rPr>
      <w:t>&lt;/NoPE&gt;&lt;Version&gt;</w:t>
    </w:r>
    <w:r w:rsidRPr="009F37B9">
      <w:t>v02-00</w:t>
    </w:r>
    <w:r w:rsidRPr="009F37B9">
      <w:rPr>
        <w:rStyle w:val="HideTWBExt"/>
      </w:rPr>
      <w:t>&lt;/Version&gt;</w:t>
    </w:r>
    <w:r w:rsidRPr="009F37B9">
      <w:tab/>
    </w:r>
    <w:r w:rsidRPr="009F37B9">
      <w:fldChar w:fldCharType="begin"/>
    </w:r>
    <w:r w:rsidRPr="009F37B9">
      <w:instrText xml:space="preserve"> PAGE  \* MERGEFORMAT </w:instrText>
    </w:r>
    <w:r w:rsidRPr="009F37B9">
      <w:fldChar w:fldCharType="separate"/>
    </w:r>
    <w:r w:rsidRPr="009F37B9">
      <w:rPr>
        <w:noProof/>
      </w:rPr>
      <w:t>4</w:t>
    </w:r>
    <w:r w:rsidRPr="009F37B9">
      <w:fldChar w:fldCharType="end"/>
    </w:r>
    <w:r w:rsidRPr="009F37B9">
      <w:t>/</w:t>
    </w:r>
    <w:r w:rsidR="00546536">
      <w:fldChar w:fldCharType="begin"/>
    </w:r>
    <w:r w:rsidR="00546536">
      <w:instrText xml:space="preserve"> NUMPAGES  \* MERGEFORMAT </w:instrText>
    </w:r>
    <w:r w:rsidR="00546536">
      <w:fldChar w:fldCharType="separate"/>
    </w:r>
    <w:r w:rsidRPr="009F37B9">
      <w:rPr>
        <w:noProof/>
      </w:rPr>
      <w:t>4</w:t>
    </w:r>
    <w:r w:rsidR="00546536">
      <w:rPr>
        <w:noProof/>
      </w:rPr>
      <w:fldChar w:fldCharType="end"/>
    </w:r>
    <w:r w:rsidRPr="009F37B9">
      <w:tab/>
    </w:r>
    <w:r w:rsidRPr="009F37B9">
      <w:rPr>
        <w:rStyle w:val="HideTWBExt"/>
      </w:rPr>
      <w:t>&lt;PathFdR&gt;</w:t>
    </w:r>
    <w:r w:rsidRPr="009F37B9">
      <w:t>RR\1298747SL.docx</w:t>
    </w:r>
    <w:r w:rsidRPr="009F37B9">
      <w:rPr>
        <w:rStyle w:val="HideTWBExt"/>
      </w:rPr>
      <w:t>&lt;/PathFdR&gt;</w:t>
    </w:r>
  </w:p>
  <w:p w:rsidR="00DA7650" w:rsidRPr="009F37B9" w:rsidRDefault="00DA7650" w:rsidP="002C0BDB">
    <w:pPr>
      <w:pStyle w:val="EPFooter2"/>
    </w:pPr>
    <w:r w:rsidRPr="009F37B9">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650" w:rsidRPr="009F37B9" w:rsidRDefault="00DA7650" w:rsidP="002C0BDB">
    <w:pPr>
      <w:pStyle w:val="EPFooter"/>
    </w:pPr>
    <w:r w:rsidRPr="009F37B9">
      <w:rPr>
        <w:rStyle w:val="HideTWBExt"/>
      </w:rPr>
      <w:t>&lt;PathFdR&gt;</w:t>
    </w:r>
    <w:r w:rsidRPr="009F37B9">
      <w:t>RR\1298747SL.docx</w:t>
    </w:r>
    <w:r w:rsidRPr="009F37B9">
      <w:rPr>
        <w:rStyle w:val="HideTWBExt"/>
      </w:rPr>
      <w:t>&lt;/PathFdR&gt;</w:t>
    </w:r>
    <w:r w:rsidRPr="009F37B9">
      <w:tab/>
    </w:r>
    <w:r w:rsidRPr="009F37B9">
      <w:tab/>
      <w:t>PE</w:t>
    </w:r>
    <w:r w:rsidRPr="009F37B9">
      <w:rPr>
        <w:rStyle w:val="HideTWBExt"/>
      </w:rPr>
      <w:t>&lt;NoPE&gt;</w:t>
    </w:r>
    <w:r w:rsidRPr="009F37B9">
      <w:t>753.521</w:t>
    </w:r>
    <w:r w:rsidRPr="009F37B9">
      <w:rPr>
        <w:rStyle w:val="HideTWBExt"/>
      </w:rPr>
      <w:t>&lt;/NoPE&gt;&lt;Version&gt;</w:t>
    </w:r>
    <w:r w:rsidRPr="009F37B9">
      <w:t>v02-00</w:t>
    </w:r>
    <w:r w:rsidRPr="009F37B9">
      <w:rPr>
        <w:rStyle w:val="HideTWBExt"/>
      </w:rPr>
      <w:t>&lt;/Version&gt;</w:t>
    </w:r>
  </w:p>
  <w:p w:rsidR="00DA7650" w:rsidRPr="009F37B9" w:rsidRDefault="00DA7650" w:rsidP="002C0BDB">
    <w:pPr>
      <w:pStyle w:val="EPFooter2"/>
    </w:pPr>
    <w:r w:rsidRPr="009F37B9">
      <w:t>SL</w:t>
    </w:r>
    <w:r w:rsidRPr="009F37B9">
      <w:tab/>
    </w:r>
    <w:r w:rsidRPr="009F37B9">
      <w:rPr>
        <w:b w:val="0"/>
        <w:i/>
        <w:color w:val="C0C0C0"/>
        <w:sz w:val="22"/>
      </w:rPr>
      <w:t>Združena v raznolikosti</w:t>
    </w:r>
    <w:r w:rsidRPr="009F37B9">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7B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7B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7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CFE" w:rsidRPr="009F37B9" w:rsidRDefault="00DB5CFE">
      <w:r w:rsidRPr="009F37B9">
        <w:separator/>
      </w:r>
    </w:p>
  </w:footnote>
  <w:footnote w:type="continuationSeparator" w:id="0">
    <w:p w:rsidR="00DB5CFE" w:rsidRPr="009F37B9" w:rsidRDefault="00DB5CFE">
      <w:r w:rsidRPr="009F37B9">
        <w:continuationSeparator/>
      </w:r>
    </w:p>
  </w:footnote>
  <w:footnote w:id="1">
    <w:p w:rsidR="00DA7650" w:rsidRPr="009F37B9" w:rsidRDefault="00DA7650" w:rsidP="009004E6">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009004E6">
        <w:rPr>
          <w:sz w:val="24"/>
          <w:lang w:val="sl-SI"/>
        </w:rPr>
        <w:t>UL</w:t>
      </w:r>
      <w:r w:rsidRPr="009F37B9">
        <w:rPr>
          <w:sz w:val="24"/>
          <w:lang w:val="sl-SI"/>
        </w:rPr>
        <w:t xml:space="preserve"> C, C/2023/594, 27.10.2023.</w:t>
      </w:r>
    </w:p>
  </w:footnote>
  <w:footnote w:id="2">
    <w:p w:rsidR="00DA7650" w:rsidRPr="009F37B9" w:rsidRDefault="00DA7650" w:rsidP="009004E6">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009004E6">
        <w:rPr>
          <w:sz w:val="24"/>
          <w:lang w:val="sl-SI"/>
        </w:rPr>
        <w:t>UL</w:t>
      </w:r>
      <w:r w:rsidRPr="009F37B9">
        <w:rPr>
          <w:sz w:val="24"/>
          <w:lang w:val="sl-SI"/>
        </w:rPr>
        <w:t xml:space="preserve"> C, C/2023/112, 12.10.2023.</w:t>
      </w:r>
    </w:p>
  </w:footnote>
  <w:footnote w:id="3">
    <w:p w:rsidR="00DA7650" w:rsidRPr="009F37B9" w:rsidRDefault="00DA7650" w:rsidP="009F37B9">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UL L 193, 30.7.2018, str. 1.</w:t>
      </w:r>
    </w:p>
  </w:footnote>
  <w:footnote w:id="4">
    <w:p w:rsidR="00DA7650" w:rsidRPr="009F37B9" w:rsidRDefault="00DA7650" w:rsidP="009F37B9">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UL L 331, 15.12.2010, str. 48.</w:t>
      </w:r>
    </w:p>
  </w:footnote>
  <w:footnote w:id="5">
    <w:p w:rsidR="00DA7650" w:rsidRPr="009F37B9" w:rsidRDefault="00DA7650" w:rsidP="009F37B9">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UL L 122, 10.5.2019, str. 1.</w:t>
      </w:r>
    </w:p>
  </w:footnote>
  <w:footnote w:id="6">
    <w:p w:rsidR="00DA7650" w:rsidRPr="009F37B9" w:rsidRDefault="00DA7650" w:rsidP="009246AC">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009246AC">
        <w:rPr>
          <w:sz w:val="24"/>
          <w:lang w:val="sl-SI"/>
        </w:rPr>
        <w:t>UL</w:t>
      </w:r>
      <w:r w:rsidRPr="009F37B9">
        <w:rPr>
          <w:sz w:val="24"/>
          <w:lang w:val="sl-SI"/>
        </w:rPr>
        <w:t xml:space="preserve"> C, C/2023/594, 27.10.2023.</w:t>
      </w:r>
    </w:p>
  </w:footnote>
  <w:footnote w:id="7">
    <w:p w:rsidR="00DA7650" w:rsidRPr="009F37B9" w:rsidRDefault="00DA7650" w:rsidP="009246AC">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009246AC">
        <w:rPr>
          <w:sz w:val="24"/>
          <w:lang w:val="sl-SI"/>
        </w:rPr>
        <w:t>UL</w:t>
      </w:r>
      <w:r w:rsidRPr="009F37B9">
        <w:rPr>
          <w:sz w:val="24"/>
          <w:lang w:val="sl-SI"/>
        </w:rPr>
        <w:t xml:space="preserve"> C, C/2023/112, 12.10.2023.</w:t>
      </w:r>
    </w:p>
  </w:footnote>
  <w:footnote w:id="8">
    <w:p w:rsidR="00DA7650" w:rsidRPr="009F37B9" w:rsidRDefault="00DA7650" w:rsidP="009F37B9">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UL L 193, 30.7.2018, str. 1.</w:t>
      </w:r>
    </w:p>
  </w:footnote>
  <w:footnote w:id="9">
    <w:p w:rsidR="00DA7650" w:rsidRPr="009F37B9" w:rsidRDefault="00DA7650" w:rsidP="009F37B9">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UL L 331, 15.12.2010, str. 48.</w:t>
      </w:r>
    </w:p>
  </w:footnote>
  <w:footnote w:id="10">
    <w:p w:rsidR="00DA7650" w:rsidRPr="009F37B9" w:rsidRDefault="00DA7650" w:rsidP="009F37B9">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UL L 122, 10.5.2019, str. 1.</w:t>
      </w:r>
    </w:p>
  </w:footnote>
  <w:footnote w:id="11">
    <w:p w:rsidR="00DA7650" w:rsidRPr="009F37B9" w:rsidRDefault="00DA7650" w:rsidP="009F37B9">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UL C 38, 31.1.2023, str. 78.</w:t>
      </w:r>
    </w:p>
  </w:footnote>
  <w:footnote w:id="12">
    <w:p w:rsidR="00DA7650" w:rsidRPr="009F37B9" w:rsidRDefault="00DA7650" w:rsidP="00546536">
      <w:pPr>
        <w:pStyle w:val="FootnoteText"/>
        <w:ind w:left="567" w:hanging="567"/>
        <w:rPr>
          <w:sz w:val="24"/>
          <w:lang w:val="sl-SI"/>
        </w:rPr>
      </w:pPr>
      <w:r w:rsidRPr="009F37B9">
        <w:rPr>
          <w:rStyle w:val="FootnoteReference"/>
          <w:sz w:val="24"/>
          <w:lang w:val="sl-SI"/>
        </w:rPr>
        <w:footnoteRef/>
      </w:r>
      <w:r w:rsidR="009F37B9" w:rsidRPr="009F37B9">
        <w:rPr>
          <w:sz w:val="24"/>
          <w:lang w:val="sl-SI"/>
        </w:rPr>
        <w:t xml:space="preserve"> </w:t>
      </w:r>
      <w:r w:rsidR="009F37B9" w:rsidRPr="009F37B9">
        <w:rPr>
          <w:sz w:val="24"/>
          <w:lang w:val="sl-SI"/>
        </w:rPr>
        <w:tab/>
      </w:r>
      <w:r w:rsidRPr="009F37B9">
        <w:rPr>
          <w:sz w:val="24"/>
          <w:lang w:val="sl-SI"/>
        </w:rPr>
        <w:t>Sprejeta besedila, P9_TA(2024)0</w:t>
      </w:r>
      <w:r w:rsidR="00546536">
        <w:rPr>
          <w:sz w:val="24"/>
          <w:lang w:val="sl-SI"/>
        </w:rPr>
        <w:t>280</w:t>
      </w:r>
      <w:r w:rsidRPr="009F37B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7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7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37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SL"/>
    <w:docVar w:name="dvnumam" w:val="0"/>
    <w:docVar w:name="dvpe" w:val="753.521"/>
    <w:docVar w:name="dvrapporteur" w:val="Poročevalec: "/>
    <w:docVar w:name="dvtitre" w:val="1. Sklep Evropskega parlamenta z dne 11. aprila 2024 o razrešnici glede izvrševanja proračuna Evropskega organa za zavarovanja in poklicne pokojnine za proračunsko leto 2022(2023/2153(DEC))"/>
  </w:docVars>
  <w:rsids>
    <w:rsidRoot w:val="00DB5CF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536"/>
    <w:rsid w:val="00560270"/>
    <w:rsid w:val="005C2568"/>
    <w:rsid w:val="006037C0"/>
    <w:rsid w:val="006631B6"/>
    <w:rsid w:val="00680577"/>
    <w:rsid w:val="006F74FA"/>
    <w:rsid w:val="00731ADD"/>
    <w:rsid w:val="00734777"/>
    <w:rsid w:val="00747932"/>
    <w:rsid w:val="00751A4A"/>
    <w:rsid w:val="00756632"/>
    <w:rsid w:val="00762C74"/>
    <w:rsid w:val="00786EC0"/>
    <w:rsid w:val="007B7FF1"/>
    <w:rsid w:val="007D1690"/>
    <w:rsid w:val="007E22AD"/>
    <w:rsid w:val="00817416"/>
    <w:rsid w:val="00842779"/>
    <w:rsid w:val="00865F67"/>
    <w:rsid w:val="00881A7B"/>
    <w:rsid w:val="008840E5"/>
    <w:rsid w:val="00887B3E"/>
    <w:rsid w:val="008C2AC6"/>
    <w:rsid w:val="009004E6"/>
    <w:rsid w:val="009246AC"/>
    <w:rsid w:val="00930C23"/>
    <w:rsid w:val="0093193B"/>
    <w:rsid w:val="009509D8"/>
    <w:rsid w:val="00950B64"/>
    <w:rsid w:val="00981893"/>
    <w:rsid w:val="009F37B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650"/>
    <w:rsid w:val="00DA7FCD"/>
    <w:rsid w:val="00DB5CF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7B645"/>
  <w15:chartTrackingRefBased/>
  <w15:docId w15:val="{4D6934DB-0AB3-4623-B86D-C27BC78FB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A76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A7650"/>
    <w:pPr>
      <w:spacing w:before="480" w:after="240"/>
    </w:pPr>
  </w:style>
  <w:style w:type="paragraph" w:customStyle="1" w:styleId="PageHeading">
    <w:name w:val="PageHeading"/>
    <w:basedOn w:val="Normal"/>
    <w:rsid w:val="00DA7650"/>
    <w:pPr>
      <w:keepNext/>
      <w:spacing w:after="480"/>
      <w:jc w:val="center"/>
    </w:pPr>
    <w:rPr>
      <w:rFonts w:ascii="Arial" w:hAnsi="Arial" w:cs="Arial"/>
      <w:b/>
    </w:rPr>
  </w:style>
  <w:style w:type="paragraph" w:customStyle="1" w:styleId="NormalBold">
    <w:name w:val="NormalBold"/>
    <w:basedOn w:val="Normal"/>
    <w:rsid w:val="00DA7650"/>
    <w:rPr>
      <w:b/>
    </w:rPr>
  </w:style>
  <w:style w:type="paragraph" w:customStyle="1" w:styleId="NormalHanging12a">
    <w:name w:val="NormalHanging12a"/>
    <w:basedOn w:val="Normal"/>
    <w:link w:val="NormalHanging12aChar"/>
    <w:rsid w:val="00DA7650"/>
    <w:pPr>
      <w:spacing w:after="240"/>
      <w:ind w:left="567" w:hanging="567"/>
    </w:pPr>
  </w:style>
  <w:style w:type="paragraph" w:customStyle="1" w:styleId="NormalCenter12a">
    <w:name w:val="NormalCenter12a"/>
    <w:basedOn w:val="Normal"/>
    <w:rsid w:val="00DA7650"/>
    <w:pPr>
      <w:spacing w:after="240"/>
      <w:jc w:val="center"/>
    </w:pPr>
  </w:style>
  <w:style w:type="paragraph" w:styleId="Header">
    <w:name w:val="header"/>
    <w:basedOn w:val="Normal"/>
    <w:link w:val="HeaderChar"/>
    <w:rsid w:val="00DA7650"/>
    <w:pPr>
      <w:tabs>
        <w:tab w:val="center" w:pos="4513"/>
        <w:tab w:val="right" w:pos="9026"/>
      </w:tabs>
    </w:pPr>
  </w:style>
  <w:style w:type="character" w:customStyle="1" w:styleId="HeaderChar">
    <w:name w:val="Header Char"/>
    <w:basedOn w:val="DefaultParagraphFont"/>
    <w:link w:val="Header"/>
    <w:rsid w:val="00DA7650"/>
    <w:rPr>
      <w:sz w:val="24"/>
      <w:lang w:val="sl-SI"/>
    </w:rPr>
  </w:style>
  <w:style w:type="paragraph" w:customStyle="1" w:styleId="EPFooter">
    <w:name w:val="EPFooter"/>
    <w:basedOn w:val="Normal"/>
    <w:rsid w:val="00DA765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DA7650"/>
    <w:rPr>
      <w:sz w:val="24"/>
      <w:lang w:val="sl-SI"/>
    </w:rPr>
  </w:style>
  <w:style w:type="paragraph" w:styleId="Footer">
    <w:name w:val="footer"/>
    <w:basedOn w:val="Normal"/>
    <w:link w:val="FooterChar"/>
    <w:rsid w:val="009004E6"/>
    <w:pPr>
      <w:tabs>
        <w:tab w:val="center" w:pos="4513"/>
        <w:tab w:val="right" w:pos="9026"/>
      </w:tabs>
    </w:pPr>
  </w:style>
  <w:style w:type="character" w:customStyle="1" w:styleId="FooterChar">
    <w:name w:val="Footer Char"/>
    <w:basedOn w:val="DefaultParagraphFont"/>
    <w:link w:val="Footer"/>
    <w:rsid w:val="009004E6"/>
    <w:rPr>
      <w:sz w:val="24"/>
      <w:lang w:val="sl-SI"/>
    </w:rPr>
  </w:style>
  <w:style w:type="paragraph" w:styleId="BalloonText">
    <w:name w:val="Balloon Text"/>
    <w:basedOn w:val="Normal"/>
    <w:link w:val="BalloonTextChar"/>
    <w:rsid w:val="009004E6"/>
    <w:rPr>
      <w:rFonts w:ascii="Segoe UI" w:hAnsi="Segoe UI" w:cs="Segoe UI"/>
      <w:sz w:val="18"/>
      <w:szCs w:val="18"/>
    </w:rPr>
  </w:style>
  <w:style w:type="character" w:customStyle="1" w:styleId="BalloonTextChar">
    <w:name w:val="Balloon Text Char"/>
    <w:basedOn w:val="DefaultParagraphFont"/>
    <w:link w:val="BalloonText"/>
    <w:rsid w:val="009004E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7BC76-09E5-4244-996C-82CDCFC7E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3148</Words>
  <Characters>18795</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2024-04-11T13:45:00Z</dcterms:created>
  <dcterms:modified xsi:type="dcterms:W3CDTF">2024-04-11T13:45:00Z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A9-0097/2024</vt:lpwstr>
  </property>
  <property fmtid="{D5CDD505-2E9C-101B-9397-08002B2CF9AE}" pid="4" name="&lt;Type&gt;">
    <vt:lpwstr>RR</vt:lpwstr>
  </property>
</Properties>
</file>