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8374C1" w:rsidTr="0010095E">
        <w:trPr>
          <w:trHeight w:hRule="exact" w:val="1418"/>
        </w:trPr>
        <w:tc>
          <w:tcPr>
            <w:tcW w:w="6804" w:type="dxa"/>
            <w:shd w:val="clear" w:color="auto" w:fill="auto"/>
            <w:vAlign w:val="center"/>
          </w:tcPr>
          <w:p w:rsidR="00751A4A" w:rsidRPr="008374C1" w:rsidRDefault="00E21EB9" w:rsidP="0010095E">
            <w:pPr>
              <w:pStyle w:val="EPName"/>
            </w:pPr>
            <w:r w:rsidRPr="008374C1">
              <w:t>Europaparlamentet</w:t>
            </w:r>
          </w:p>
          <w:p w:rsidR="00751A4A" w:rsidRPr="008374C1" w:rsidRDefault="00817416" w:rsidP="00756632">
            <w:pPr>
              <w:pStyle w:val="EPTerm"/>
              <w:rPr>
                <w:rStyle w:val="HideTWBExt"/>
                <w:noProof w:val="0"/>
                <w:vanish w:val="0"/>
                <w:color w:val="auto"/>
              </w:rPr>
            </w:pPr>
            <w:r w:rsidRPr="008374C1">
              <w:t>2019-2024</w:t>
            </w:r>
          </w:p>
        </w:tc>
        <w:tc>
          <w:tcPr>
            <w:tcW w:w="2268" w:type="dxa"/>
            <w:shd w:val="clear" w:color="auto" w:fill="auto"/>
          </w:tcPr>
          <w:p w:rsidR="00751A4A" w:rsidRPr="008374C1" w:rsidRDefault="00187494" w:rsidP="0010095E">
            <w:pPr>
              <w:pStyle w:val="EPLogo"/>
            </w:pPr>
            <w:r w:rsidRPr="008374C1">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8374C1" w:rsidRDefault="00D058B8" w:rsidP="004C5D52">
      <w:pPr>
        <w:pStyle w:val="LineTop"/>
      </w:pPr>
    </w:p>
    <w:p w:rsidR="00680577" w:rsidRPr="008374C1" w:rsidRDefault="00E21EB9" w:rsidP="00680577">
      <w:pPr>
        <w:pStyle w:val="EPBodyTA1"/>
      </w:pPr>
      <w:r w:rsidRPr="008374C1">
        <w:t>ANTAGNA TEXTER</w:t>
      </w:r>
    </w:p>
    <w:p w:rsidR="00D058B8" w:rsidRPr="008374C1" w:rsidRDefault="00D058B8" w:rsidP="00D058B8">
      <w:pPr>
        <w:pStyle w:val="LineBottom"/>
      </w:pPr>
    </w:p>
    <w:p w:rsidR="00E21EB9" w:rsidRPr="008374C1" w:rsidRDefault="00E21EB9" w:rsidP="00E21EB9">
      <w:pPr>
        <w:pStyle w:val="ATHeading1"/>
      </w:pPr>
      <w:bookmarkStart w:id="0" w:name="TANumber"/>
      <w:r w:rsidRPr="008374C1">
        <w:t>P9_TA(2024)0</w:t>
      </w:r>
      <w:bookmarkEnd w:id="0"/>
      <w:r w:rsidR="008374C1" w:rsidRPr="008374C1">
        <w:t>263</w:t>
      </w:r>
    </w:p>
    <w:p w:rsidR="00E21EB9" w:rsidRPr="008374C1" w:rsidRDefault="00E21EB9" w:rsidP="00E21EB9">
      <w:pPr>
        <w:pStyle w:val="ATHeading2"/>
      </w:pPr>
      <w:bookmarkStart w:id="1" w:name="title"/>
      <w:r w:rsidRPr="008374C1">
        <w:t>Ansvarsfrihet 2022: Europeiska försäkrings- och tjänstepensionsmyndigheten</w:t>
      </w:r>
      <w:bookmarkEnd w:id="1"/>
    </w:p>
    <w:p w:rsidR="00E21EB9" w:rsidRPr="008374C1" w:rsidRDefault="00E21EB9" w:rsidP="00E21EB9">
      <w:pPr>
        <w:rPr>
          <w:i/>
          <w:vanish/>
        </w:rPr>
      </w:pPr>
      <w:r w:rsidRPr="008374C1">
        <w:rPr>
          <w:i/>
        </w:rPr>
        <w:fldChar w:fldCharType="begin"/>
      </w:r>
      <w:r w:rsidRPr="008374C1">
        <w:rPr>
          <w:i/>
        </w:rPr>
        <w:instrText xml:space="preserve"> TC"(</w:instrText>
      </w:r>
      <w:bookmarkStart w:id="2" w:name="DocNumber"/>
      <w:r w:rsidRPr="008374C1">
        <w:rPr>
          <w:i/>
        </w:rPr>
        <w:instrText>A9-0097/2024</w:instrText>
      </w:r>
      <w:bookmarkEnd w:id="2"/>
      <w:r w:rsidRPr="008374C1">
        <w:rPr>
          <w:i/>
        </w:rPr>
        <w:instrText xml:space="preserve"> - Föredragande: Petri Sarvamaa)"\l3 \n&gt; \* MERGEFORMAT </w:instrText>
      </w:r>
      <w:r w:rsidRPr="008374C1">
        <w:rPr>
          <w:i/>
        </w:rPr>
        <w:fldChar w:fldCharType="end"/>
      </w:r>
    </w:p>
    <w:p w:rsidR="00E21EB9" w:rsidRPr="008374C1" w:rsidRDefault="00E21EB9" w:rsidP="00E21EB9">
      <w:pPr>
        <w:rPr>
          <w:vanish/>
        </w:rPr>
      </w:pPr>
      <w:bookmarkStart w:id="3" w:name="Commission"/>
      <w:r w:rsidRPr="008374C1">
        <w:rPr>
          <w:vanish/>
        </w:rPr>
        <w:t>Budgetkontrollutskottet</w:t>
      </w:r>
      <w:bookmarkEnd w:id="3"/>
    </w:p>
    <w:p w:rsidR="00E21EB9" w:rsidRPr="008374C1" w:rsidRDefault="00E21EB9" w:rsidP="00E21EB9">
      <w:pPr>
        <w:rPr>
          <w:vanish/>
        </w:rPr>
      </w:pPr>
      <w:bookmarkStart w:id="4" w:name="PE"/>
      <w:r w:rsidRPr="008374C1">
        <w:rPr>
          <w:vanish/>
        </w:rPr>
        <w:t>PE753.521</w:t>
      </w:r>
      <w:bookmarkEnd w:id="4"/>
    </w:p>
    <w:p w:rsidR="00E21EB9" w:rsidRPr="008374C1" w:rsidRDefault="001B6698" w:rsidP="00E21EB9">
      <w:pPr>
        <w:pStyle w:val="ATHeading3"/>
      </w:pPr>
      <w:bookmarkStart w:id="5" w:name="Sujet"/>
      <w:r w:rsidRPr="008374C1">
        <w:t xml:space="preserve">1. </w:t>
      </w:r>
      <w:r w:rsidR="00E21EB9" w:rsidRPr="008374C1">
        <w:t xml:space="preserve">Europaparlamentets beslut av den </w:t>
      </w:r>
      <w:r w:rsidRPr="008374C1">
        <w:t>11</w:t>
      </w:r>
      <w:r w:rsidR="00E21EB9" w:rsidRPr="008374C1">
        <w:t xml:space="preserve"> </w:t>
      </w:r>
      <w:r w:rsidRPr="008374C1">
        <w:t>april</w:t>
      </w:r>
      <w:r w:rsidR="00E21EB9" w:rsidRPr="008374C1">
        <w:t xml:space="preserve"> 2024 om ansvarsfrihet för genomförandet av budgeten för Europeiska försäkrings- och tjänstepensionsmyndigheten för budgetåret 2022</w:t>
      </w:r>
      <w:bookmarkEnd w:id="5"/>
      <w:r w:rsidR="00E21EB9" w:rsidRPr="008374C1">
        <w:t xml:space="preserve"> </w:t>
      </w:r>
      <w:bookmarkStart w:id="6" w:name="References"/>
      <w:r w:rsidR="00E21EB9" w:rsidRPr="008374C1">
        <w:t>(2023/2153(DEC))</w:t>
      </w:r>
      <w:bookmarkEnd w:id="6"/>
    </w:p>
    <w:p w:rsidR="0007379C" w:rsidRPr="008374C1" w:rsidRDefault="0007379C" w:rsidP="0007379C">
      <w:pPr>
        <w:pStyle w:val="EPComma"/>
      </w:pPr>
      <w:bookmarkStart w:id="7" w:name="TextBodyBegin"/>
      <w:bookmarkEnd w:id="7"/>
      <w:r w:rsidRPr="008374C1">
        <w:rPr>
          <w:i/>
        </w:rPr>
        <w:t>Europaparlamentet fattar detta beslut</w:t>
      </w:r>
    </w:p>
    <w:p w:rsidR="0007379C" w:rsidRPr="008374C1" w:rsidRDefault="0007379C" w:rsidP="0007379C">
      <w:pPr>
        <w:pStyle w:val="NormalHanging12a"/>
      </w:pPr>
      <w:r w:rsidRPr="008374C1">
        <w:t>–</w:t>
      </w:r>
      <w:r w:rsidRPr="008374C1">
        <w:tab/>
        <w:t>med beaktande av den slutliga årsredovisningen för Europeiska försäkrings- och tjänstepensionsmyndigheten för budgetåret 2022,</w:t>
      </w:r>
    </w:p>
    <w:p w:rsidR="0007379C" w:rsidRPr="008374C1" w:rsidRDefault="0007379C" w:rsidP="0007379C">
      <w:pPr>
        <w:pStyle w:val="NormalHanging12a"/>
      </w:pPr>
      <w:r w:rsidRPr="008374C1">
        <w:t>–</w:t>
      </w:r>
      <w:r w:rsidRPr="008374C1">
        <w:tab/>
        <w:t>med beaktande av revisionsrättens årsrapport om EU:s byråer för budgetåret 2022, med byråernas svar</w:t>
      </w:r>
      <w:r w:rsidRPr="008374C1">
        <w:rPr>
          <w:rStyle w:val="FootnoteReference"/>
        </w:rPr>
        <w:footnoteReference w:id="1"/>
      </w:r>
      <w:r w:rsidRPr="008374C1">
        <w:t>,</w:t>
      </w:r>
    </w:p>
    <w:p w:rsidR="0007379C" w:rsidRPr="008374C1" w:rsidRDefault="0007379C" w:rsidP="0007379C">
      <w:pPr>
        <w:pStyle w:val="NormalHanging12a"/>
      </w:pPr>
      <w:r w:rsidRPr="008374C1">
        <w:t>–</w:t>
      </w:r>
      <w:r w:rsidRPr="008374C1">
        <w:tab/>
        <w:t>med beaktande av förklaringen om räkenskapernas tillförlitlighet och de underliggande transaktionernas laglighet och korrekthet</w:t>
      </w:r>
      <w:r w:rsidRPr="008374C1">
        <w:rPr>
          <w:rStyle w:val="FootnoteReference"/>
        </w:rPr>
        <w:footnoteReference w:id="2"/>
      </w:r>
      <w:r w:rsidRPr="008374C1">
        <w:t>, som avgetts av revisionsrätten för budgetåret 2022 i enlighet med artikel 287 i fördraget om Europeiska unionens funktionssätt,</w:t>
      </w:r>
    </w:p>
    <w:p w:rsidR="0007379C" w:rsidRPr="008374C1" w:rsidRDefault="0007379C" w:rsidP="0007379C">
      <w:pPr>
        <w:pStyle w:val="NormalHanging12a"/>
      </w:pPr>
      <w:r w:rsidRPr="008374C1">
        <w:t>–</w:t>
      </w:r>
      <w:r w:rsidRPr="008374C1">
        <w:tab/>
        <w:t>med beaktande av rådets rekommendation av den 22 februari 2024 om att bevilja myndigheten ansvarsfrihet för genomförandet av budgeten för budgetåret 2022 (</w:t>
      </w:r>
      <w:r w:rsidR="001B6698" w:rsidRPr="008374C1">
        <w:t>06180</w:t>
      </w:r>
      <w:r w:rsidRPr="008374C1">
        <w:t>/2024 – C9</w:t>
      </w:r>
      <w:r w:rsidRPr="008374C1">
        <w:noBreakHyphen/>
        <w:t>00</w:t>
      </w:r>
      <w:r w:rsidR="001B6698" w:rsidRPr="008374C1">
        <w:t>91</w:t>
      </w:r>
      <w:r w:rsidRPr="008374C1">
        <w:t>/2024),</w:t>
      </w:r>
    </w:p>
    <w:p w:rsidR="0007379C" w:rsidRPr="008374C1" w:rsidRDefault="0007379C" w:rsidP="0007379C">
      <w:pPr>
        <w:pStyle w:val="NormalHanging12a"/>
      </w:pPr>
      <w:r w:rsidRPr="008374C1">
        <w:t>–</w:t>
      </w:r>
      <w:r w:rsidRPr="008374C1">
        <w:tab/>
        <w:t>med beaktande av artikel 319 i fördraget om Europeiska unionens funktionssätt,</w:t>
      </w:r>
    </w:p>
    <w:p w:rsidR="0007379C" w:rsidRPr="008374C1" w:rsidRDefault="0007379C" w:rsidP="0007379C">
      <w:pPr>
        <w:pStyle w:val="NormalHanging12a"/>
      </w:pPr>
      <w:r w:rsidRPr="008374C1">
        <w:t>–</w:t>
      </w:r>
      <w:r w:rsidRPr="008374C1">
        <w:tab/>
        <w:t>med beaktande av Europaparlamentets och rådets förordning (EU, Euratom) 2018/1046 av den 18 juli 2018 om finansiella regler för unionens allmänna budget, om ändring av förordningarna (EU) nr 1296/2013, (EU) nr 1301/2013, (EU) nr 1303/2013, (EU) nr 1304/2013, (EU) nr 1309/2013, (EU) nr 1316/2013, (EU) nr 223/2014, (EU) nr 283/2014 och beslut nr 541/2014/EU samt om upphävande av förordning (EU, Euratom) nr 966/2012</w:t>
      </w:r>
      <w:r w:rsidRPr="008374C1">
        <w:rPr>
          <w:rStyle w:val="FootnoteReference"/>
        </w:rPr>
        <w:footnoteReference w:id="3"/>
      </w:r>
      <w:r w:rsidRPr="008374C1">
        <w:t>, särskilt artikel 70,</w:t>
      </w:r>
    </w:p>
    <w:p w:rsidR="0007379C" w:rsidRPr="008374C1" w:rsidRDefault="0007379C" w:rsidP="0007379C">
      <w:pPr>
        <w:pStyle w:val="NormalHanging12a"/>
      </w:pPr>
      <w:r w:rsidRPr="008374C1">
        <w:t>–</w:t>
      </w:r>
      <w:r w:rsidRPr="008374C1">
        <w:tab/>
        <w:t>med beaktande av Europaparlamentets och rådets förordning (EU) nr 1094/2010 av den 24 november 2010 om inrättande av en europeisk tillsynsmyndighet (Europeiska försäkrings- och tjänstepensionsmyndigheten), om ändring av beslut nr 716/2009/EG och om upphävande av kommissionens beslut 2009/79/EG</w:t>
      </w:r>
      <w:r w:rsidRPr="008374C1">
        <w:rPr>
          <w:rStyle w:val="FootnoteReference"/>
        </w:rPr>
        <w:footnoteReference w:id="4"/>
      </w:r>
      <w:r w:rsidRPr="008374C1">
        <w:t xml:space="preserve">, särskilt </w:t>
      </w:r>
      <w:r w:rsidRPr="008374C1">
        <w:lastRenderedPageBreak/>
        <w:t>artikel 64,</w:t>
      </w:r>
    </w:p>
    <w:p w:rsidR="0007379C" w:rsidRPr="008374C1" w:rsidRDefault="0007379C" w:rsidP="0007379C">
      <w:pPr>
        <w:pStyle w:val="NormalHanging12a"/>
      </w:pPr>
      <w:r w:rsidRPr="008374C1">
        <w:t>–</w:t>
      </w:r>
      <w:r w:rsidRPr="008374C1">
        <w:tab/>
        <w:t>med beaktande av kommissionens delegerade förordning (EU) 2019/715 av den 18 december 2018 med rambudgetförordning för de organ som inrättats enligt EUF</w:t>
      </w:r>
      <w:r w:rsidRPr="008374C1">
        <w:noBreakHyphen/>
        <w:t>fördraget och Euratomfördraget och som avses i artikel 70 i Europaparlamentets och rådets förordning (EU, Euratom) 2018/1046</w:t>
      </w:r>
      <w:r w:rsidRPr="008374C1">
        <w:rPr>
          <w:rStyle w:val="FootnoteReference"/>
        </w:rPr>
        <w:footnoteReference w:id="5"/>
      </w:r>
      <w:r w:rsidRPr="008374C1">
        <w:t>, särskilt artikel 105,</w:t>
      </w:r>
    </w:p>
    <w:p w:rsidR="0007379C" w:rsidRPr="008374C1" w:rsidRDefault="0007379C" w:rsidP="0007379C">
      <w:pPr>
        <w:pStyle w:val="NormalHanging12a"/>
      </w:pPr>
      <w:r w:rsidRPr="008374C1">
        <w:t>–</w:t>
      </w:r>
      <w:r w:rsidRPr="008374C1">
        <w:tab/>
        <w:t>med beaktande av artikel 100 och bilaga V i arbetsordningen,</w:t>
      </w:r>
    </w:p>
    <w:p w:rsidR="0007379C" w:rsidRPr="008374C1" w:rsidRDefault="0007379C" w:rsidP="0007379C">
      <w:pPr>
        <w:pStyle w:val="NormalHanging12a"/>
      </w:pPr>
      <w:r w:rsidRPr="008374C1">
        <w:t>–</w:t>
      </w:r>
      <w:r w:rsidRPr="008374C1">
        <w:tab/>
        <w:t>med beaktande av betänkandet från budgetkontrollutskottet (A9-0097/2024).</w:t>
      </w:r>
    </w:p>
    <w:p w:rsidR="0007379C" w:rsidRPr="008374C1" w:rsidRDefault="0007379C" w:rsidP="0007379C">
      <w:pPr>
        <w:pStyle w:val="NormalHanging12a"/>
      </w:pPr>
      <w:r w:rsidRPr="008374C1">
        <w:t>1.</w:t>
      </w:r>
      <w:r w:rsidRPr="008374C1">
        <w:tab/>
        <w:t>Europaparlamentet beviljar verkställande direktören för Europeiska försäkrings- och tjänstepensionsmyndigheten ansvarsfrihet för genomförandet av myndighetens budget för budgetåret 2022.</w:t>
      </w:r>
    </w:p>
    <w:p w:rsidR="0007379C" w:rsidRPr="008374C1" w:rsidRDefault="0007379C" w:rsidP="0007379C">
      <w:pPr>
        <w:pStyle w:val="NormalHanging12a"/>
      </w:pPr>
      <w:r w:rsidRPr="008374C1">
        <w:t>2.</w:t>
      </w:r>
      <w:r w:rsidRPr="008374C1">
        <w:tab/>
        <w:t>Europaparlamentet redovisar sina iakttagelser i resolutionen nedan.</w:t>
      </w:r>
    </w:p>
    <w:p w:rsidR="0007379C" w:rsidRPr="008374C1" w:rsidRDefault="0007379C" w:rsidP="0007379C">
      <w:pPr>
        <w:pStyle w:val="NormalHanging12a"/>
      </w:pPr>
      <w:r w:rsidRPr="008374C1">
        <w:t>3.</w:t>
      </w:r>
      <w:r w:rsidRPr="008374C1">
        <w:tab/>
        <w:t xml:space="preserve">Europaparlamentet uppdrar åt talmannen att översända detta beslut och den resolution som utgör en del av beslutet till verkställande direktören för Europeiska försäkrings- och tjänstepensionsmyndigheten, rådet, kommissionen och revisionsrätten samt att se till att de offentliggörs i </w:t>
      </w:r>
      <w:r w:rsidRPr="008374C1">
        <w:rPr>
          <w:i/>
        </w:rPr>
        <w:t>Europeiska unionens officiella tidning</w:t>
      </w:r>
      <w:r w:rsidRPr="008374C1">
        <w:t xml:space="preserve"> (L-serien).</w:t>
      </w:r>
    </w:p>
    <w:p w:rsidR="0007379C" w:rsidRPr="008374C1" w:rsidRDefault="0007379C" w:rsidP="0007379C"/>
    <w:p w:rsidR="0007379C" w:rsidRPr="008374C1" w:rsidRDefault="0007379C" w:rsidP="0007379C">
      <w:pPr>
        <w:widowControl/>
        <w:rPr>
          <w:rFonts w:ascii="Arial" w:hAnsi="Arial" w:cs="Arial"/>
          <w:b/>
        </w:rPr>
        <w:sectPr w:rsidR="0007379C" w:rsidRPr="008374C1" w:rsidSect="00CB4F12">
          <w:footerReference w:type="even" r:id="rId9"/>
          <w:footerReference w:type="first" r:id="rId10"/>
          <w:footnotePr>
            <w:numRestart w:val="eachPage"/>
          </w:footnotePr>
          <w:endnotePr>
            <w:numFmt w:val="decimal"/>
          </w:endnotePr>
          <w:pgSz w:w="11906" w:h="16838"/>
          <w:pgMar w:top="1134" w:right="1418" w:bottom="1418" w:left="1418" w:header="1134" w:footer="567" w:gutter="0"/>
          <w:cols w:space="720"/>
          <w:docGrid w:linePitch="326"/>
        </w:sectPr>
      </w:pPr>
    </w:p>
    <w:p w:rsidR="0007379C" w:rsidRPr="008374C1" w:rsidRDefault="001B6698" w:rsidP="001B6698">
      <w:pPr>
        <w:pStyle w:val="ATHeading3"/>
      </w:pPr>
      <w:r w:rsidRPr="008374C1">
        <w:lastRenderedPageBreak/>
        <w:t xml:space="preserve">2. Europaparlamentets beslut av den 11 april 2024 </w:t>
      </w:r>
      <w:r w:rsidR="0007379C" w:rsidRPr="008374C1">
        <w:t>om avslutande av räkenskaperna för Europeiska försäkrings- och tjänstepensionsmyndigheten för budgetåret 2022</w:t>
      </w:r>
      <w:r w:rsidRPr="008374C1">
        <w:t xml:space="preserve"> </w:t>
      </w:r>
      <w:r w:rsidR="0007379C" w:rsidRPr="008374C1">
        <w:t>(2023/2153(DEC))</w:t>
      </w:r>
    </w:p>
    <w:p w:rsidR="0007379C" w:rsidRPr="008374C1" w:rsidRDefault="0007379C" w:rsidP="0007379C">
      <w:pPr>
        <w:pStyle w:val="EPComma"/>
      </w:pPr>
      <w:r w:rsidRPr="008374C1">
        <w:rPr>
          <w:i/>
        </w:rPr>
        <w:t>Europaparlamentet fattar detta beslut</w:t>
      </w:r>
    </w:p>
    <w:p w:rsidR="0007379C" w:rsidRPr="008374C1" w:rsidRDefault="0007379C" w:rsidP="0007379C">
      <w:pPr>
        <w:pStyle w:val="NormalHanging12a"/>
      </w:pPr>
      <w:r w:rsidRPr="008374C1">
        <w:t>–</w:t>
      </w:r>
      <w:r w:rsidRPr="008374C1">
        <w:tab/>
        <w:t>med beaktande av den slutliga årsredovisningen för Europeiska försäkrings- och tjänstepensionsmyndigheten för budgetåret 2022,</w:t>
      </w:r>
    </w:p>
    <w:p w:rsidR="0007379C" w:rsidRPr="008374C1" w:rsidRDefault="0007379C" w:rsidP="0007379C">
      <w:pPr>
        <w:pStyle w:val="NormalHanging12a"/>
      </w:pPr>
      <w:r w:rsidRPr="008374C1">
        <w:t>–</w:t>
      </w:r>
      <w:r w:rsidRPr="008374C1">
        <w:tab/>
        <w:t>med beaktande av revisionsrättens årsrapport om EU:s byråer för budgetåret 2022, med byråernas svar</w:t>
      </w:r>
      <w:r w:rsidRPr="008374C1">
        <w:rPr>
          <w:rStyle w:val="FootnoteReference"/>
        </w:rPr>
        <w:footnoteReference w:id="6"/>
      </w:r>
      <w:r w:rsidRPr="008374C1">
        <w:t>,</w:t>
      </w:r>
    </w:p>
    <w:p w:rsidR="0007379C" w:rsidRPr="008374C1" w:rsidRDefault="0007379C" w:rsidP="0007379C">
      <w:pPr>
        <w:pStyle w:val="NormalHanging12a"/>
      </w:pPr>
      <w:r w:rsidRPr="008374C1">
        <w:t>–</w:t>
      </w:r>
      <w:r w:rsidRPr="008374C1">
        <w:tab/>
        <w:t>med beaktande av förklaringen om räkenskapernas tillförlitlighet och de underliggande transaktionernas laglighet och korrekthet</w:t>
      </w:r>
      <w:r w:rsidRPr="008374C1">
        <w:rPr>
          <w:rStyle w:val="FootnoteReference"/>
        </w:rPr>
        <w:footnoteReference w:id="7"/>
      </w:r>
      <w:r w:rsidRPr="008374C1">
        <w:t>, som avgetts av revisionsrätten för budgetåret 2022 i enlighet med artikel 287 i fördraget om Europeiska unionens funktionssätt,</w:t>
      </w:r>
    </w:p>
    <w:p w:rsidR="0007379C" w:rsidRPr="008374C1" w:rsidRDefault="0007379C" w:rsidP="0007379C">
      <w:pPr>
        <w:pStyle w:val="NormalHanging12a"/>
      </w:pPr>
      <w:r w:rsidRPr="008374C1">
        <w:t>–</w:t>
      </w:r>
      <w:r w:rsidRPr="008374C1">
        <w:tab/>
        <w:t>med beaktande av rådets rekommendation av den 22 februari 2024 om att bevilja myndigheten ansvarsfrihet för genomförandet av budgeten för budgetåret 2022 (</w:t>
      </w:r>
      <w:r w:rsidR="001B6698" w:rsidRPr="008374C1">
        <w:t>06180</w:t>
      </w:r>
      <w:r w:rsidRPr="008374C1">
        <w:t>/2024 – C9</w:t>
      </w:r>
      <w:r w:rsidRPr="008374C1">
        <w:noBreakHyphen/>
      </w:r>
      <w:r w:rsidR="001B6698" w:rsidRPr="008374C1">
        <w:t>0091</w:t>
      </w:r>
      <w:r w:rsidRPr="008374C1">
        <w:t>/2024),</w:t>
      </w:r>
    </w:p>
    <w:p w:rsidR="0007379C" w:rsidRPr="008374C1" w:rsidRDefault="0007379C" w:rsidP="0007379C">
      <w:pPr>
        <w:pStyle w:val="NormalHanging12a"/>
      </w:pPr>
      <w:r w:rsidRPr="008374C1">
        <w:t>–</w:t>
      </w:r>
      <w:r w:rsidRPr="008374C1">
        <w:tab/>
        <w:t>med beaktande av artikel 319 i fördraget om Europeiska unionens funktionssätt,</w:t>
      </w:r>
    </w:p>
    <w:p w:rsidR="0007379C" w:rsidRPr="008374C1" w:rsidRDefault="0007379C" w:rsidP="0007379C">
      <w:pPr>
        <w:pStyle w:val="NormalHanging12a"/>
      </w:pPr>
      <w:r w:rsidRPr="008374C1">
        <w:t>–</w:t>
      </w:r>
      <w:r w:rsidRPr="008374C1">
        <w:tab/>
        <w:t>med beaktande av Europaparlamentets och rådets förordning (EU, Euratom) 2018/1046 av den 18 juli 2018 om finansiella regler för unionens allmänna budget, om ändring av förordningarna (EU) nr 1296/2013, (EU) nr 1301/2013, (EU) nr 1303/2013, (EU) nr 1304/2013, (EU) nr 1309/2013, (EU) nr 1316/2013, (EU) nr 223/2014, (EU) nr 283/2014 och beslut nr 541/2014/EU samt om upphävande av förordning (EU, Euratom) nr 966/2012</w:t>
      </w:r>
      <w:r w:rsidRPr="008374C1">
        <w:rPr>
          <w:rStyle w:val="FootnoteReference"/>
        </w:rPr>
        <w:footnoteReference w:id="8"/>
      </w:r>
      <w:r w:rsidRPr="008374C1">
        <w:t>, särskilt artikel 70,</w:t>
      </w:r>
    </w:p>
    <w:p w:rsidR="0007379C" w:rsidRPr="008374C1" w:rsidRDefault="0007379C" w:rsidP="0007379C">
      <w:pPr>
        <w:pStyle w:val="NormalHanging12a"/>
      </w:pPr>
      <w:r w:rsidRPr="008374C1">
        <w:t>–</w:t>
      </w:r>
      <w:r w:rsidRPr="008374C1">
        <w:tab/>
        <w:t>med beaktande av Europaparlamentets och rådets förordning (EU) nr 1094/2010 av den 24 november 2010 om inrättande av en europeisk tillsynsmyndighet (Europeiska försäkrings- och tjänstepensionsmyndigheten), om ändring av beslut nr 716/2009/EG och om upphävande av kommissionens beslut 2009/79/EG</w:t>
      </w:r>
      <w:r w:rsidRPr="008374C1">
        <w:rPr>
          <w:rStyle w:val="FootnoteReference"/>
        </w:rPr>
        <w:footnoteReference w:id="9"/>
      </w:r>
      <w:r w:rsidRPr="008374C1">
        <w:t>, särskilt artikel 64,</w:t>
      </w:r>
    </w:p>
    <w:p w:rsidR="0007379C" w:rsidRPr="008374C1" w:rsidRDefault="0007379C" w:rsidP="0007379C">
      <w:pPr>
        <w:pStyle w:val="NormalHanging12a"/>
      </w:pPr>
      <w:r w:rsidRPr="008374C1">
        <w:t>–</w:t>
      </w:r>
      <w:r w:rsidRPr="008374C1">
        <w:tab/>
        <w:t>med beaktande av kommissionens delegerade förordning (EU) 2019/715 av den 18 december 2018 med rambudgetförordning för de organ som inrättats enligt EUF</w:t>
      </w:r>
      <w:r w:rsidRPr="008374C1">
        <w:noBreakHyphen/>
        <w:t>fördraget och Euratomfördraget och som avses i artikel 70 i Europaparlamentets och rådets förordning (EU, Euratom) 2018/1046</w:t>
      </w:r>
      <w:r w:rsidRPr="008374C1">
        <w:rPr>
          <w:rStyle w:val="FootnoteReference"/>
        </w:rPr>
        <w:footnoteReference w:id="10"/>
      </w:r>
      <w:r w:rsidRPr="008374C1">
        <w:t>, särskilt artikel 105,</w:t>
      </w:r>
    </w:p>
    <w:p w:rsidR="0007379C" w:rsidRPr="008374C1" w:rsidRDefault="0007379C" w:rsidP="0007379C">
      <w:pPr>
        <w:pStyle w:val="NormalHanging12a"/>
      </w:pPr>
      <w:r w:rsidRPr="008374C1">
        <w:t>–</w:t>
      </w:r>
      <w:r w:rsidRPr="008374C1">
        <w:tab/>
        <w:t>med beaktande av artikel 100 och bilaga V i arbetsordningen,</w:t>
      </w:r>
    </w:p>
    <w:p w:rsidR="0007379C" w:rsidRPr="008374C1" w:rsidRDefault="0007379C" w:rsidP="0007379C">
      <w:pPr>
        <w:pStyle w:val="NormalHanging12a"/>
      </w:pPr>
      <w:r w:rsidRPr="008374C1">
        <w:t>–</w:t>
      </w:r>
      <w:r w:rsidRPr="008374C1">
        <w:tab/>
        <w:t>med beaktande av betänkandet från budgetkontrollutskottet (A9-0097/2024).</w:t>
      </w:r>
    </w:p>
    <w:p w:rsidR="0007379C" w:rsidRPr="008374C1" w:rsidRDefault="0007379C" w:rsidP="0007379C">
      <w:pPr>
        <w:pStyle w:val="NormalHanging12a"/>
      </w:pPr>
      <w:r w:rsidRPr="008374C1">
        <w:t>1.</w:t>
      </w:r>
      <w:r w:rsidRPr="008374C1">
        <w:tab/>
        <w:t xml:space="preserve">Europaparlamentet godkänner avslutandet av räkenskaperna för </w:t>
      </w:r>
      <w:r w:rsidRPr="008374C1">
        <w:lastRenderedPageBreak/>
        <w:t>Europeiska försäkrings- och tjänstepensionsmyndigheten för budgetåret 2022.</w:t>
      </w:r>
    </w:p>
    <w:p w:rsidR="0007379C" w:rsidRPr="008374C1" w:rsidRDefault="0007379C" w:rsidP="0007379C">
      <w:pPr>
        <w:pStyle w:val="NormalHanging12a"/>
      </w:pPr>
      <w:r w:rsidRPr="008374C1">
        <w:t>2.</w:t>
      </w:r>
      <w:r w:rsidRPr="008374C1">
        <w:tab/>
        <w:t xml:space="preserve">Europaparlamentet uppdrar åt talmannen att översända detta beslut till verkställande direktören för Europeiska försäkrings- och tjänstepensionsmyndigheten, rådet, kommissionen och revisionsrätten samt att se till att det offentliggörs i </w:t>
      </w:r>
      <w:r w:rsidRPr="008374C1">
        <w:rPr>
          <w:i/>
        </w:rPr>
        <w:t>Europeiska unionens officiella tidning</w:t>
      </w:r>
      <w:r w:rsidRPr="008374C1">
        <w:t xml:space="preserve"> (L-serien).</w:t>
      </w:r>
    </w:p>
    <w:p w:rsidR="0007379C" w:rsidRPr="008374C1" w:rsidRDefault="0007379C" w:rsidP="0007379C"/>
    <w:p w:rsidR="0007379C" w:rsidRPr="008374C1" w:rsidRDefault="0007379C" w:rsidP="0007379C">
      <w:pPr>
        <w:widowControl/>
        <w:rPr>
          <w:rFonts w:ascii="Arial" w:hAnsi="Arial" w:cs="Arial"/>
          <w:b/>
        </w:rPr>
        <w:sectPr w:rsidR="0007379C" w:rsidRPr="008374C1" w:rsidSect="00CB4F12">
          <w:footnotePr>
            <w:numRestart w:val="eachPage"/>
          </w:footnotePr>
          <w:endnotePr>
            <w:numFmt w:val="decimal"/>
          </w:endnotePr>
          <w:pgSz w:w="11906" w:h="16838"/>
          <w:pgMar w:top="1134" w:right="1418" w:bottom="1418" w:left="1418" w:header="567" w:footer="567" w:gutter="0"/>
          <w:cols w:space="720"/>
          <w:docGrid w:linePitch="326"/>
        </w:sectPr>
      </w:pPr>
    </w:p>
    <w:p w:rsidR="0007379C" w:rsidRPr="008374C1" w:rsidRDefault="001B6698" w:rsidP="001B6698">
      <w:pPr>
        <w:pStyle w:val="ATHeading3"/>
      </w:pPr>
      <w:r w:rsidRPr="008374C1">
        <w:lastRenderedPageBreak/>
        <w:t xml:space="preserve">3. Europaparlamentets resolution av den 11 april 2024 </w:t>
      </w:r>
      <w:r w:rsidR="0007379C" w:rsidRPr="008374C1">
        <w:t>med de iakttagelser som utgör en del av beslutet om ansvarsfrihet för genomförandet av budgeten för Europeiska försäkrings- och tjänstepensionsmyndigheten för budgetåret 2022</w:t>
      </w:r>
      <w:r w:rsidRPr="008374C1">
        <w:t xml:space="preserve"> </w:t>
      </w:r>
      <w:r w:rsidR="0007379C" w:rsidRPr="008374C1">
        <w:t>(2023/2153(DEC))</w:t>
      </w:r>
    </w:p>
    <w:p w:rsidR="0007379C" w:rsidRPr="008374C1" w:rsidRDefault="0007379C" w:rsidP="0007379C">
      <w:pPr>
        <w:pStyle w:val="EPComma"/>
      </w:pPr>
      <w:r w:rsidRPr="008374C1">
        <w:rPr>
          <w:i/>
        </w:rPr>
        <w:t>Europaparlamentet utfärdar denna resolution</w:t>
      </w:r>
    </w:p>
    <w:p w:rsidR="0007379C" w:rsidRPr="008374C1" w:rsidRDefault="0007379C" w:rsidP="0007379C">
      <w:pPr>
        <w:pStyle w:val="NormalHanging12a"/>
      </w:pPr>
      <w:r w:rsidRPr="008374C1">
        <w:t>–</w:t>
      </w:r>
      <w:r w:rsidRPr="008374C1">
        <w:tab/>
        <w:t>med beaktande av sitt beslut om ansvarsfrihet för genomförandet av budgeten för Europeiska försäkrings- och tjänstepensionsmyndigheten för budgetåret 2022,</w:t>
      </w:r>
    </w:p>
    <w:p w:rsidR="0007379C" w:rsidRPr="008374C1" w:rsidRDefault="0007379C" w:rsidP="0007379C">
      <w:pPr>
        <w:pStyle w:val="NormalHanging12a"/>
      </w:pPr>
      <w:r w:rsidRPr="008374C1">
        <w:t>–</w:t>
      </w:r>
      <w:r w:rsidRPr="008374C1">
        <w:tab/>
        <w:t>med beaktande av artikel 100 och bilaga V i arbetsordningen,</w:t>
      </w:r>
    </w:p>
    <w:p w:rsidR="0007379C" w:rsidRPr="008374C1" w:rsidRDefault="0007379C" w:rsidP="0007379C">
      <w:pPr>
        <w:pStyle w:val="NormalHanging12a"/>
      </w:pPr>
      <w:r w:rsidRPr="008374C1">
        <w:t>–</w:t>
      </w:r>
      <w:r w:rsidRPr="008374C1">
        <w:tab/>
        <w:t>med beaktande av betänkandet från budgetkontrollutskottet (A9-0097/2024), och av följande skäl:</w:t>
      </w:r>
    </w:p>
    <w:p w:rsidR="0007379C" w:rsidRPr="008374C1" w:rsidRDefault="0007379C" w:rsidP="0007379C">
      <w:pPr>
        <w:widowControl/>
        <w:spacing w:after="240"/>
        <w:ind w:left="567" w:hanging="567"/>
        <w:rPr>
          <w:szCs w:val="24"/>
        </w:rPr>
      </w:pPr>
      <w:r w:rsidRPr="008374C1">
        <w:t>A.</w:t>
      </w:r>
      <w:r w:rsidRPr="008374C1">
        <w:tab/>
        <w:t>Enligt inkomst- och utgiftsberäkningen</w:t>
      </w:r>
      <w:r w:rsidRPr="008374C1">
        <w:rPr>
          <w:rStyle w:val="FootnoteReference"/>
          <w:szCs w:val="24"/>
        </w:rPr>
        <w:footnoteReference w:id="11"/>
      </w:r>
      <w:r w:rsidRPr="008374C1">
        <w:t xml:space="preserve"> för Europeiska försäkrings- och tjänstepensionsmyndigheten (myndigheten) uppgick myndighetens slutgiltiga budget för budgetåret 2022 till 34 571 120 EUR, vilket är en ökning med 5,27 % jämfört med 2021. Myndigheten finansieras med bidrag från unionen (12 932 000 EUR, vilket motsvarar 37,40 %) och bidrag från medlemsstaternas tillsynsmyndigheter (21 076 120 EUR, vilket motsvarar 60,96 %).</w:t>
      </w:r>
    </w:p>
    <w:p w:rsidR="0007379C" w:rsidRPr="008374C1" w:rsidRDefault="0007379C" w:rsidP="0007379C">
      <w:pPr>
        <w:widowControl/>
        <w:spacing w:after="240"/>
        <w:ind w:left="567" w:hanging="567"/>
        <w:rPr>
          <w:szCs w:val="24"/>
        </w:rPr>
      </w:pPr>
      <w:r w:rsidRPr="008374C1">
        <w:t>B.</w:t>
      </w:r>
      <w:r w:rsidRPr="008374C1">
        <w:tab/>
        <w:t>Revisionsrätten har i sin rapport om årsredovisningen för Europeiska försäkrings- och tjänstepensionsmyndigheten för budgetåret 2022 förklarat att man har uppnått en rimlig säkerhet om att myndighetens räkenskaper är tillförlitliga och att de underliggande transaktionerna är lagliga och korrekta.</w:t>
      </w:r>
    </w:p>
    <w:p w:rsidR="0007379C" w:rsidRPr="008374C1" w:rsidRDefault="0007379C" w:rsidP="0007379C">
      <w:pPr>
        <w:widowControl/>
        <w:spacing w:after="240"/>
        <w:ind w:left="567" w:hanging="567"/>
        <w:rPr>
          <w:b/>
          <w:i/>
          <w:szCs w:val="24"/>
        </w:rPr>
      </w:pPr>
      <w:r w:rsidRPr="008374C1">
        <w:rPr>
          <w:b/>
          <w:i/>
        </w:rPr>
        <w:t>Budgetförvaltning och ekonomisk förvaltning</w:t>
      </w:r>
    </w:p>
    <w:p w:rsidR="0007379C" w:rsidRPr="008374C1" w:rsidRDefault="0007379C" w:rsidP="0007379C">
      <w:pPr>
        <w:widowControl/>
        <w:spacing w:after="240"/>
        <w:ind w:left="567" w:hanging="567"/>
        <w:rPr>
          <w:szCs w:val="24"/>
        </w:rPr>
      </w:pPr>
      <w:r w:rsidRPr="008374C1">
        <w:t>1.</w:t>
      </w:r>
      <w:r w:rsidRPr="008374C1">
        <w:tab/>
        <w:t>Europaparlamentet konstaterar med tillfredsställelse att insatserna för att följa upp budgeten under budgetåret 2022 resulterade i ett budgetgenomförande på 99,46 %, vilket är en minskning med 0,52 % jämfört med 2021. Parlamentet noterar dock att genomförandegraden för betalningsbemyndigandena var 92,07 %, vilket är en ökning med 12,95 % jämfört med 2021.</w:t>
      </w:r>
    </w:p>
    <w:p w:rsidR="0007379C" w:rsidRPr="008374C1" w:rsidRDefault="0007379C" w:rsidP="0007379C">
      <w:pPr>
        <w:widowControl/>
        <w:spacing w:after="240"/>
        <w:ind w:left="567" w:hanging="567"/>
        <w:rPr>
          <w:szCs w:val="24"/>
        </w:rPr>
      </w:pPr>
      <w:r w:rsidRPr="008374C1">
        <w:rPr>
          <w:b/>
          <w:i/>
        </w:rPr>
        <w:t>Prestationer</w:t>
      </w:r>
    </w:p>
    <w:p w:rsidR="0007379C" w:rsidRPr="008374C1" w:rsidRDefault="0007379C" w:rsidP="0007379C">
      <w:pPr>
        <w:widowControl/>
        <w:spacing w:after="240"/>
        <w:ind w:left="567" w:hanging="567"/>
        <w:rPr>
          <w:szCs w:val="24"/>
        </w:rPr>
      </w:pPr>
      <w:r w:rsidRPr="008374C1">
        <w:t>2.</w:t>
      </w:r>
      <w:r w:rsidRPr="008374C1">
        <w:tab/>
        <w:t>Europaparlamentet konstaterar att myndigheten använder vissa mått som nyckelprestationsindikatorer för att bedöma det mervärde som dess verksamhet ger och andra mått för att förbättra sin budgetförvaltning. Parlamentet noterar att myndigheten under 2022 fastställde 17 mål på strategisk nivå för sina sju centrala arbetsområden. Parlamentet noterar med tillfredsställelse att myndigheten uppnådde eller överträffade 15 av dessa mål, medan man för de övriga två inte ansåg att det skulle rapporteras på grund av de lagstiftningsmässiga tidsplanerna i rättsakten om digital operativ motståndskraft (DORA) och tekniska störningar.</w:t>
      </w:r>
    </w:p>
    <w:p w:rsidR="0007379C" w:rsidRPr="008374C1" w:rsidRDefault="0007379C" w:rsidP="0007379C">
      <w:pPr>
        <w:widowControl/>
        <w:spacing w:after="240"/>
        <w:ind w:left="567" w:hanging="567"/>
        <w:rPr>
          <w:szCs w:val="24"/>
        </w:rPr>
      </w:pPr>
      <w:r w:rsidRPr="008374C1">
        <w:t>3.</w:t>
      </w:r>
      <w:r w:rsidRPr="008374C1">
        <w:tab/>
        <w:t xml:space="preserve">Europaparlamentet konstaterar att 342 produkter och tjänster, som utgör 91 % av det totala antalet, levererades som planerat av myndigheten, och att ytterligare 20 produkter och tjänster drogs med mindre förseningar och att 13 inte togs vidare, ofta på grund av </w:t>
      </w:r>
      <w:r w:rsidRPr="008374C1">
        <w:lastRenderedPageBreak/>
        <w:t>de var avhängiga av tidsplaner för lagstiftningsbeslut, såsom översynen av Solvens II eller av den tekniska utvecklingen på marknaden, och konkurrerande prioriteringar. Parlamentet lovordar myndigheten för en ökning av dess talaruppdrag från 167 under 2021 till 214 under 2022.</w:t>
      </w:r>
    </w:p>
    <w:p w:rsidR="0007379C" w:rsidRPr="008374C1" w:rsidRDefault="0007379C" w:rsidP="0007379C">
      <w:pPr>
        <w:widowControl/>
        <w:spacing w:after="240"/>
        <w:ind w:left="567" w:hanging="567"/>
        <w:rPr>
          <w:szCs w:val="24"/>
        </w:rPr>
      </w:pPr>
      <w:r w:rsidRPr="008374C1">
        <w:t>4.</w:t>
      </w:r>
      <w:r w:rsidRPr="008374C1">
        <w:tab/>
        <w:t>Europaparlamentet erkänner myndighetens många resultat under 2022 då man i stor utsträckning uppfyllde sina mål på områdena tillsynskonvergens, konsumentskydd och finansiell stabilitet. Parlamentet noterar särskilt att myndigheten genomförde sitt första klimatstresstest för tjänstepensionsinstitut för att få insikt i hur miljöriskerna påverkar den europeiska tjänstepensionssektorn, till kommissionen överlämnade tekniska standarder för genomförande av tekniska standarder för tillsynsrapportering och upplysningskrav enligt Solvens II, offentliggjorde ett antal dokument, rapporter och riktlinjer om integreringen av hållbarhetsrisker i försäkringsgivares, återförsäkringsgivares och tjänstepensionsfonders riskhantering och tillhandahöll underlag och teknisk rådgivning till medlagstiftarna till Europaparlamentet och rådet under lagstiftningsprocessen med avseende på rättsakten om artificiell intelligens och DORA. Parlamentet lovordar myndigheten för dess olika initiativ och åtgärder på området digital omvandling vilket därmed stöder målen i unionens strategi för digitalisering av finanssektorn, bland annat genom bidraget, tillsammans med flera berörda parter, såsom Europeiska universitetsinstitutet, till inrättandet av EU:s akademi för tillsyn av digitaliseringen av finanssektorn.</w:t>
      </w:r>
    </w:p>
    <w:p w:rsidR="0007379C" w:rsidRPr="008374C1" w:rsidRDefault="0007379C" w:rsidP="0007379C">
      <w:pPr>
        <w:widowControl/>
        <w:spacing w:after="240"/>
        <w:ind w:left="567" w:hanging="567"/>
        <w:rPr>
          <w:szCs w:val="24"/>
        </w:rPr>
      </w:pPr>
      <w:r w:rsidRPr="008374C1">
        <w:t>5.</w:t>
      </w:r>
      <w:r w:rsidRPr="008374C1">
        <w:tab/>
        <w:t>Europaparlamentet noterar att myndigheten för första gången använde ett antal befogenheter och verktyg som den tilldelats genom Eiopa-förordningen. Parlamentet noterar i detta sammanhang att myndigheten 2022 utfärdade en rekommendation till Slovakiens centralbank (NBS) till följd av myndighetens slutsatser att en överträdelse av kapitalkraven som begåtts av ett slovakiskt försäkringsbolag inte hade åtgärdats på lämpligt sätt ur ett tillsynsperspektiv. Parlamentet noterar vidare med oro att myndigheten fann att NBS stod i strid med unionsrätten och att kommissionen därför utfärdade ett formellt yttrande med krav på att NBS skulle vidta nödvändiga åtgärder för att följa unionsrätten, och en utredning genomfördes på grundval av artikel 22 i Eiopa-förordningen. Parlamentet uppmanar myndigheten att hålla den ansvarsfrihetsbeviljande myndigheten informerad om uppföljningen och resultaten av denna utredning.</w:t>
      </w:r>
    </w:p>
    <w:p w:rsidR="0007379C" w:rsidRPr="008374C1" w:rsidRDefault="0007379C" w:rsidP="0007379C">
      <w:pPr>
        <w:widowControl/>
        <w:spacing w:after="240"/>
        <w:ind w:left="567" w:hanging="567"/>
        <w:rPr>
          <w:szCs w:val="24"/>
        </w:rPr>
      </w:pPr>
      <w:r w:rsidRPr="008374C1">
        <w:t>6.</w:t>
      </w:r>
      <w:r w:rsidRPr="008374C1">
        <w:tab/>
        <w:t>Europaparlamentet noterar att myndigheten bidrog till att säkerställa finansiell stabilitet och skydda konsumenterna genom att noggrant övervaka marknaderna och bedöma effekterna i den nya kontexten med Rysslands oprovocerade och olagliga invasion av Ukraina och den successiva penningpolitiska åtstramningen som svar på rekordhöga inflationsnivåer i Europa. Parlamentet välkomnar det lägliga offentliggörandet 2022 av en tillsynsrapport om inflation med fokus på hur inflationen påverkar försäkringstekniska avsättningar, investeringar och solvenskapitalkrav.</w:t>
      </w:r>
    </w:p>
    <w:p w:rsidR="0007379C" w:rsidRPr="008374C1" w:rsidRDefault="0007379C" w:rsidP="0007379C">
      <w:pPr>
        <w:pStyle w:val="NormalHanging12a"/>
        <w:widowControl/>
      </w:pPr>
      <w:r w:rsidRPr="008374C1">
        <w:t>7.</w:t>
      </w:r>
      <w:r w:rsidRPr="008374C1">
        <w:tab/>
        <w:t>Europaparlamentet noterar att myndigheten i september 2022 fastställde sin strategi för perioden 2023–2026, där den identifierade strategiska prioriteringar, bland annat att stärka försäkrings- och pensionssektorernas resiliens och hållbarhet, och säkerställa ett starkt och konsekvent skydd av konsumenternas intressen i hela unionen.</w:t>
      </w:r>
    </w:p>
    <w:p w:rsidR="0007379C" w:rsidRPr="008374C1" w:rsidRDefault="0007379C" w:rsidP="0007379C">
      <w:pPr>
        <w:widowControl/>
        <w:spacing w:after="240"/>
        <w:ind w:left="567" w:hanging="567"/>
        <w:rPr>
          <w:b/>
          <w:i/>
          <w:szCs w:val="24"/>
        </w:rPr>
      </w:pPr>
      <w:r w:rsidRPr="008374C1">
        <w:rPr>
          <w:b/>
          <w:i/>
        </w:rPr>
        <w:t>Effektivitet och vinster</w:t>
      </w:r>
    </w:p>
    <w:p w:rsidR="0007379C" w:rsidRPr="008374C1" w:rsidRDefault="0007379C" w:rsidP="0007379C">
      <w:pPr>
        <w:widowControl/>
        <w:spacing w:after="240"/>
        <w:ind w:left="567" w:hanging="567"/>
        <w:rPr>
          <w:rFonts w:cstheme="minorHAnsi"/>
        </w:rPr>
      </w:pPr>
      <w:r w:rsidRPr="008374C1">
        <w:t>8.</w:t>
      </w:r>
      <w:r w:rsidRPr="008374C1">
        <w:tab/>
        <w:t>Europaparlamentet noterar att de europeiska tillsynsmyndigheterna (</w:t>
      </w:r>
      <w:r w:rsidRPr="008374C1">
        <w:rPr>
          <w:i/>
          <w:iCs/>
        </w:rPr>
        <w:t>ESA</w:t>
      </w:r>
      <w:r w:rsidRPr="008374C1">
        <w:rPr>
          <w:i/>
          <w:iCs/>
        </w:rPr>
        <w:noBreakHyphen/>
        <w:t>myndigheterna</w:t>
      </w:r>
      <w:r w:rsidRPr="008374C1">
        <w:t xml:space="preserve">) samordnar och delar med varandra och stöder varandra på många </w:t>
      </w:r>
      <w:r w:rsidRPr="008374C1">
        <w:lastRenderedPageBreak/>
        <w:t>områden, både inom kärnverksamheten och inom stödområdena. Parlamentet välkomnar att ESA-myndigheterna har gått samman kring strategiska initiativ såsom programvaruutveckling, nätinfrastruktur och it-rådgivning genom att till exempel dela samma leverantörer. Parlamentet noterar i detta sammanhang myndighetens molnstrategi, som godkändes 2022 och utvecklades av myndigheten tillsammans med de två andra ESA-myndigheterna, andra EU-institutioner och de nationella behöriga myndigheterna, och som syftar till att leverera mer autonoma, automatiserade och självbetjäningsinriktade produkter för myndighetens experter och nationella behöriga myndigheter.</w:t>
      </w:r>
    </w:p>
    <w:p w:rsidR="0007379C" w:rsidRPr="008374C1" w:rsidRDefault="0007379C" w:rsidP="0007379C">
      <w:pPr>
        <w:widowControl/>
        <w:spacing w:after="240"/>
        <w:ind w:left="567" w:hanging="567"/>
        <w:rPr>
          <w:rFonts w:cstheme="minorHAnsi"/>
        </w:rPr>
      </w:pPr>
      <w:r w:rsidRPr="008374C1">
        <w:t>9.</w:t>
      </w:r>
      <w:r w:rsidRPr="008374C1">
        <w:tab/>
        <w:t>Europaparlamentet lovordar myndigheten för dess investeringar i och tilldelning av personal för projekt på området digital omvandling, bland annat för att uppnå nya effektivitetsnivåer genom att automatisera och rationalisera affärsprocesser och förbättra tiden till marknaden och samarbetet inom och mellan funktioner. Parlamentet välkomnar i detta sammanhang myndighetens projekt som genomfördes 2022 och som fokuserade på att förbättra dataanalyskapaciteten för att uppnå målet att omvandla myndigheten till en helt digital, datadriven organisation.</w:t>
      </w:r>
    </w:p>
    <w:p w:rsidR="0007379C" w:rsidRPr="008374C1" w:rsidRDefault="0007379C" w:rsidP="0007379C">
      <w:pPr>
        <w:pStyle w:val="NormalHanging12a"/>
      </w:pPr>
      <w:r w:rsidRPr="008374C1">
        <w:t>10.</w:t>
      </w:r>
      <w:r w:rsidRPr="008374C1">
        <w:tab/>
        <w:t>Europaparlamentet konstaterar att myndigheten när det gäller daglig affärspraxis har genomfört en rad åtgärder för att öka kostnadseffektiviteten, såsom hybridarbete, skrivbordsdelning och moderna videokonferenslösningar som har lett till minskade affärsresor. Parlamentet noterar att myndigheten, för att bevara institutionell kunskap, expertis och effektivitet när det gäller att utföra kärnuppgifter, ytterligare förbättrade sitt integrerade talangförvaltningssystem som möjliggör strategiskt anpassade personalprocesser, bättre sourcing av kandidater och lärande och utveckling med mer potential. Parlamentet uppmanar myndigheten att förse den ansvarsfrihetsbeviljande myndigheten med uppgifter och siffror om effekterna av detta system.</w:t>
      </w:r>
    </w:p>
    <w:p w:rsidR="0007379C" w:rsidRPr="008374C1" w:rsidRDefault="0007379C" w:rsidP="0007379C">
      <w:pPr>
        <w:widowControl/>
        <w:spacing w:after="240"/>
        <w:ind w:left="567" w:hanging="567"/>
        <w:rPr>
          <w:rFonts w:cstheme="minorHAnsi"/>
          <w:iCs/>
        </w:rPr>
      </w:pPr>
      <w:r w:rsidRPr="008374C1">
        <w:t>11.</w:t>
      </w:r>
      <w:r w:rsidRPr="008374C1">
        <w:tab/>
        <w:t>Europaparlamentet noterar från revisionsrättens rapport att myndigheten hör till de byråer som har en verksamhetsplan för att förbättra energieffektiviteten och klimatneutraliteten i sin verksamhet och som utfärdar en miljöredovisning (t.ex. om rapportering av koldioxidavtryck) som ingår i deras årliga verksamhetsrapporter. Parlamentet lovordar vidare myndigheten för att ha certifierats i Emas (Europeiska unionens miljölednings- och miljörevisionsordning) 2022 i syfte att uppnå den formella Emas-ackrediteringen 2023.</w:t>
      </w:r>
    </w:p>
    <w:p w:rsidR="0007379C" w:rsidRPr="008374C1" w:rsidRDefault="0007379C" w:rsidP="0007379C">
      <w:pPr>
        <w:widowControl/>
        <w:spacing w:after="240"/>
        <w:ind w:left="567" w:hanging="567"/>
        <w:rPr>
          <w:b/>
          <w:i/>
          <w:szCs w:val="24"/>
        </w:rPr>
      </w:pPr>
      <w:r w:rsidRPr="008374C1">
        <w:rPr>
          <w:b/>
          <w:i/>
        </w:rPr>
        <w:t>Personalpolitik</w:t>
      </w:r>
    </w:p>
    <w:p w:rsidR="0007379C" w:rsidRPr="008374C1" w:rsidRDefault="0007379C" w:rsidP="0007379C">
      <w:pPr>
        <w:widowControl/>
        <w:spacing w:after="240"/>
        <w:ind w:left="567" w:hanging="567"/>
        <w:rPr>
          <w:szCs w:val="24"/>
        </w:rPr>
      </w:pPr>
      <w:r w:rsidRPr="008374C1">
        <w:t>12.</w:t>
      </w:r>
      <w:r w:rsidRPr="008374C1">
        <w:tab/>
        <w:t>Europaparlamentet noterar att den 31 december 2022 var 99 % (samma som 2021) av tjänsteförteckningen fullbordad, med 137 tillfälligt anställda tillsatta av de 138 tjänster för tillfälligt anställda som får tillsättas enligt unionsbudgeten. Parlamentet noterar dessutom att 36 kontraktsanställda och 24 utstationerade nationella experter arbetade för myndigheten under 2022.</w:t>
      </w:r>
    </w:p>
    <w:p w:rsidR="0007379C" w:rsidRPr="008374C1" w:rsidRDefault="0007379C" w:rsidP="0007379C">
      <w:pPr>
        <w:pStyle w:val="NormalHanging12a"/>
      </w:pPr>
      <w:r w:rsidRPr="008374C1">
        <w:t>13.</w:t>
      </w:r>
      <w:r w:rsidRPr="008374C1">
        <w:tab/>
        <w:t>Europaparlamentet noterar myndighetens könsfördelning som rapporterades för 2022 med 15 män (65,20 %) och 8 kvinnor (34,80 %) på mellanchefsnivå, för högre chefsbefattningar och i dess förvaltningsstyrelse, och 104 män (53,60 %) och 90 kvinnor (46,40 %) i dess totala personal. Parlamentet påminner om vikten av att säkerställa en jämn könsfördelning och uppmanar myndigheten att ta hänsyn till denna aspekt när det gäller framtida rekryteringar av personal och utnämningar på högre chefsnivå och mellanchefsnivå.</w:t>
      </w:r>
    </w:p>
    <w:p w:rsidR="0007379C" w:rsidRPr="008374C1" w:rsidRDefault="0007379C" w:rsidP="0007379C">
      <w:pPr>
        <w:pStyle w:val="NormalHanging12a"/>
      </w:pPr>
      <w:r w:rsidRPr="008374C1">
        <w:lastRenderedPageBreak/>
        <w:t>14.</w:t>
      </w:r>
      <w:r w:rsidRPr="008374C1">
        <w:tab/>
        <w:t>Europaparlamentet välkomnar att myndigheten under 2022 fortsatte genomförandet av strategin för mångfald och inkludering (som antogs 2021) och sin detaljerade handlingsplan i linje med den antagna EUAN-stadgan om mångfald genom initiativ som omfattar övergripande åtgärder såsom samarbete med andra institutioner, attrahera och välja ut en mer diversifierad arbetskraft, förebygga diskriminering, trakasserier, medveten och omedveten bias samt övervaka uppgifter om mångfald och inkludering. Parlamentet noterar att ett påstått trakasserifall rapporterades 2022, men att ärendet avslutades utan ytterligare åtgärder, eftersom inga prima facie-bevis hittades efter en preliminär bedömning.</w:t>
      </w:r>
    </w:p>
    <w:p w:rsidR="0007379C" w:rsidRPr="008374C1" w:rsidRDefault="0007379C" w:rsidP="0007379C">
      <w:pPr>
        <w:widowControl/>
        <w:spacing w:after="240"/>
        <w:ind w:left="567" w:hanging="567"/>
        <w:rPr>
          <w:szCs w:val="24"/>
        </w:rPr>
      </w:pPr>
      <w:r w:rsidRPr="008374C1">
        <w:t>15.</w:t>
      </w:r>
      <w:r w:rsidRPr="008374C1">
        <w:tab/>
        <w:t>Europaparlamentet välkomnar att myndigheten ägnar sig åt att främja och tillhandahålla en diversifierad och inkluderande arbetsmiljö som också är anpassad till behoven hos personer med funktionsnedsättning. Parlamentet noterar i detta sammanhang att myndighetens interna samordnare och ambassadör för personer med funktionsnedsättning utsågs 2022 för att ytterligare stärka och fokusera uppmärksamheten på detta särskilda område, och att en särskild undersökning bland personal och ledning genomfördes och att medvetandehöjande åtgärder vidtogs.</w:t>
      </w:r>
    </w:p>
    <w:p w:rsidR="0007379C" w:rsidRPr="008374C1" w:rsidRDefault="0007379C" w:rsidP="0007379C">
      <w:pPr>
        <w:pStyle w:val="NormalHanging12a"/>
      </w:pPr>
      <w:r w:rsidRPr="008374C1">
        <w:t>16.</w:t>
      </w:r>
      <w:r w:rsidRPr="008374C1">
        <w:tab/>
        <w:t>Europaparlamentet noterar med tillfredsställelse att myndigheten fortfarande var djupt engagerad i att förbättra personalens välbefinnande och balansen mellan arbetsliv och privatliv, med positiva resultat när det gäller personalens engagemang och tillfredsställelse. Parlamentet noterar att de viktigaste fokusområdena var flexibla arbetsformer, distansarbete, livslång vägledning och karriärutveckling, friskvårdsprogram och stödförvaltning.</w:t>
      </w:r>
    </w:p>
    <w:p w:rsidR="0007379C" w:rsidRPr="008374C1" w:rsidRDefault="0007379C" w:rsidP="0007379C">
      <w:pPr>
        <w:widowControl/>
        <w:spacing w:after="240"/>
        <w:ind w:left="567" w:hanging="567"/>
        <w:rPr>
          <w:b/>
          <w:i/>
          <w:szCs w:val="24"/>
        </w:rPr>
      </w:pPr>
      <w:r w:rsidRPr="008374C1">
        <w:rPr>
          <w:b/>
          <w:i/>
        </w:rPr>
        <w:t>Upphandling</w:t>
      </w:r>
    </w:p>
    <w:p w:rsidR="0007379C" w:rsidRPr="008374C1" w:rsidRDefault="0007379C" w:rsidP="0007379C">
      <w:pPr>
        <w:widowControl/>
        <w:spacing w:after="240"/>
        <w:ind w:left="567" w:hanging="567"/>
        <w:rPr>
          <w:szCs w:val="24"/>
        </w:rPr>
      </w:pPr>
      <w:r w:rsidRPr="008374C1">
        <w:t>17.</w:t>
      </w:r>
      <w:r w:rsidRPr="008374C1">
        <w:tab/>
        <w:t>Europaparlamentet noterar iakttagelsen i revisionsrättens rapport att myndigheten gjorde betalningar på totalt 25 607 EUR efter utgången av löptiden för ett avtal genom vilket myndigheten upphandlade telekommunikationstjänster för mobiltelefonkommunikation under en period på fyra år (2017–2021). Parlamentet noterar revisionsrättens slutsats att dessa betalningar var oriktiga. Parlamentet noterar vidare revisionsrättens iakttagelse att en ändring av det kontraktet, som undertecknades i april 2022, gjordes i strid med punkt 1.1 i bilaga I till budgetförordningen.</w:t>
      </w:r>
    </w:p>
    <w:p w:rsidR="0007379C" w:rsidRPr="008374C1" w:rsidRDefault="0007379C" w:rsidP="0007379C">
      <w:pPr>
        <w:widowControl/>
        <w:spacing w:after="240"/>
        <w:ind w:left="567" w:hanging="567"/>
        <w:rPr>
          <w:szCs w:val="24"/>
        </w:rPr>
      </w:pPr>
      <w:r w:rsidRPr="008374C1">
        <w:t>18.</w:t>
      </w:r>
      <w:r w:rsidRPr="008374C1">
        <w:tab/>
        <w:t>Europaparlamentet påminner utifrån revisionsrättens årsrapport om unionens byråer för 2021 om iakttagelsen om det belopp (288 125 EUR) som myndigheten felaktigt betalat för hyreskontraktet för sina lokaler. Parlamentet noterar i detta sammanhang från myndighetens rapport om åtgärder som vidtagits mot bakgrund av den ansvarsfrihetsbeviljande myndighetens rekommendationer (ansvarsfriheten för 2021) att myndighetens ståndpunkt att ett åsidosättande av de avtalsenliga skyldigheterna skulle ha haft en negativ rättslig och anseendemässig inverkan på myndigheten. Parlamentet noterar utifrån revisionsrättens rapport att statusen för denna iakttagelse fortfarande är oavslutad. Parlamentet uppmanar myndigheten att vidta alla nödvändiga åtgärder när den inleder upphandlingsförfarandet för ett nytt hyresavtal för att förhindra eventuella konflikter mellan de skyldigheter som åläggs genom hyresavtalet och de relevanta bestämmelserna i budgetförordningen.</w:t>
      </w:r>
    </w:p>
    <w:p w:rsidR="0007379C" w:rsidRPr="008374C1" w:rsidRDefault="0007379C" w:rsidP="0007379C">
      <w:pPr>
        <w:widowControl/>
        <w:spacing w:after="240"/>
        <w:rPr>
          <w:szCs w:val="24"/>
        </w:rPr>
      </w:pPr>
      <w:r w:rsidRPr="008374C1">
        <w:rPr>
          <w:b/>
          <w:i/>
        </w:rPr>
        <w:t>Förebyggande och hantering av intressekonflikter samt transparens</w:t>
      </w:r>
    </w:p>
    <w:p w:rsidR="0007379C" w:rsidRPr="008374C1" w:rsidRDefault="0007379C" w:rsidP="0007379C">
      <w:pPr>
        <w:widowControl/>
        <w:spacing w:after="240"/>
        <w:ind w:left="567" w:hanging="567"/>
        <w:rPr>
          <w:szCs w:val="24"/>
        </w:rPr>
      </w:pPr>
      <w:r w:rsidRPr="008374C1">
        <w:lastRenderedPageBreak/>
        <w:t>19.</w:t>
      </w:r>
      <w:r w:rsidRPr="008374C1">
        <w:tab/>
        <w:t>Europaparlamentet välkomnar att myndighetens rättsliga bestämmelser kräver att meritförteckningar för ledamöterna i myndighetens tillsynsstyrelse och förvaltningsstyrelse, en levnadsbeskrivning för myndighetens ordförande och verkställande direktör och en kort levnadsbeskrivning av myndighetens avdelningschefer ska offentliggöras på myndighetens webbplats. Parlamentet noterar att enskilda intresseförklaringar och avsiktsförklaringar är offentligt tillgängliga för varje ledamot av förvaltningsstyrelsen, varje ledamot av tillsynsstyrelsen och myndighetens högsta ledning. Parlamentet välkomnar vidare offentliggörandet av myndighetens personalmöten med lobbyister på myndighetens webbplats.</w:t>
      </w:r>
    </w:p>
    <w:p w:rsidR="0007379C" w:rsidRPr="008374C1" w:rsidRDefault="0007379C" w:rsidP="0007379C">
      <w:pPr>
        <w:widowControl/>
        <w:spacing w:after="240"/>
        <w:ind w:left="567" w:hanging="567"/>
        <w:rPr>
          <w:szCs w:val="24"/>
        </w:rPr>
      </w:pPr>
      <w:r w:rsidRPr="008374C1">
        <w:t>20.</w:t>
      </w:r>
      <w:r w:rsidRPr="008374C1">
        <w:tab/>
        <w:t>Europaparlamentet gläder sig över att myndigheten under 2022 stärkte sina etiska regler för personal och icke-anställda för att ta itu med revisionsrättens iakttagelser i revisionsrättens rapport om myndighetens årsredovisning för 2021 och som syftar till att bevara ett opartiskt, objektivt och oberoende beslutsfattande och snabbt identifiera och hantera eventuella intressekonflikter. Parlamentet noterar i detta avseende översynen av myndighetens arbetsordning, antagandet av policyn för oberoende och beslutsprocesser för att undvika intressekonflikter för personer som inte är anställda, godkännandet av en översyn av beslutet om bedömningen av ordföranden och den verkställande direktören och antagandet av en översyn av myndighetens etiska regler för personalen.</w:t>
      </w:r>
    </w:p>
    <w:p w:rsidR="0007379C" w:rsidRPr="008374C1" w:rsidRDefault="0007379C" w:rsidP="0007379C">
      <w:pPr>
        <w:widowControl/>
        <w:spacing w:after="240"/>
        <w:ind w:left="567" w:hanging="567"/>
        <w:rPr>
          <w:szCs w:val="24"/>
        </w:rPr>
      </w:pPr>
      <w:r w:rsidRPr="008374C1">
        <w:t>21.</w:t>
      </w:r>
      <w:r w:rsidRPr="008374C1">
        <w:tab/>
        <w:t>Europaparlamentet noterar när det gäller visselblåsning att en anställd under 2022 uttryckte sin oro över ett potentiellt fall av oriktigheter som har hanterats av myndigheten i enlighet med tillämpliga regler. Parlamentet noterar i detta sammanhang att myndigheten omedelbart informerade Europeiska byrån för bedrägeribekämpning (Olaf) och att Olaf gjorde en bedömning och avvisade ärendet på grund av att det inte fanns tillräckliga misstankar för att inleda en utredning.</w:t>
      </w:r>
    </w:p>
    <w:p w:rsidR="0007379C" w:rsidRPr="008374C1" w:rsidRDefault="0007379C" w:rsidP="0007379C">
      <w:pPr>
        <w:spacing w:after="240"/>
        <w:ind w:left="567" w:hanging="567"/>
        <w:rPr>
          <w:sz w:val="22"/>
        </w:rPr>
      </w:pPr>
      <w:r w:rsidRPr="008374C1">
        <w:t>22.</w:t>
      </w:r>
      <w:r w:rsidRPr="008374C1">
        <w:tab/>
        <w:t>Europaparlamentet välkomnar att myndighetens tillsynsstyrelse i juli 2022 såg över sin arbetsordning för att genomföra revisionsrättens iakttagelse om närvaron för ledamöter med intressekonflikter i samband med diskussioner och omröstningar i tillsynsstyrelse. Parlamentet noterar vidare att myndighetens förvaltningsstyrelse i december 2022 godkände ett reviderat beslut om bedömningen av ordföranden och den verkställande direktören, i linje med revisionsrättens iakttagelser.</w:t>
      </w:r>
    </w:p>
    <w:p w:rsidR="0007379C" w:rsidRPr="008374C1" w:rsidRDefault="0007379C" w:rsidP="0007379C">
      <w:pPr>
        <w:widowControl/>
        <w:spacing w:after="240"/>
        <w:ind w:left="567" w:hanging="567"/>
        <w:rPr>
          <w:b/>
          <w:i/>
          <w:szCs w:val="24"/>
        </w:rPr>
      </w:pPr>
      <w:r w:rsidRPr="008374C1">
        <w:rPr>
          <w:b/>
          <w:i/>
        </w:rPr>
        <w:t>Intern kontroll</w:t>
      </w:r>
    </w:p>
    <w:p w:rsidR="0007379C" w:rsidRPr="008374C1" w:rsidRDefault="0007379C" w:rsidP="0007379C">
      <w:pPr>
        <w:widowControl/>
        <w:spacing w:after="240"/>
        <w:ind w:left="567" w:hanging="567"/>
        <w:rPr>
          <w:szCs w:val="24"/>
        </w:rPr>
      </w:pPr>
      <w:r w:rsidRPr="008374C1">
        <w:t>23.</w:t>
      </w:r>
      <w:r w:rsidRPr="008374C1">
        <w:tab/>
        <w:t>Europaparlamentet noterar att myndigheten 2022 genomförde den årliga bedömningen av sin ram för intern kontroll och drog slutsatsen att alla komponenter och principer genomförs och fungerar som avsett, och att vissa förbättringar krävs på grund av en måttlig brist som upptäckts.</w:t>
      </w:r>
    </w:p>
    <w:p w:rsidR="0007379C" w:rsidRPr="008374C1" w:rsidRDefault="0007379C" w:rsidP="0007379C">
      <w:pPr>
        <w:widowControl/>
        <w:spacing w:after="240"/>
        <w:ind w:left="567" w:hanging="567"/>
        <w:rPr>
          <w:szCs w:val="24"/>
        </w:rPr>
      </w:pPr>
      <w:r w:rsidRPr="008374C1">
        <w:t>24.</w:t>
      </w:r>
      <w:r w:rsidRPr="008374C1">
        <w:tab/>
        <w:t>Europaparlamentet noterar att tjänsten för internrevision under 2022 utfärdade en rapport om den revision som genomfördes 2021 av Eiopas interventionsåtgärder mot nationella behöriga myndigheter och marknadsaktörer inom unionens försäkrings- och tjänstepensionssektorer. Parlamentet noterar vidare att myndighetens kommitté för kvalitetskontroll utfärdade en granskningsrapport om tillvaratagna erfarenheter från samarbetet och interaktionen mellan Eiopa och de nationella behöriga myndigheterna under covid-19-pandemin. Parlamentet uppmanar myndigheten att hålla den ansvarsfrihetsbeviljande myndigheten uppdaterad när det gäller genomförandet av rekommendationerna från tjänsten för internrevision och kommittén för kvalitetskontroll</w:t>
      </w:r>
    </w:p>
    <w:p w:rsidR="0007379C" w:rsidRPr="008374C1" w:rsidRDefault="0007379C" w:rsidP="0007379C">
      <w:pPr>
        <w:widowControl/>
        <w:spacing w:after="240"/>
        <w:ind w:left="567" w:hanging="567"/>
      </w:pPr>
      <w:r w:rsidRPr="008374C1">
        <w:lastRenderedPageBreak/>
        <w:t>25.</w:t>
      </w:r>
      <w:r w:rsidRPr="008374C1">
        <w:tab/>
        <w:t>Europaparlamentet noterar med tillfredsställelse att myndigheten under 2022 identifierade, övervakade och vidtog åtgärder för att mildra effekterna av risker till följd av den inte haft tillräcklig kapacitet att genomföra nya befogenheter och uppgifter samtidigt som den uppfyllde befintliga åtaganden, brist på kvalificerad personal med den kompetens som krävs på grund av frågor som rör attraktionskraft och rekrytering, cybersäkerhetshot och driftskontinuitet.</w:t>
      </w:r>
    </w:p>
    <w:p w:rsidR="0007379C" w:rsidRPr="008374C1" w:rsidRDefault="0007379C" w:rsidP="0007379C">
      <w:pPr>
        <w:widowControl/>
        <w:spacing w:after="240"/>
        <w:ind w:left="567" w:hanging="567"/>
      </w:pPr>
      <w:r w:rsidRPr="008374C1">
        <w:t>26.</w:t>
      </w:r>
      <w:r w:rsidRPr="008374C1">
        <w:tab/>
        <w:t>Europaparlamentet noterar att myndigheten under 2022 fortsatte att ta itu med de återstående rekommendationerna från revisionen av tillsynsverktygen på konsumentskyddsområdet (2019–2020). Parlamentet noterar vidare att denna revision resulterade i fyra rekommendationer som har åtgärdats, så att två rekommendationer officiellt avslutades av IAS i november 2021 och två rekommendationer officiellt avslutades i juni 2022.</w:t>
      </w:r>
    </w:p>
    <w:p w:rsidR="0007379C" w:rsidRPr="008374C1" w:rsidRDefault="0007379C" w:rsidP="0007379C">
      <w:pPr>
        <w:widowControl/>
        <w:spacing w:after="240"/>
        <w:ind w:left="567" w:hanging="567"/>
        <w:rPr>
          <w:b/>
          <w:i/>
          <w:szCs w:val="24"/>
        </w:rPr>
      </w:pPr>
      <w:r w:rsidRPr="008374C1">
        <w:rPr>
          <w:b/>
          <w:i/>
        </w:rPr>
        <w:t>Övriga synpunkter</w:t>
      </w:r>
    </w:p>
    <w:p w:rsidR="0007379C" w:rsidRPr="008374C1" w:rsidRDefault="0007379C" w:rsidP="0007379C">
      <w:pPr>
        <w:spacing w:after="240"/>
        <w:ind w:left="567" w:hanging="567"/>
        <w:rPr>
          <w:szCs w:val="24"/>
        </w:rPr>
      </w:pPr>
      <w:r w:rsidRPr="008374C1">
        <w:t>27.</w:t>
      </w:r>
      <w:r w:rsidRPr="008374C1">
        <w:tab/>
        <w:t>Europaparlamentet noterar att myndigheten under 2022, tillsammans med de andra ESA-myndigheterna, utfärdade varningar till konsumenter om den högriskverksamhet och spekulativa verksamhet som är förknippad med många kryptotillgångar.</w:t>
      </w:r>
    </w:p>
    <w:p w:rsidR="0007379C" w:rsidRPr="008374C1" w:rsidRDefault="0007379C" w:rsidP="0007379C">
      <w:pPr>
        <w:spacing w:after="240"/>
        <w:ind w:left="567" w:hanging="567"/>
        <w:rPr>
          <w:szCs w:val="24"/>
        </w:rPr>
      </w:pPr>
      <w:r w:rsidRPr="008374C1">
        <w:t>28.</w:t>
      </w:r>
      <w:r w:rsidRPr="008374C1">
        <w:tab/>
        <w:t>Europaparlamentet noterar utifrån myndighetens svar på den ansvarsfrihetsbeviljande myndighetens frågor att myndigheten för närvarande drar nytta av kommissionens e-upphandlingsverktyg (e-upphandling, e-inlämning, e-fakturering) och att verktyget för förvaltning av offentlig upphandling sedan dess har införts (från juli 2023). Parlamentet välkomnar att Eiopas upphandlingsförfaranden innehåller krav på kriterier för miljöanpassad offentlig upphandling, där så är möjligt, och att Eiopas anbudsgivare måste underteckna försäkran på heder och samvete om efterlevnad av bland annat miljömässiga och sociala skyldigheter.</w:t>
      </w:r>
    </w:p>
    <w:p w:rsidR="0007379C" w:rsidRPr="008374C1" w:rsidRDefault="0007379C" w:rsidP="0007379C">
      <w:pPr>
        <w:spacing w:after="240"/>
        <w:ind w:left="567" w:hanging="567"/>
        <w:rPr>
          <w:szCs w:val="24"/>
        </w:rPr>
      </w:pPr>
      <w:r w:rsidRPr="008374C1">
        <w:t>29.</w:t>
      </w:r>
      <w:r w:rsidRPr="008374C1">
        <w:tab/>
        <w:t>Europaparlamentet noterar att myndigheten under 2022 offentliggjorde resultaten av sitt arbete i form av rapporter på sin webbplats och i sociala medier, och att de flesta rapporterna åtföljdes av ett pressmeddelande. Parlamentet välkomnar att rapporterna i vissa fall också åtföljs av sammanfattningar, korta videoklipp på sociala medier eller korta intervjuer för att förklara innehållet i enklare termer.</w:t>
      </w:r>
    </w:p>
    <w:p w:rsidR="0007379C" w:rsidRPr="008374C1" w:rsidRDefault="0007379C" w:rsidP="0007379C">
      <w:pPr>
        <w:pStyle w:val="NormalCenter12a"/>
      </w:pPr>
      <w:r w:rsidRPr="008374C1">
        <w:t>°</w:t>
      </w:r>
    </w:p>
    <w:p w:rsidR="0007379C" w:rsidRPr="008374C1" w:rsidRDefault="0007379C" w:rsidP="0007379C">
      <w:pPr>
        <w:pStyle w:val="NormalCenter12a"/>
      </w:pPr>
      <w:r w:rsidRPr="008374C1">
        <w:t>°</w:t>
      </w:r>
      <w:r w:rsidRPr="008374C1">
        <w:tab/>
        <w:t>°</w:t>
      </w:r>
    </w:p>
    <w:p w:rsidR="0007379C" w:rsidRPr="00CB4F12" w:rsidRDefault="0007379C" w:rsidP="0007379C">
      <w:pPr>
        <w:pStyle w:val="NormalHanging12a"/>
      </w:pPr>
      <w:r w:rsidRPr="008374C1">
        <w:t>30.</w:t>
      </w:r>
      <w:r w:rsidRPr="008374C1">
        <w:tab/>
        <w:t xml:space="preserve">Europaparlamentet hänvisar till sin resolution av den </w:t>
      </w:r>
      <w:r w:rsidR="001B6698" w:rsidRPr="008374C1">
        <w:t xml:space="preserve">11 april </w:t>
      </w:r>
      <w:r w:rsidRPr="008374C1">
        <w:t>2024</w:t>
      </w:r>
      <w:r w:rsidRPr="008374C1">
        <w:rPr>
          <w:rStyle w:val="FootnoteReference"/>
        </w:rPr>
        <w:footnoteReference w:id="12"/>
      </w:r>
      <w:r w:rsidRPr="008374C1">
        <w:t xml:space="preserve"> om byråernas verksamhetsresultat, ekonomiska förvaltning och kontroll när det gäller andra övergripande iakttagelser som utgör en del av beslutet om ansvarsfrihet.</w:t>
      </w:r>
    </w:p>
    <w:p w:rsidR="0007379C" w:rsidRPr="00CB4F12" w:rsidRDefault="0007379C" w:rsidP="0007379C"/>
    <w:p w:rsidR="00E365E1" w:rsidRPr="00CB4F12" w:rsidRDefault="00E365E1" w:rsidP="00E21EB9">
      <w:bookmarkStart w:id="9" w:name="TextBodyEnd"/>
      <w:bookmarkEnd w:id="9"/>
    </w:p>
    <w:sectPr w:rsidR="00E365E1" w:rsidRPr="00CB4F12" w:rsidSect="00CB4F12">
      <w:headerReference w:type="even" r:id="rId11"/>
      <w:headerReference w:type="default" r:id="rId12"/>
      <w:footerReference w:type="even" r:id="rId13"/>
      <w:footerReference w:type="default" r:id="rId14"/>
      <w:headerReference w:type="first" r:id="rId15"/>
      <w:footerReference w:type="first" r:id="rId16"/>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EB9" w:rsidRPr="00CB4F12" w:rsidRDefault="00E21EB9">
      <w:r w:rsidRPr="00CB4F12">
        <w:separator/>
      </w:r>
    </w:p>
  </w:endnote>
  <w:endnote w:type="continuationSeparator" w:id="0">
    <w:p w:rsidR="00E21EB9" w:rsidRPr="00CB4F12" w:rsidRDefault="00E21EB9">
      <w:r w:rsidRPr="00CB4F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79C" w:rsidRPr="00CB4F12" w:rsidRDefault="0007379C" w:rsidP="008D2AC9">
    <w:pPr>
      <w:pStyle w:val="EPFooter"/>
    </w:pPr>
    <w:r w:rsidRPr="00CB4F12">
      <w:t>PE</w:t>
    </w:r>
    <w:r w:rsidRPr="00CB4F12">
      <w:rPr>
        <w:rStyle w:val="HideTWBExt"/>
      </w:rPr>
      <w:t>&lt;NoPE&gt;</w:t>
    </w:r>
    <w:r w:rsidRPr="00CB4F12">
      <w:t>753.521</w:t>
    </w:r>
    <w:r w:rsidRPr="00CB4F12">
      <w:rPr>
        <w:rStyle w:val="HideTWBExt"/>
      </w:rPr>
      <w:t>&lt;/NoPE&gt;&lt;Version&gt;</w:t>
    </w:r>
    <w:r w:rsidRPr="00CB4F12">
      <w:t>v02-00</w:t>
    </w:r>
    <w:r w:rsidRPr="00CB4F12">
      <w:rPr>
        <w:rStyle w:val="HideTWBExt"/>
      </w:rPr>
      <w:t>&lt;/Version&gt;</w:t>
    </w:r>
    <w:r w:rsidRPr="00CB4F12">
      <w:tab/>
    </w:r>
    <w:r w:rsidRPr="00CB4F12">
      <w:fldChar w:fldCharType="begin"/>
    </w:r>
    <w:r w:rsidRPr="00CB4F12">
      <w:instrText xml:space="preserve"> PAGE  \* MERGEFORMAT </w:instrText>
    </w:r>
    <w:r w:rsidRPr="00CB4F12">
      <w:fldChar w:fldCharType="separate"/>
    </w:r>
    <w:r w:rsidRPr="00CB4F12">
      <w:rPr>
        <w:noProof/>
      </w:rPr>
      <w:t>10</w:t>
    </w:r>
    <w:r w:rsidRPr="00CB4F12">
      <w:fldChar w:fldCharType="end"/>
    </w:r>
    <w:r w:rsidRPr="00CB4F12">
      <w:t>/</w:t>
    </w:r>
    <w:fldSimple w:instr=" NUMPAGES  \* MERGEFORMAT ">
      <w:r w:rsidRPr="00CB4F12">
        <w:rPr>
          <w:noProof/>
        </w:rPr>
        <w:t>10</w:t>
      </w:r>
    </w:fldSimple>
    <w:r w:rsidRPr="00CB4F12">
      <w:tab/>
    </w:r>
    <w:r w:rsidRPr="00CB4F12">
      <w:rPr>
        <w:rStyle w:val="HideTWBExt"/>
      </w:rPr>
      <w:t>&lt;PathFdR&gt;</w:t>
    </w:r>
    <w:r w:rsidRPr="00CB4F12">
      <w:t>RR\1298747SV.docx</w:t>
    </w:r>
    <w:r w:rsidRPr="00CB4F12">
      <w:rPr>
        <w:rStyle w:val="HideTWBExt"/>
      </w:rPr>
      <w:t>&lt;/PathFdR&gt;</w:t>
    </w:r>
  </w:p>
  <w:p w:rsidR="0007379C" w:rsidRPr="00CB4F12" w:rsidRDefault="0007379C" w:rsidP="008D2AC9">
    <w:pPr>
      <w:pStyle w:val="EPFooter2"/>
    </w:pPr>
    <w:r w:rsidRPr="00CB4F12">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79C" w:rsidRPr="00CB4F12" w:rsidRDefault="0007379C" w:rsidP="008D2AC9">
    <w:pPr>
      <w:pStyle w:val="EPFooter"/>
    </w:pPr>
    <w:r w:rsidRPr="00CB4F12">
      <w:rPr>
        <w:rStyle w:val="HideTWBExt"/>
      </w:rPr>
      <w:t>&lt;PathFdR&gt;</w:t>
    </w:r>
    <w:r w:rsidRPr="00CB4F12">
      <w:t>RR\1298747SV.docx</w:t>
    </w:r>
    <w:r w:rsidRPr="00CB4F12">
      <w:rPr>
        <w:rStyle w:val="HideTWBExt"/>
      </w:rPr>
      <w:t>&lt;/PathFdR&gt;</w:t>
    </w:r>
    <w:r w:rsidRPr="00CB4F12">
      <w:tab/>
    </w:r>
    <w:r w:rsidRPr="00CB4F12">
      <w:tab/>
      <w:t>PE</w:t>
    </w:r>
    <w:r w:rsidRPr="00CB4F12">
      <w:rPr>
        <w:rStyle w:val="HideTWBExt"/>
      </w:rPr>
      <w:t>&lt;NoPE&gt;</w:t>
    </w:r>
    <w:r w:rsidRPr="00CB4F12">
      <w:t>753.521</w:t>
    </w:r>
    <w:r w:rsidRPr="00CB4F12">
      <w:rPr>
        <w:rStyle w:val="HideTWBExt"/>
      </w:rPr>
      <w:t>&lt;/NoPE&gt;&lt;Version&gt;</w:t>
    </w:r>
    <w:r w:rsidRPr="00CB4F12">
      <w:t>v02-00</w:t>
    </w:r>
    <w:r w:rsidRPr="00CB4F12">
      <w:rPr>
        <w:rStyle w:val="HideTWBExt"/>
      </w:rPr>
      <w:t>&lt;/Version&gt;</w:t>
    </w:r>
  </w:p>
  <w:p w:rsidR="0007379C" w:rsidRPr="00CB4F12" w:rsidRDefault="0007379C" w:rsidP="008D2AC9">
    <w:pPr>
      <w:pStyle w:val="EPFooter2"/>
    </w:pPr>
    <w:r w:rsidRPr="00CB4F12">
      <w:t>SV</w:t>
    </w:r>
    <w:r w:rsidRPr="00CB4F12">
      <w:tab/>
    </w:r>
    <w:r w:rsidRPr="00CB4F12">
      <w:rPr>
        <w:b w:val="0"/>
        <w:i/>
        <w:color w:val="C0C0C0"/>
        <w:sz w:val="22"/>
      </w:rPr>
      <w:t>Förenade i mångfalden</w:t>
    </w:r>
    <w:r w:rsidRPr="00CB4F12">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CB4F12" w:rsidRDefault="00064002"/>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CB4F12" w:rsidRDefault="0006400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CB4F12"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EB9" w:rsidRPr="00CB4F12" w:rsidRDefault="00E21EB9">
      <w:r w:rsidRPr="00CB4F12">
        <w:separator/>
      </w:r>
    </w:p>
  </w:footnote>
  <w:footnote w:type="continuationSeparator" w:id="0">
    <w:p w:rsidR="00E21EB9" w:rsidRPr="00CB4F12" w:rsidRDefault="00E21EB9">
      <w:r w:rsidRPr="00CB4F12">
        <w:continuationSeparator/>
      </w:r>
    </w:p>
  </w:footnote>
  <w:footnote w:id="1">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C, C/2023/594, 27.10.2023.</w:t>
      </w:r>
    </w:p>
  </w:footnote>
  <w:footnote w:id="2">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C, C/2023/112, 12.10.2023.</w:t>
      </w:r>
    </w:p>
  </w:footnote>
  <w:footnote w:id="3">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L 193, 30.7.2018, s. 1.</w:t>
      </w:r>
    </w:p>
  </w:footnote>
  <w:footnote w:id="4">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L 331, 15.12.2010, s. 48</w:t>
      </w:r>
    </w:p>
  </w:footnote>
  <w:footnote w:id="5">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L 122, 10.5.2019, s. 1.</w:t>
      </w:r>
    </w:p>
  </w:footnote>
  <w:footnote w:id="6">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C, C/2023/594, 27.10.2023.</w:t>
      </w:r>
    </w:p>
  </w:footnote>
  <w:footnote w:id="7">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C, C/2023/112, 12.10.2023.</w:t>
      </w:r>
    </w:p>
  </w:footnote>
  <w:footnote w:id="8">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L 193, 30.7.2018, s. 1.</w:t>
      </w:r>
    </w:p>
  </w:footnote>
  <w:footnote w:id="9">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L 331, 15.12.2010, s. 48</w:t>
      </w:r>
    </w:p>
  </w:footnote>
  <w:footnote w:id="10">
    <w:p w:rsidR="0007379C" w:rsidRPr="008374C1" w:rsidRDefault="0007379C" w:rsidP="00CB4F12">
      <w:pPr>
        <w:pStyle w:val="FootnoteText"/>
        <w:ind w:left="567" w:hanging="567"/>
        <w:rPr>
          <w:sz w:val="24"/>
          <w:szCs w:val="24"/>
        </w:rPr>
      </w:pPr>
      <w:r w:rsidRPr="008374C1">
        <w:rPr>
          <w:rStyle w:val="FootnoteReference"/>
          <w:sz w:val="24"/>
          <w:szCs w:val="24"/>
          <w:lang w:val="sv-SE"/>
        </w:rPr>
        <w:footnoteRef/>
      </w:r>
      <w:r w:rsidR="00CB4F12" w:rsidRPr="008374C1">
        <w:rPr>
          <w:sz w:val="24"/>
          <w:szCs w:val="24"/>
        </w:rPr>
        <w:t xml:space="preserve"> </w:t>
      </w:r>
      <w:r w:rsidR="00CB4F12" w:rsidRPr="008374C1">
        <w:rPr>
          <w:sz w:val="24"/>
          <w:szCs w:val="24"/>
        </w:rPr>
        <w:tab/>
      </w:r>
      <w:r w:rsidRPr="008374C1">
        <w:rPr>
          <w:sz w:val="24"/>
          <w:szCs w:val="24"/>
        </w:rPr>
        <w:t>EUT L 122, 10.5.2019, s. 1.</w:t>
      </w:r>
    </w:p>
  </w:footnote>
  <w:footnote w:id="11">
    <w:p w:rsidR="0007379C" w:rsidRPr="008374C1" w:rsidRDefault="0007379C" w:rsidP="00CB4F12">
      <w:pPr>
        <w:pStyle w:val="FootnoteText"/>
        <w:ind w:left="567" w:hanging="567"/>
        <w:rPr>
          <w:sz w:val="24"/>
          <w:szCs w:val="24"/>
          <w:lang w:val="sv-SE"/>
        </w:rPr>
      </w:pPr>
      <w:r w:rsidRPr="008374C1">
        <w:rPr>
          <w:rStyle w:val="FootnoteReference"/>
          <w:sz w:val="24"/>
          <w:szCs w:val="24"/>
          <w:lang w:val="sv-SE"/>
        </w:rPr>
        <w:footnoteRef/>
      </w:r>
      <w:r w:rsidR="00CB4F12" w:rsidRPr="008374C1">
        <w:rPr>
          <w:sz w:val="24"/>
          <w:szCs w:val="24"/>
          <w:lang w:val="sv-SE"/>
        </w:rPr>
        <w:t xml:space="preserve"> </w:t>
      </w:r>
      <w:r w:rsidR="00CB4F12" w:rsidRPr="008374C1">
        <w:rPr>
          <w:sz w:val="24"/>
          <w:szCs w:val="24"/>
          <w:lang w:val="sv-SE"/>
        </w:rPr>
        <w:tab/>
      </w:r>
      <w:r w:rsidRPr="008374C1">
        <w:rPr>
          <w:sz w:val="24"/>
          <w:szCs w:val="24"/>
          <w:lang w:val="sv-SE"/>
        </w:rPr>
        <w:t>EUT C 38, 31.1.2023, s. 78.</w:t>
      </w:r>
    </w:p>
  </w:footnote>
  <w:footnote w:id="12">
    <w:p w:rsidR="0007379C" w:rsidRPr="00961440" w:rsidRDefault="0007379C" w:rsidP="00CB4F12">
      <w:pPr>
        <w:pStyle w:val="FootnoteText"/>
        <w:ind w:left="567" w:hanging="567"/>
        <w:rPr>
          <w:sz w:val="24"/>
          <w:szCs w:val="24"/>
          <w:lang w:val="sv-SE"/>
        </w:rPr>
      </w:pPr>
      <w:r w:rsidRPr="008374C1">
        <w:rPr>
          <w:rStyle w:val="FootnoteReference"/>
          <w:sz w:val="24"/>
          <w:szCs w:val="24"/>
          <w:lang w:val="sv-SE"/>
        </w:rPr>
        <w:footnoteRef/>
      </w:r>
      <w:r w:rsidR="00CB4F12" w:rsidRPr="008374C1">
        <w:rPr>
          <w:sz w:val="24"/>
          <w:szCs w:val="24"/>
          <w:lang w:val="sv-SE"/>
        </w:rPr>
        <w:t xml:space="preserve"> </w:t>
      </w:r>
      <w:r w:rsidR="00CB4F12" w:rsidRPr="008374C1">
        <w:rPr>
          <w:sz w:val="24"/>
          <w:szCs w:val="24"/>
          <w:lang w:val="sv-SE"/>
        </w:rPr>
        <w:tab/>
      </w:r>
      <w:r w:rsidR="004F163F">
        <w:rPr>
          <w:sz w:val="24"/>
          <w:szCs w:val="24"/>
          <w:lang w:val="sv-SE"/>
        </w:rPr>
        <w:t xml:space="preserve">Antagna texter, </w:t>
      </w:r>
      <w:r w:rsidR="004F163F">
        <w:rPr>
          <w:sz w:val="24"/>
          <w:szCs w:val="24"/>
          <w:lang w:val="sv-SE"/>
        </w:rPr>
        <w:t>P9_TA</w:t>
      </w:r>
      <w:bookmarkStart w:id="8" w:name="_GoBack"/>
      <w:bookmarkEnd w:id="8"/>
      <w:r w:rsidRPr="008374C1">
        <w:rPr>
          <w:sz w:val="24"/>
          <w:szCs w:val="24"/>
          <w:lang w:val="sv-SE"/>
        </w:rPr>
        <w:t>(2024)0</w:t>
      </w:r>
      <w:r w:rsidR="008374C1" w:rsidRPr="008374C1">
        <w:rPr>
          <w:sz w:val="24"/>
          <w:szCs w:val="24"/>
          <w:lang w:val="sv-SE"/>
        </w:rPr>
        <w:t>280</w:t>
      </w:r>
      <w:r w:rsidRPr="008374C1">
        <w:rPr>
          <w:sz w:val="24"/>
          <w:szCs w:val="24"/>
          <w:lang w:val="sv-S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CB4F12" w:rsidRDefault="0006400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CB4F12" w:rsidRDefault="000640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CB4F12"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A9-0097/2024"/>
    <w:docVar w:name="dvlangue" w:val="SV"/>
    <w:docVar w:name="dvnumam" w:val="0"/>
    <w:docVar w:name="dvpe" w:val="753.521"/>
    <w:docVar w:name="dvrapporteur" w:val="Föredragande: "/>
    <w:docVar w:name="dvtitre" w:val="Europaparlamentets beslut av den xx xx 2024 om ansvarsfrihet för genomförandet av budgeten för Europeiska försäkrings- och tjänstepensionsmyndigheten för budgetåret 2022(2023/2153(DEC))"/>
  </w:docVars>
  <w:rsids>
    <w:rsidRoot w:val="00E21EB9"/>
    <w:rsid w:val="00002272"/>
    <w:rsid w:val="00064002"/>
    <w:rsid w:val="000677B9"/>
    <w:rsid w:val="0007379C"/>
    <w:rsid w:val="000831BA"/>
    <w:rsid w:val="000A42CC"/>
    <w:rsid w:val="000E7DD9"/>
    <w:rsid w:val="0010095E"/>
    <w:rsid w:val="00125B37"/>
    <w:rsid w:val="00187494"/>
    <w:rsid w:val="001B6698"/>
    <w:rsid w:val="001F32AE"/>
    <w:rsid w:val="002767FF"/>
    <w:rsid w:val="0029665F"/>
    <w:rsid w:val="002B18FE"/>
    <w:rsid w:val="002B5493"/>
    <w:rsid w:val="00343214"/>
    <w:rsid w:val="00361C00"/>
    <w:rsid w:val="00395FA1"/>
    <w:rsid w:val="003E15D4"/>
    <w:rsid w:val="00411CCE"/>
    <w:rsid w:val="0041666E"/>
    <w:rsid w:val="00421060"/>
    <w:rsid w:val="00471C19"/>
    <w:rsid w:val="004867E3"/>
    <w:rsid w:val="00494A28"/>
    <w:rsid w:val="004B2FCB"/>
    <w:rsid w:val="004C0004"/>
    <w:rsid w:val="004C5D52"/>
    <w:rsid w:val="004F163F"/>
    <w:rsid w:val="0050519A"/>
    <w:rsid w:val="005072A1"/>
    <w:rsid w:val="00514517"/>
    <w:rsid w:val="00545827"/>
    <w:rsid w:val="00560270"/>
    <w:rsid w:val="005C2568"/>
    <w:rsid w:val="006037C0"/>
    <w:rsid w:val="006631B6"/>
    <w:rsid w:val="00680577"/>
    <w:rsid w:val="006F74FA"/>
    <w:rsid w:val="00731ADD"/>
    <w:rsid w:val="00734777"/>
    <w:rsid w:val="00747932"/>
    <w:rsid w:val="00751A4A"/>
    <w:rsid w:val="00756632"/>
    <w:rsid w:val="00762C74"/>
    <w:rsid w:val="00786EC0"/>
    <w:rsid w:val="007D1690"/>
    <w:rsid w:val="007E22AD"/>
    <w:rsid w:val="00817416"/>
    <w:rsid w:val="008374C1"/>
    <w:rsid w:val="00842779"/>
    <w:rsid w:val="00865F67"/>
    <w:rsid w:val="00881A7B"/>
    <w:rsid w:val="008840E5"/>
    <w:rsid w:val="00887B3E"/>
    <w:rsid w:val="008C2AC6"/>
    <w:rsid w:val="00930C23"/>
    <w:rsid w:val="0093193B"/>
    <w:rsid w:val="009509D8"/>
    <w:rsid w:val="00950B64"/>
    <w:rsid w:val="00961440"/>
    <w:rsid w:val="00981893"/>
    <w:rsid w:val="00A1687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B4F12"/>
    <w:rsid w:val="00CC2357"/>
    <w:rsid w:val="00CF071A"/>
    <w:rsid w:val="00D058B8"/>
    <w:rsid w:val="00D56C11"/>
    <w:rsid w:val="00D834A0"/>
    <w:rsid w:val="00D872DF"/>
    <w:rsid w:val="00D91E21"/>
    <w:rsid w:val="00DA7FCD"/>
    <w:rsid w:val="00E21EB9"/>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902E7"/>
  <w15:chartTrackingRefBased/>
  <w15:docId w15:val="{E7828443-984E-4EC7-B53D-5016D2D2D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sv-S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Footer2">
    <w:name w:val="EPFooter2"/>
    <w:basedOn w:val="Normal"/>
    <w:next w:val="Normal"/>
    <w:rsid w:val="0007379C"/>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07379C"/>
    <w:pPr>
      <w:spacing w:before="480" w:after="240"/>
    </w:pPr>
  </w:style>
  <w:style w:type="paragraph" w:customStyle="1" w:styleId="PageHeading">
    <w:name w:val="PageHeading"/>
    <w:basedOn w:val="Normal"/>
    <w:rsid w:val="0007379C"/>
    <w:pPr>
      <w:keepNext/>
      <w:spacing w:after="480"/>
      <w:jc w:val="center"/>
    </w:pPr>
    <w:rPr>
      <w:rFonts w:ascii="Arial" w:hAnsi="Arial" w:cs="Arial"/>
      <w:b/>
    </w:rPr>
  </w:style>
  <w:style w:type="paragraph" w:customStyle="1" w:styleId="NormalBold">
    <w:name w:val="NormalBold"/>
    <w:basedOn w:val="Normal"/>
    <w:rsid w:val="0007379C"/>
    <w:rPr>
      <w:b/>
    </w:rPr>
  </w:style>
  <w:style w:type="paragraph" w:customStyle="1" w:styleId="NormalHanging12a">
    <w:name w:val="NormalHanging12a"/>
    <w:basedOn w:val="Normal"/>
    <w:link w:val="NormalHanging12aChar"/>
    <w:rsid w:val="0007379C"/>
    <w:pPr>
      <w:spacing w:after="240"/>
      <w:ind w:left="567" w:hanging="567"/>
    </w:pPr>
  </w:style>
  <w:style w:type="paragraph" w:customStyle="1" w:styleId="NormalCenter12a">
    <w:name w:val="NormalCenter12a"/>
    <w:basedOn w:val="Normal"/>
    <w:rsid w:val="0007379C"/>
    <w:pPr>
      <w:spacing w:after="240"/>
      <w:jc w:val="center"/>
    </w:pPr>
  </w:style>
  <w:style w:type="paragraph" w:styleId="Header">
    <w:name w:val="header"/>
    <w:basedOn w:val="Normal"/>
    <w:link w:val="HeaderChar"/>
    <w:rsid w:val="0007379C"/>
    <w:pPr>
      <w:tabs>
        <w:tab w:val="center" w:pos="4513"/>
        <w:tab w:val="right" w:pos="9026"/>
      </w:tabs>
    </w:pPr>
  </w:style>
  <w:style w:type="character" w:customStyle="1" w:styleId="HeaderChar">
    <w:name w:val="Header Char"/>
    <w:basedOn w:val="DefaultParagraphFont"/>
    <w:link w:val="Header"/>
    <w:rsid w:val="0007379C"/>
    <w:rPr>
      <w:sz w:val="24"/>
      <w:lang w:val="sv-SE"/>
    </w:rPr>
  </w:style>
  <w:style w:type="paragraph" w:customStyle="1" w:styleId="EPFooter">
    <w:name w:val="EPFooter"/>
    <w:basedOn w:val="Normal"/>
    <w:rsid w:val="0007379C"/>
    <w:pPr>
      <w:tabs>
        <w:tab w:val="center" w:pos="4535"/>
        <w:tab w:val="right" w:pos="9071"/>
      </w:tabs>
      <w:spacing w:before="240" w:after="240"/>
    </w:pPr>
    <w:rPr>
      <w:color w:val="010000"/>
      <w:sz w:val="22"/>
    </w:rPr>
  </w:style>
  <w:style w:type="character" w:customStyle="1" w:styleId="NormalHanging12aChar">
    <w:name w:val="NormalHanging12a Char"/>
    <w:basedOn w:val="DefaultParagraphFont"/>
    <w:link w:val="NormalHanging12a"/>
    <w:rsid w:val="0007379C"/>
    <w:rPr>
      <w:sz w:val="24"/>
      <w:lang w:val="sv-SE"/>
    </w:rPr>
  </w:style>
  <w:style w:type="paragraph" w:styleId="BalloonText">
    <w:name w:val="Balloon Text"/>
    <w:basedOn w:val="Normal"/>
    <w:link w:val="BalloonTextChar"/>
    <w:rsid w:val="00961440"/>
    <w:rPr>
      <w:rFonts w:ascii="Segoe UI" w:hAnsi="Segoe UI" w:cs="Segoe UI"/>
      <w:sz w:val="18"/>
      <w:szCs w:val="18"/>
    </w:rPr>
  </w:style>
  <w:style w:type="character" w:customStyle="1" w:styleId="BalloonTextChar">
    <w:name w:val="Balloon Text Char"/>
    <w:basedOn w:val="DefaultParagraphFont"/>
    <w:link w:val="BalloonText"/>
    <w:rsid w:val="00961440"/>
    <w:rPr>
      <w:rFonts w:ascii="Segoe UI" w:hAnsi="Segoe UI" w:cs="Segoe UI"/>
      <w:sz w:val="18"/>
      <w:szCs w:val="18"/>
      <w:lang w:val="sv-SE"/>
    </w:rPr>
  </w:style>
  <w:style w:type="paragraph" w:styleId="Footer">
    <w:name w:val="footer"/>
    <w:basedOn w:val="Normal"/>
    <w:link w:val="FooterChar"/>
    <w:rsid w:val="00961440"/>
    <w:pPr>
      <w:tabs>
        <w:tab w:val="center" w:pos="4513"/>
        <w:tab w:val="right" w:pos="9026"/>
      </w:tabs>
    </w:pPr>
  </w:style>
  <w:style w:type="character" w:customStyle="1" w:styleId="FooterChar">
    <w:name w:val="Footer Char"/>
    <w:basedOn w:val="DefaultParagraphFont"/>
    <w:link w:val="Footer"/>
    <w:rsid w:val="00961440"/>
    <w:rPr>
      <w:sz w:val="24"/>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556F0-43DE-41B9-9948-452BE683A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3083</Words>
  <Characters>21407</Characters>
  <Application>Microsoft Office Word</Application>
  <DocSecurity>0</DocSecurity>
  <Lines>178</Lines>
  <Paragraphs>48</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24442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HODNE Catherine</dc:creator>
  <cp:keywords/>
  <cp:lastModifiedBy>Karina Pesa</cp:lastModifiedBy>
  <cp:revision>3</cp:revision>
  <cp:lastPrinted>2004-11-19T15:42:00Z</cp:lastPrinted>
  <dcterms:created xsi:type="dcterms:W3CDTF">2024-04-11T13:05:00Z</dcterms:created>
  <dcterms:modified xsi:type="dcterms:W3CDTF">2024-10-30T17:13:00Z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A9-0097/2024</vt:lpwstr>
  </property>
  <property fmtid="{D5CDD505-2E9C-101B-9397-08002B2CF9AE}" pid="4" name="&lt;Type&gt;">
    <vt:lpwstr>RR</vt:lpwstr>
  </property>
</Properties>
</file>