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1231" w:rsidTr="0010095E">
        <w:trPr>
          <w:trHeight w:hRule="exact" w:val="1418"/>
        </w:trPr>
        <w:tc>
          <w:tcPr>
            <w:tcW w:w="6804" w:type="dxa"/>
            <w:shd w:val="clear" w:color="auto" w:fill="auto"/>
            <w:vAlign w:val="center"/>
          </w:tcPr>
          <w:p w:rsidR="00751A4A" w:rsidRPr="008C1231" w:rsidRDefault="00923FF1" w:rsidP="0010095E">
            <w:pPr>
              <w:pStyle w:val="EPName"/>
            </w:pPr>
            <w:r w:rsidRPr="008C1231">
              <w:t>Европейски</w:t>
            </w:r>
            <w:r w:rsidR="0083046B" w:rsidRPr="008C1231">
              <w:t xml:space="preserve"> парламент</w:t>
            </w:r>
          </w:p>
          <w:p w:rsidR="00751A4A" w:rsidRPr="008C1231" w:rsidRDefault="00923FF1" w:rsidP="00756632">
            <w:pPr>
              <w:pStyle w:val="EPTerm"/>
              <w:rPr>
                <w:rStyle w:val="HideTWBExt"/>
                <w:noProof w:val="0"/>
                <w:vanish w:val="0"/>
                <w:color w:val="auto"/>
              </w:rPr>
            </w:pPr>
            <w:r>
              <w:t>2019 – </w:t>
            </w:r>
            <w:r w:rsidR="00817416" w:rsidRPr="008C1231">
              <w:t>2024</w:t>
            </w:r>
          </w:p>
        </w:tc>
        <w:tc>
          <w:tcPr>
            <w:tcW w:w="2268" w:type="dxa"/>
            <w:shd w:val="clear" w:color="auto" w:fill="auto"/>
          </w:tcPr>
          <w:p w:rsidR="00751A4A" w:rsidRPr="008C1231" w:rsidRDefault="00187494" w:rsidP="0010095E">
            <w:pPr>
              <w:pStyle w:val="EPLogo"/>
            </w:pPr>
            <w:r w:rsidRPr="008C123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C1231" w:rsidRDefault="00D058B8" w:rsidP="004C5D52">
      <w:pPr>
        <w:pStyle w:val="LineTop"/>
      </w:pPr>
    </w:p>
    <w:p w:rsidR="00680577" w:rsidRPr="008C1231" w:rsidRDefault="0083046B" w:rsidP="00680577">
      <w:pPr>
        <w:pStyle w:val="EPBodyTA1"/>
      </w:pPr>
      <w:r w:rsidRPr="008C1231">
        <w:t>ПРИЕТИ ТЕКСТОВЕ</w:t>
      </w:r>
    </w:p>
    <w:p w:rsidR="00D058B8" w:rsidRPr="008C1231" w:rsidRDefault="00D058B8" w:rsidP="00D058B8">
      <w:pPr>
        <w:pStyle w:val="LineBottom"/>
      </w:pPr>
    </w:p>
    <w:p w:rsidR="0083046B" w:rsidRPr="008C1231" w:rsidRDefault="0083046B" w:rsidP="0083046B">
      <w:pPr>
        <w:pStyle w:val="ATHeading1"/>
      </w:pPr>
      <w:bookmarkStart w:id="0" w:name="TANumber"/>
      <w:r w:rsidRPr="008C1231">
        <w:t>P9_TA(2024)0</w:t>
      </w:r>
      <w:r w:rsidR="008B016A">
        <w:rPr>
          <w:lang w:val="en-GB"/>
        </w:rPr>
        <w:t>266</w:t>
      </w:r>
      <w:bookmarkEnd w:id="0"/>
    </w:p>
    <w:p w:rsidR="0083046B" w:rsidRPr="008C1231" w:rsidRDefault="0083046B" w:rsidP="0083046B">
      <w:pPr>
        <w:pStyle w:val="ATHeading2"/>
      </w:pPr>
      <w:bookmarkStart w:id="1" w:name="title"/>
      <w:r w:rsidRPr="008C1231">
        <w:t>Освобождаване от отговорност във връзка с изпълнението на бюджета за 2022 г.: Агенци</w:t>
      </w:r>
      <w:bookmarkStart w:id="2" w:name="_GoBack"/>
      <w:bookmarkEnd w:id="2"/>
      <w:r w:rsidRPr="008C1231">
        <w:t>я за подкрепа на ОЕРЕС (Служба на ОЕРЕС)</w:t>
      </w:r>
      <w:bookmarkEnd w:id="1"/>
    </w:p>
    <w:p w:rsidR="0083046B" w:rsidRPr="008C1231" w:rsidRDefault="0083046B" w:rsidP="0083046B">
      <w:pPr>
        <w:rPr>
          <w:i/>
          <w:vanish/>
        </w:rPr>
      </w:pPr>
      <w:r w:rsidRPr="008C1231">
        <w:rPr>
          <w:i/>
        </w:rPr>
        <w:fldChar w:fldCharType="begin"/>
      </w:r>
      <w:r w:rsidRPr="008C1231">
        <w:rPr>
          <w:i/>
        </w:rPr>
        <w:instrText xml:space="preserve"> TC"(</w:instrText>
      </w:r>
      <w:bookmarkStart w:id="3" w:name="DocNumber"/>
      <w:r w:rsidRPr="008C1231">
        <w:rPr>
          <w:i/>
        </w:rPr>
        <w:instrText>A9-0123/2024</w:instrText>
      </w:r>
      <w:bookmarkEnd w:id="3"/>
      <w:r w:rsidRPr="008C1231">
        <w:rPr>
          <w:i/>
        </w:rPr>
        <w:instrText xml:space="preserve"> - Докладчик: Петри Сарвама)"\l3 \n&gt; \* MERGEFORMAT </w:instrText>
      </w:r>
      <w:r w:rsidRPr="008C1231">
        <w:rPr>
          <w:i/>
        </w:rPr>
        <w:fldChar w:fldCharType="end"/>
      </w:r>
    </w:p>
    <w:p w:rsidR="0083046B" w:rsidRPr="008C1231" w:rsidRDefault="0083046B" w:rsidP="0083046B">
      <w:pPr>
        <w:rPr>
          <w:vanish/>
        </w:rPr>
      </w:pPr>
      <w:bookmarkStart w:id="4" w:name="Commission"/>
      <w:r w:rsidRPr="008C1231">
        <w:rPr>
          <w:vanish/>
        </w:rPr>
        <w:t>Комисия по бюджетен контрол</w:t>
      </w:r>
      <w:bookmarkEnd w:id="4"/>
    </w:p>
    <w:p w:rsidR="0083046B" w:rsidRPr="008C1231" w:rsidRDefault="0083046B" w:rsidP="0083046B">
      <w:pPr>
        <w:rPr>
          <w:vanish/>
        </w:rPr>
      </w:pPr>
      <w:bookmarkStart w:id="5" w:name="PE"/>
      <w:r w:rsidRPr="008C1231">
        <w:rPr>
          <w:vanish/>
        </w:rPr>
        <w:t>PE753.507</w:t>
      </w:r>
      <w:bookmarkEnd w:id="5"/>
    </w:p>
    <w:p w:rsidR="0083046B" w:rsidRPr="008C1231" w:rsidRDefault="00923FF1" w:rsidP="00923FF1">
      <w:pPr>
        <w:pStyle w:val="ATHeading3"/>
      </w:pPr>
      <w:bookmarkStart w:id="6" w:name="Sujet"/>
      <w:r>
        <w:t xml:space="preserve">1. </w:t>
      </w:r>
      <w:r w:rsidR="0083046B" w:rsidRPr="008C1231">
        <w:t xml:space="preserve">Решение на Европейския парламент от </w:t>
      </w:r>
      <w:r>
        <w:t>11 април</w:t>
      </w:r>
      <w:r w:rsidRPr="008C1231">
        <w:t xml:space="preserve"> </w:t>
      </w:r>
      <w:r w:rsidR="0083046B" w:rsidRPr="008C1231">
        <w:t>2024 г. относно освобождаването от отговорност във връзка с изпълнението на бюджета на Агенцията за подкрепа на ОЕРЕС (Службата на ОЕРЕС) за финансовата 2022 година</w:t>
      </w:r>
      <w:bookmarkEnd w:id="6"/>
      <w:r w:rsidR="0083046B" w:rsidRPr="008C1231">
        <w:t xml:space="preserve"> </w:t>
      </w:r>
      <w:bookmarkStart w:id="7" w:name="References"/>
      <w:r w:rsidR="0083046B" w:rsidRPr="008C1231">
        <w:t>(2023/2141(DEC))</w:t>
      </w:r>
      <w:bookmarkEnd w:id="7"/>
    </w:p>
    <w:p w:rsidR="00F145FE" w:rsidRPr="008C1231" w:rsidRDefault="00F145FE" w:rsidP="00F145FE">
      <w:pPr>
        <w:pStyle w:val="EPComma"/>
        <w:widowControl/>
      </w:pPr>
      <w:bookmarkStart w:id="8" w:name="TextBodyBegin"/>
      <w:bookmarkEnd w:id="8"/>
      <w:r w:rsidRPr="008C1231">
        <w:rPr>
          <w:i/>
        </w:rPr>
        <w:t>Европейският парламент</w:t>
      </w:r>
      <w:r w:rsidRPr="008C1231">
        <w:t>,</w:t>
      </w:r>
    </w:p>
    <w:p w:rsidR="00F145FE" w:rsidRPr="008C1231" w:rsidRDefault="00923FF1" w:rsidP="00F145FE">
      <w:pPr>
        <w:pStyle w:val="NormalHanging12a"/>
        <w:widowControl/>
      </w:pPr>
      <w:r>
        <w:t>–</w:t>
      </w:r>
      <w:r>
        <w:tab/>
      </w:r>
      <w:r w:rsidR="00F145FE" w:rsidRPr="008C1231">
        <w:t>като взе предвид окончателните годишни отчети на Агенцията за подкрепа на ОЕРЕС (Служба на ОЕРЕС) за финансовата 2022 година,</w:t>
      </w:r>
    </w:p>
    <w:p w:rsidR="00F145FE" w:rsidRPr="008C1231" w:rsidRDefault="00923FF1" w:rsidP="00F145FE">
      <w:pPr>
        <w:pStyle w:val="NormalHanging12a"/>
        <w:widowControl/>
      </w:pPr>
      <w:r>
        <w:t>–</w:t>
      </w:r>
      <w:r>
        <w:tab/>
      </w:r>
      <w:r w:rsidR="00F145FE" w:rsidRPr="008C1231">
        <w:t>като взе предвид годишния доклад на Сметната палата относно агенциите на ЕС за финансовата 2022 година, придружен от отговорите на агенциите</w:t>
      </w:r>
      <w:r w:rsidR="00F145FE" w:rsidRPr="008C1231">
        <w:rPr>
          <w:rStyle w:val="FootnoteReference"/>
        </w:rPr>
        <w:footnoteReference w:id="1"/>
      </w:r>
      <w:r w:rsidR="00F145FE" w:rsidRPr="008C1231">
        <w:t>,</w:t>
      </w:r>
    </w:p>
    <w:p w:rsidR="00F145FE" w:rsidRPr="008C1231" w:rsidRDefault="00923FF1" w:rsidP="00F145FE">
      <w:pPr>
        <w:pStyle w:val="NormalHanging12a"/>
        <w:widowControl/>
      </w:pPr>
      <w:r>
        <w:t>–</w:t>
      </w:r>
      <w:r>
        <w:tab/>
      </w:r>
      <w:r w:rsidR="00F145FE" w:rsidRPr="008C1231">
        <w:t>като взе предвид декларацията за достоверност</w:t>
      </w:r>
      <w:r w:rsidR="00F145FE" w:rsidRPr="008C1231">
        <w:rPr>
          <w:rStyle w:val="FootnoteReference"/>
        </w:rPr>
        <w:footnoteReference w:id="2"/>
      </w:r>
      <w:r w:rsidR="00F145FE" w:rsidRPr="008C123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F145FE" w:rsidRPr="008C1231" w:rsidRDefault="00923FF1" w:rsidP="00F145FE">
      <w:pPr>
        <w:pStyle w:val="NormalHanging12a"/>
        <w:widowControl/>
      </w:pPr>
      <w:r>
        <w:t>–</w:t>
      </w:r>
      <w:r>
        <w:tab/>
      </w:r>
      <w:r w:rsidR="00F145FE" w:rsidRPr="008C1231">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98186A" w:rsidRPr="0098186A">
        <w:t>06180</w:t>
      </w:r>
      <w:r w:rsidR="00F145FE" w:rsidRPr="008C1231">
        <w:t>/2024 – C9</w:t>
      </w:r>
      <w:r w:rsidR="00F145FE" w:rsidRPr="008C1231">
        <w:noBreakHyphen/>
      </w:r>
      <w:r w:rsidR="0098186A" w:rsidRPr="0098186A">
        <w:t>0079</w:t>
      </w:r>
      <w:r w:rsidR="00F145FE" w:rsidRPr="008C1231">
        <w:t>/2024),</w:t>
      </w:r>
    </w:p>
    <w:p w:rsidR="00F145FE" w:rsidRPr="008C1231" w:rsidRDefault="00923FF1" w:rsidP="00F145FE">
      <w:pPr>
        <w:pStyle w:val="NormalHanging12a"/>
        <w:widowControl/>
      </w:pPr>
      <w:r>
        <w:t>–</w:t>
      </w:r>
      <w:r>
        <w:tab/>
      </w:r>
      <w:r w:rsidR="00F145FE" w:rsidRPr="008C1231">
        <w:t>като взе предвид член 319 от Договора за функционирането на Европейския съюз,</w:t>
      </w:r>
    </w:p>
    <w:p w:rsidR="00F145FE" w:rsidRPr="008C1231" w:rsidRDefault="00923FF1" w:rsidP="00F145FE">
      <w:pPr>
        <w:pStyle w:val="NormalHanging12a"/>
        <w:widowControl/>
      </w:pPr>
      <w:r>
        <w:t>–</w:t>
      </w:r>
      <w:r>
        <w:tab/>
      </w:r>
      <w:r w:rsidR="00F145FE" w:rsidRPr="008C1231">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w:t>
      </w:r>
      <w:r w:rsidR="00F145FE" w:rsidRPr="008C1231">
        <w:lastRenderedPageBreak/>
        <w:t>и за отмяна на Регламент (ЕС, Евратом) № 966/2012</w:t>
      </w:r>
      <w:r w:rsidR="00F145FE" w:rsidRPr="008C1231">
        <w:rPr>
          <w:rStyle w:val="FootnoteReference"/>
        </w:rPr>
        <w:footnoteReference w:id="3"/>
      </w:r>
      <w:r w:rsidR="00F145FE" w:rsidRPr="008C1231">
        <w:t>, и по-специално член 70 от него,</w:t>
      </w:r>
    </w:p>
    <w:p w:rsidR="00F145FE" w:rsidRPr="008C1231" w:rsidRDefault="00923FF1" w:rsidP="00F145FE">
      <w:pPr>
        <w:pStyle w:val="NormalHanging12a"/>
        <w:widowControl/>
      </w:pPr>
      <w:r>
        <w:t>–</w:t>
      </w:r>
      <w:r>
        <w:tab/>
      </w:r>
      <w:r w:rsidR="00F145FE" w:rsidRPr="008C1231">
        <w:t>като взе предвид Регламент (ЕС) 2018/1971 на Европейския парламент и на Съвета от 11 декември 2018 г. за създаване на Орган на европейските регулатори в областта на електронните съобщения (ОЕРЕС) и на Агенция за подкрепа на ОЕРЕС (Службата на ОЕРЕС), за изменение на Регламент (ЕС) 2015/2120 и за отмяна на Регламент (ЕО) № 1211/2009</w:t>
      </w:r>
      <w:r w:rsidR="00F145FE" w:rsidRPr="008C1231">
        <w:rPr>
          <w:rStyle w:val="FootnoteReference"/>
        </w:rPr>
        <w:footnoteReference w:id="4"/>
      </w:r>
      <w:r w:rsidR="00F145FE" w:rsidRPr="008C1231">
        <w:t>, и по-специално член 28 от него,</w:t>
      </w:r>
    </w:p>
    <w:p w:rsidR="00F145FE" w:rsidRPr="008C1231" w:rsidRDefault="00923FF1" w:rsidP="00F145FE">
      <w:pPr>
        <w:pStyle w:val="NormalHanging12a"/>
        <w:widowControl/>
      </w:pPr>
      <w:r>
        <w:t>–</w:t>
      </w:r>
      <w:r>
        <w:tab/>
      </w:r>
      <w:r w:rsidR="00F145FE" w:rsidRPr="008C1231">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00F145FE" w:rsidRPr="008C1231">
        <w:rPr>
          <w:rStyle w:val="FootnoteReference"/>
        </w:rPr>
        <w:footnoteReference w:id="5"/>
      </w:r>
      <w:r w:rsidR="00F145FE" w:rsidRPr="008C1231">
        <w:t>, и по-специално член 105 от него,</w:t>
      </w:r>
    </w:p>
    <w:p w:rsidR="00F145FE" w:rsidRPr="008C1231" w:rsidRDefault="00923FF1" w:rsidP="00F145FE">
      <w:pPr>
        <w:pStyle w:val="NormalHanging12a"/>
        <w:widowControl/>
      </w:pPr>
      <w:r>
        <w:t>–</w:t>
      </w:r>
      <w:r>
        <w:tab/>
      </w:r>
      <w:r w:rsidR="00F145FE" w:rsidRPr="008C1231">
        <w:t>като взе предвид член 100 и приложение V към своя Правилник за дейността,</w:t>
      </w:r>
    </w:p>
    <w:p w:rsidR="00F145FE" w:rsidRPr="008C1231" w:rsidRDefault="00923FF1" w:rsidP="00F145FE">
      <w:pPr>
        <w:pStyle w:val="NormalHanging12a"/>
        <w:widowControl/>
      </w:pPr>
      <w:r>
        <w:t>–</w:t>
      </w:r>
      <w:r>
        <w:tab/>
      </w:r>
      <w:r w:rsidR="00F145FE" w:rsidRPr="008C1231">
        <w:t>като взе предвид доклада на комисията по бюджетен контрол (A9-0123/2024),</w:t>
      </w:r>
    </w:p>
    <w:p w:rsidR="00F145FE" w:rsidRPr="008C1231" w:rsidRDefault="00F145FE" w:rsidP="00F145FE">
      <w:pPr>
        <w:pStyle w:val="NormalHanging12a"/>
        <w:widowControl/>
      </w:pPr>
      <w:r w:rsidRPr="008C1231">
        <w:t>1.</w:t>
      </w:r>
      <w:r w:rsidRPr="008C1231">
        <w:tab/>
        <w:t>освобождава от отговорност директора на Агенцията за подкрепа на ОЕРЕС (Служба на ОЕРЕС) във връзка с изпълнението на бюджета на Агенцията за финансовата 2022 година;</w:t>
      </w:r>
    </w:p>
    <w:p w:rsidR="00F145FE" w:rsidRPr="008C1231" w:rsidRDefault="00F145FE" w:rsidP="00F145FE">
      <w:pPr>
        <w:pStyle w:val="NormalHanging12a"/>
        <w:widowControl/>
      </w:pPr>
      <w:r w:rsidRPr="008C1231">
        <w:t>2.</w:t>
      </w:r>
      <w:r w:rsidRPr="008C1231">
        <w:tab/>
        <w:t>представя своите забележки в резолюцията по-долу;</w:t>
      </w:r>
    </w:p>
    <w:p w:rsidR="00F145FE" w:rsidRPr="008C1231" w:rsidRDefault="00F145FE" w:rsidP="00F145FE">
      <w:pPr>
        <w:pStyle w:val="NormalHanging12a"/>
        <w:widowControl/>
      </w:pPr>
      <w:r w:rsidRPr="008C1231">
        <w:t>3.</w:t>
      </w:r>
      <w:r w:rsidRPr="008C1231">
        <w:tab/>
        <w:t xml:space="preserve">възлага на своя председател да предаде настоящото решение, както и резолюцията, която е неразделна част от него, на директора на Агенцията за подкрепа на ОЕРЕС (Службата на ОЕРЕС), на Съвета, Комисията и Сметната палата и да осигури публикуването им в </w:t>
      </w:r>
      <w:r w:rsidRPr="008C1231">
        <w:rPr>
          <w:i/>
        </w:rPr>
        <w:t>Официален вестник на Европейския съюз</w:t>
      </w:r>
      <w:r w:rsidRPr="008C1231">
        <w:t xml:space="preserve"> (серия L).</w:t>
      </w:r>
    </w:p>
    <w:p w:rsidR="00F145FE" w:rsidRPr="008C1231" w:rsidRDefault="00F145FE" w:rsidP="00F145FE">
      <w:pPr>
        <w:widowControl/>
      </w:pPr>
    </w:p>
    <w:p w:rsidR="00F145FE" w:rsidRPr="008C1231" w:rsidRDefault="00F145FE" w:rsidP="00F145FE">
      <w:pPr>
        <w:pStyle w:val="PageHeading"/>
        <w:widowControl/>
        <w:sectPr w:rsidR="00F145FE" w:rsidRPr="008C1231" w:rsidSect="008C1231">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145FE" w:rsidRPr="008C1231" w:rsidRDefault="00F145FE" w:rsidP="00923FF1">
      <w:pPr>
        <w:pStyle w:val="ATHeading3"/>
      </w:pPr>
      <w:bookmarkStart w:id="9" w:name="_Toc161930526"/>
      <w:r w:rsidRPr="008C1231">
        <w:lastRenderedPageBreak/>
        <w:t xml:space="preserve">2. </w:t>
      </w:r>
      <w:bookmarkEnd w:id="9"/>
      <w:r w:rsidR="00923FF1">
        <w:t xml:space="preserve">Решение на Европейския парламент от 11 април 2024 г. </w:t>
      </w:r>
      <w:r w:rsidRPr="008C1231">
        <w:t>относно приключването на сметките на Агенцията за подкрепа на ОЕРЕС (Службата на ОЕРЕС) за финансовата 2022 година</w:t>
      </w:r>
      <w:r w:rsidR="00923FF1">
        <w:t xml:space="preserve"> (2023</w:t>
      </w:r>
      <w:r w:rsidRPr="008C1231">
        <w:t>/2141(DEC))</w:t>
      </w:r>
    </w:p>
    <w:p w:rsidR="00F145FE" w:rsidRPr="008C1231" w:rsidRDefault="00F145FE" w:rsidP="00F145FE">
      <w:pPr>
        <w:pStyle w:val="EPComma"/>
        <w:widowControl/>
      </w:pPr>
      <w:r w:rsidRPr="008C1231">
        <w:rPr>
          <w:i/>
        </w:rPr>
        <w:t>Европейският парламент</w:t>
      </w:r>
      <w:r w:rsidRPr="008C1231">
        <w:t>,</w:t>
      </w:r>
    </w:p>
    <w:p w:rsidR="00F145FE" w:rsidRPr="008C1231" w:rsidRDefault="00923FF1" w:rsidP="00F145FE">
      <w:pPr>
        <w:pStyle w:val="NormalHanging12a"/>
        <w:widowControl/>
      </w:pPr>
      <w:r>
        <w:t>–</w:t>
      </w:r>
      <w:r>
        <w:tab/>
      </w:r>
      <w:r w:rsidR="00F145FE" w:rsidRPr="008C1231">
        <w:t>като взе предвид окончателните годишни отчети на Агенцията за подкрепа на ОЕРЕС (Службата на ОЕРЕС) за финансовата 2022 година,</w:t>
      </w:r>
    </w:p>
    <w:p w:rsidR="00F145FE" w:rsidRPr="008C1231" w:rsidRDefault="00923FF1" w:rsidP="00F145FE">
      <w:pPr>
        <w:pStyle w:val="NormalHanging12a"/>
        <w:widowControl/>
      </w:pPr>
      <w:r>
        <w:t>–</w:t>
      </w:r>
      <w:r>
        <w:tab/>
      </w:r>
      <w:r w:rsidR="00F145FE" w:rsidRPr="008C1231">
        <w:t>като взе предвид годишния доклад на Сметната палата относно агенциите на ЕС за финансовата 2022 година, придружен от отговорите на агенциите</w:t>
      </w:r>
      <w:r w:rsidR="00F145FE" w:rsidRPr="008C1231">
        <w:rPr>
          <w:rStyle w:val="FootnoteReference"/>
        </w:rPr>
        <w:footnoteReference w:id="6"/>
      </w:r>
      <w:r w:rsidR="00F145FE" w:rsidRPr="008C1231">
        <w:t>,</w:t>
      </w:r>
    </w:p>
    <w:p w:rsidR="00F145FE" w:rsidRPr="008C1231" w:rsidRDefault="00923FF1" w:rsidP="00F145FE">
      <w:pPr>
        <w:pStyle w:val="NormalHanging12a"/>
        <w:widowControl/>
      </w:pPr>
      <w:r>
        <w:t>–</w:t>
      </w:r>
      <w:r>
        <w:tab/>
      </w:r>
      <w:r w:rsidR="00F145FE" w:rsidRPr="008C1231">
        <w:t>като взе предвид декларацията за достоверност</w:t>
      </w:r>
      <w:r w:rsidR="00F145FE" w:rsidRPr="008C1231">
        <w:rPr>
          <w:rStyle w:val="FootnoteReference"/>
        </w:rPr>
        <w:footnoteReference w:id="7"/>
      </w:r>
      <w:r w:rsidR="00F145FE" w:rsidRPr="008C123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F145FE" w:rsidRPr="008C1231" w:rsidRDefault="00923FF1" w:rsidP="00F145FE">
      <w:pPr>
        <w:pStyle w:val="NormalHanging12a"/>
        <w:widowControl/>
      </w:pPr>
      <w:r>
        <w:t>–</w:t>
      </w:r>
      <w:r>
        <w:tab/>
      </w:r>
      <w:r w:rsidR="00F145FE" w:rsidRPr="008C1231">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98186A" w:rsidRPr="0098186A">
        <w:t>06180</w:t>
      </w:r>
      <w:r w:rsidR="00F145FE" w:rsidRPr="008C1231">
        <w:t>/2024 – C9</w:t>
      </w:r>
      <w:r w:rsidR="00F145FE" w:rsidRPr="008C1231">
        <w:noBreakHyphen/>
      </w:r>
      <w:r w:rsidR="0098186A" w:rsidRPr="0098186A">
        <w:t>0079</w:t>
      </w:r>
      <w:r w:rsidR="00F145FE" w:rsidRPr="008C1231">
        <w:t>/2024),</w:t>
      </w:r>
    </w:p>
    <w:p w:rsidR="00F145FE" w:rsidRPr="008C1231" w:rsidRDefault="00923FF1" w:rsidP="00F145FE">
      <w:pPr>
        <w:pStyle w:val="NormalHanging12a"/>
        <w:widowControl/>
      </w:pPr>
      <w:r>
        <w:t>–</w:t>
      </w:r>
      <w:r>
        <w:tab/>
      </w:r>
      <w:r w:rsidR="00F145FE" w:rsidRPr="008C1231">
        <w:t>като взе предвид член 319 от Договора за функционирането на Европейския съюз,</w:t>
      </w:r>
    </w:p>
    <w:p w:rsidR="00F145FE" w:rsidRPr="008C1231" w:rsidRDefault="00923FF1" w:rsidP="00F145FE">
      <w:pPr>
        <w:pStyle w:val="NormalHanging12a"/>
        <w:widowControl/>
      </w:pPr>
      <w:r>
        <w:t>–</w:t>
      </w:r>
      <w:r>
        <w:tab/>
      </w:r>
      <w:r w:rsidR="00F145FE" w:rsidRPr="008C1231">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00F145FE" w:rsidRPr="008C1231">
        <w:rPr>
          <w:rStyle w:val="FootnoteReference"/>
        </w:rPr>
        <w:footnoteReference w:id="8"/>
      </w:r>
      <w:r w:rsidR="00F145FE" w:rsidRPr="008C1231">
        <w:t>, и по-специално член 70 от него,</w:t>
      </w:r>
    </w:p>
    <w:p w:rsidR="00F145FE" w:rsidRPr="008C1231" w:rsidRDefault="00923FF1" w:rsidP="00F145FE">
      <w:pPr>
        <w:pStyle w:val="NormalHanging12a"/>
        <w:widowControl/>
      </w:pPr>
      <w:r>
        <w:t>–</w:t>
      </w:r>
      <w:r>
        <w:tab/>
      </w:r>
      <w:r w:rsidR="00F145FE" w:rsidRPr="008C1231">
        <w:t>като взе предвид Регламент (ЕС) 2018/1971 на Европейския парламент и на Съвета от 11 декември 2018 г. за създаване на Орган на европейските регулатори в областта на електронните съобщения (ОЕРЕС) и на Агенция за подкрепа на ОЕРЕС (Службата на ОЕРЕС), за изменение на Регламент (ЕС) 2015/2120 и за отмяна на Регламент (ЕО) № 1211/2009</w:t>
      </w:r>
      <w:r w:rsidR="00F145FE" w:rsidRPr="008C1231">
        <w:rPr>
          <w:rStyle w:val="FootnoteReference"/>
        </w:rPr>
        <w:footnoteReference w:id="9"/>
      </w:r>
      <w:r w:rsidR="00F145FE" w:rsidRPr="008C1231">
        <w:t>, и по-специално член 28 от него,</w:t>
      </w:r>
    </w:p>
    <w:p w:rsidR="00F145FE" w:rsidRPr="008C1231" w:rsidRDefault="00923FF1" w:rsidP="00F145FE">
      <w:pPr>
        <w:pStyle w:val="NormalHanging12a"/>
        <w:widowControl/>
      </w:pPr>
      <w:r>
        <w:t>–</w:t>
      </w:r>
      <w:r>
        <w:tab/>
      </w:r>
      <w:r w:rsidR="00F145FE" w:rsidRPr="008C1231">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00F145FE" w:rsidRPr="008C1231">
        <w:rPr>
          <w:rStyle w:val="FootnoteReference"/>
        </w:rPr>
        <w:footnoteReference w:id="10"/>
      </w:r>
      <w:r w:rsidR="00F145FE" w:rsidRPr="008C1231">
        <w:t>, и по-специално член 105 от него,</w:t>
      </w:r>
    </w:p>
    <w:p w:rsidR="00F145FE" w:rsidRPr="008C1231" w:rsidRDefault="00923FF1" w:rsidP="00F145FE">
      <w:pPr>
        <w:pStyle w:val="NormalHanging12a"/>
        <w:widowControl/>
      </w:pPr>
      <w:r>
        <w:t>–</w:t>
      </w:r>
      <w:r>
        <w:tab/>
      </w:r>
      <w:r w:rsidR="00F145FE" w:rsidRPr="008C1231">
        <w:t>като взе предвид член 100 и приложение V към своя Правилник за дейността,</w:t>
      </w:r>
    </w:p>
    <w:p w:rsidR="00F145FE" w:rsidRPr="008C1231" w:rsidRDefault="00923FF1" w:rsidP="00F145FE">
      <w:pPr>
        <w:pStyle w:val="NormalHanging12a"/>
        <w:widowControl/>
      </w:pPr>
      <w:r>
        <w:lastRenderedPageBreak/>
        <w:t>–</w:t>
      </w:r>
      <w:r>
        <w:tab/>
      </w:r>
      <w:r w:rsidR="00F145FE" w:rsidRPr="008C1231">
        <w:t>като взе предвид доклада на комисията по бюджетен контрол (A9-0123/2024),</w:t>
      </w:r>
    </w:p>
    <w:p w:rsidR="00F145FE" w:rsidRPr="008C1231" w:rsidRDefault="00F145FE" w:rsidP="00F145FE">
      <w:pPr>
        <w:pStyle w:val="NormalHanging12a"/>
        <w:widowControl/>
      </w:pPr>
      <w:r w:rsidRPr="008C1231">
        <w:t>1.</w:t>
      </w:r>
      <w:r w:rsidRPr="008C1231">
        <w:tab/>
        <w:t>одобрява приключването на сметките на Агенцията за подкрепа на ОЕРЕС (Служба на ОЕРЕС) за финансовата 2022 година;</w:t>
      </w:r>
    </w:p>
    <w:p w:rsidR="00F145FE" w:rsidRPr="008C1231" w:rsidRDefault="00F145FE" w:rsidP="00F145FE">
      <w:pPr>
        <w:pStyle w:val="NormalHanging12a"/>
        <w:widowControl/>
      </w:pPr>
      <w:r w:rsidRPr="008C1231">
        <w:t>2.</w:t>
      </w:r>
      <w:r w:rsidRPr="008C1231">
        <w:tab/>
        <w:t>възлага на своя председател да предаде настоящото решение на директора на Агенцията за подкрепа на ОЕРЕС (Службата на ОЕРЕС), на Съвета, Комисията и Сметната палата и да осигури публикуването му в </w:t>
      </w:r>
      <w:r w:rsidRPr="008C1231">
        <w:rPr>
          <w:i/>
        </w:rPr>
        <w:t>Официален вестник на Европейския съюз</w:t>
      </w:r>
      <w:r w:rsidRPr="008C1231">
        <w:t xml:space="preserve"> (серия L).</w:t>
      </w:r>
    </w:p>
    <w:p w:rsidR="00F145FE" w:rsidRPr="008C1231" w:rsidRDefault="00F145FE" w:rsidP="00F145FE">
      <w:pPr>
        <w:widowControl/>
      </w:pPr>
    </w:p>
    <w:p w:rsidR="00F145FE" w:rsidRPr="008C1231" w:rsidRDefault="00F145FE" w:rsidP="00F145FE">
      <w:pPr>
        <w:pStyle w:val="PageHeading"/>
        <w:widowControl/>
        <w:sectPr w:rsidR="00F145FE" w:rsidRPr="008C1231" w:rsidSect="008C1231">
          <w:footnotePr>
            <w:numRestart w:val="eachPage"/>
          </w:footnotePr>
          <w:endnotePr>
            <w:numFmt w:val="decimal"/>
          </w:endnotePr>
          <w:pgSz w:w="11906" w:h="16838" w:code="9"/>
          <w:pgMar w:top="1134" w:right="1418" w:bottom="1418" w:left="1418" w:header="567" w:footer="567" w:gutter="0"/>
          <w:cols w:space="720"/>
          <w:noEndnote/>
          <w:docGrid w:linePitch="326"/>
        </w:sectPr>
      </w:pPr>
    </w:p>
    <w:p w:rsidR="00F145FE" w:rsidRPr="008C1231" w:rsidRDefault="00F145FE" w:rsidP="00923FF1">
      <w:pPr>
        <w:pStyle w:val="ATHeading3"/>
      </w:pPr>
      <w:bookmarkStart w:id="10" w:name="_Toc161930527"/>
      <w:r w:rsidRPr="008C1231">
        <w:lastRenderedPageBreak/>
        <w:t xml:space="preserve">3. </w:t>
      </w:r>
      <w:bookmarkEnd w:id="10"/>
      <w:r w:rsidR="00923FF1">
        <w:t>Резолюция на Европейския парламент от 11 април 2024 г., съдържаща</w:t>
      </w:r>
      <w:r w:rsidRPr="008C1231">
        <w:t xml:space="preserve"> забележките, които са неразделна част от решението за освобождаване от отговорност във връзка с изпълнението на бюджета на Агенцията за подкрепа на ОЕРЕС (Службата на ОЕРЕС) за финансовата 2022 година</w:t>
      </w:r>
      <w:r w:rsidR="00923FF1">
        <w:t xml:space="preserve"> (2023</w:t>
      </w:r>
      <w:r w:rsidRPr="008C1231">
        <w:t>/2141(DEC))</w:t>
      </w:r>
    </w:p>
    <w:p w:rsidR="00F145FE" w:rsidRPr="008C1231" w:rsidRDefault="00F145FE" w:rsidP="00F145FE">
      <w:pPr>
        <w:pStyle w:val="EPComma"/>
        <w:widowControl/>
      </w:pPr>
      <w:r w:rsidRPr="008C1231">
        <w:rPr>
          <w:i/>
        </w:rPr>
        <w:t>Европейският парламент</w:t>
      </w:r>
      <w:r w:rsidRPr="008C1231">
        <w:t>,</w:t>
      </w:r>
    </w:p>
    <w:p w:rsidR="00F145FE" w:rsidRPr="008C1231" w:rsidRDefault="00923FF1" w:rsidP="00F145FE">
      <w:pPr>
        <w:pStyle w:val="NormalHanging12a"/>
        <w:widowControl/>
      </w:pPr>
      <w:r>
        <w:t>–</w:t>
      </w:r>
      <w:r>
        <w:tab/>
      </w:r>
      <w:r w:rsidR="00F145FE" w:rsidRPr="008C1231">
        <w:t>като взе предвид своето решение за освобождаване от отговорност във връзка с изпълнението на бюджета на Агенцията за подкрепа на ОЕРЕС („Агенцията“) за финансовата 2022 година,</w:t>
      </w:r>
    </w:p>
    <w:p w:rsidR="00F145FE" w:rsidRPr="008C1231" w:rsidRDefault="00923FF1" w:rsidP="00F145FE">
      <w:pPr>
        <w:pStyle w:val="NormalHanging12a"/>
        <w:widowControl/>
      </w:pPr>
      <w:r>
        <w:t>–</w:t>
      </w:r>
      <w:r>
        <w:tab/>
      </w:r>
      <w:r w:rsidR="00F145FE" w:rsidRPr="008C1231">
        <w:t>като взе предвид член 100 и приложение V към своя Правилник за дейността,</w:t>
      </w:r>
    </w:p>
    <w:p w:rsidR="00F145FE" w:rsidRPr="008C1231" w:rsidRDefault="00923FF1" w:rsidP="00F145FE">
      <w:pPr>
        <w:pStyle w:val="NormalHanging12a"/>
        <w:widowControl/>
      </w:pPr>
      <w:r>
        <w:t>–</w:t>
      </w:r>
      <w:r>
        <w:tab/>
      </w:r>
      <w:r w:rsidR="00F145FE" w:rsidRPr="008C1231">
        <w:t>като взе предвид доклада на комисията по бюджетен контрол (A9-0123/2024),</w:t>
      </w:r>
    </w:p>
    <w:p w:rsidR="00F145FE" w:rsidRPr="008C1231" w:rsidRDefault="00F145FE" w:rsidP="00F145FE">
      <w:pPr>
        <w:pStyle w:val="NormalHanging12a"/>
        <w:widowControl/>
        <w:rPr>
          <w:szCs w:val="24"/>
        </w:rPr>
      </w:pPr>
      <w:r w:rsidRPr="008C1231">
        <w:t>А.</w:t>
      </w:r>
      <w:r w:rsidRPr="008C1231">
        <w:tab/>
        <w:t>като има предвид, че според отчета за приходите и разходите</w:t>
      </w:r>
      <w:r w:rsidRPr="008C1231">
        <w:rPr>
          <w:rFonts w:eastAsiaTheme="minorHAnsi"/>
          <w:szCs w:val="24"/>
          <w:vertAlign w:val="superscript"/>
          <w:lang w:eastAsia="en-US"/>
        </w:rPr>
        <w:footnoteReference w:id="11"/>
      </w:r>
      <w:r w:rsidRPr="008C1231">
        <w:t xml:space="preserve"> на Агенцията нейният окончателен приет бюджет за финансовата 2022 година възлиза на 7 428 456 EUR, което представлява увеличение с 1,19% спрямо 2021 г.; като има предвид, че бюджетът на Агенцията се осигурява основно от бюджета на Съюза;</w:t>
      </w:r>
    </w:p>
    <w:p w:rsidR="00F145FE" w:rsidRPr="008C1231" w:rsidRDefault="00F145FE" w:rsidP="00F145FE">
      <w:pPr>
        <w:pStyle w:val="NormalHanging12a"/>
        <w:widowControl/>
        <w:rPr>
          <w:szCs w:val="24"/>
        </w:rPr>
      </w:pPr>
      <w:r w:rsidRPr="008C1231">
        <w:t>Б.</w:t>
      </w:r>
      <w:r w:rsidRPr="008C1231">
        <w:tab/>
        <w:t>като има предвид, че Сметната палата („Палатата“), в своя доклад относно годишните отчети на Агенцията за финансовата 2022 година („доклада на Палатата“), заявява, че е получила достатъчна увереност, че годишните отчети на Агенцията са надеждни и че свързаните с тях операции са законосъобразни и редовни;</w:t>
      </w:r>
    </w:p>
    <w:p w:rsidR="00F145FE" w:rsidRPr="008C1231" w:rsidRDefault="00F145FE" w:rsidP="00F145FE">
      <w:pPr>
        <w:pStyle w:val="NormalHanging12a"/>
        <w:widowControl/>
        <w:rPr>
          <w:szCs w:val="24"/>
        </w:rPr>
      </w:pPr>
      <w:r w:rsidRPr="008C1231">
        <w:t>В.</w:t>
      </w:r>
      <w:r w:rsidRPr="008C1231">
        <w:tab/>
        <w:t>като има предвид, че по отношение на сектора на обществените поръчки на Агенцията за 2022 г. не са докладвани проблеми, изискващи предприемането на корективни действия, нито има текущи или неизпълнени корективни действия от одити и оценки от предходни години;</w:t>
      </w:r>
    </w:p>
    <w:p w:rsidR="00F145FE" w:rsidRPr="008C1231" w:rsidRDefault="00F145FE" w:rsidP="00F145FE">
      <w:pPr>
        <w:pStyle w:val="NormalHanging12a"/>
        <w:widowControl/>
        <w:rPr>
          <w:szCs w:val="24"/>
        </w:rPr>
      </w:pPr>
      <w:r w:rsidRPr="008C1231">
        <w:t>Г.</w:t>
      </w:r>
      <w:r w:rsidRPr="008C1231">
        <w:tab/>
        <w:t>като има предвид, че по отношение на системите за вътрешен контрол на Агенцията за 2022 г. не са докладвани проблеми, изискващи предприемането на корективни действия, нито има текущи или неизпълнени корективни действия от одити и оценки от предходни години;</w:t>
      </w:r>
    </w:p>
    <w:p w:rsidR="00F145FE" w:rsidRPr="008C1231" w:rsidRDefault="00F145FE" w:rsidP="00F145FE">
      <w:pPr>
        <w:pStyle w:val="NormalHanging12a"/>
        <w:widowControl/>
        <w:tabs>
          <w:tab w:val="left" w:pos="1718"/>
        </w:tabs>
        <w:rPr>
          <w:b/>
          <w:i/>
          <w:szCs w:val="24"/>
        </w:rPr>
      </w:pPr>
      <w:r w:rsidRPr="008C1231">
        <w:rPr>
          <w:b/>
          <w:i/>
        </w:rPr>
        <w:t>Бюджетно и финансово управление</w:t>
      </w:r>
    </w:p>
    <w:p w:rsidR="00F145FE" w:rsidRPr="008C1231" w:rsidRDefault="00F145FE" w:rsidP="00F145FE">
      <w:pPr>
        <w:widowControl/>
        <w:spacing w:after="240"/>
        <w:ind w:left="567" w:hanging="567"/>
        <w:rPr>
          <w:sz w:val="22"/>
          <w:szCs w:val="22"/>
        </w:rPr>
      </w:pPr>
      <w:r w:rsidRPr="008C1231">
        <w:t>1.</w:t>
      </w:r>
      <w:r w:rsidRPr="008C1231">
        <w:tab/>
        <w:t>отбелязва със задоволство, че усилията за контрол на бюджета през финансовата 2022 година са довели до степен на изпълнение на бюджета от 99,99% за бюджетните кредити за поети задължения в окончателния приет бюджет за годината, което представлява увеличение с 0,02% спрямо 2021 г.; приветства факта, че степента на изпълнение на бюджета е в рамките на прага от над 95%, определен от управителния съвет;</w:t>
      </w:r>
      <w:r w:rsidRPr="008C1231">
        <w:rPr>
          <w:sz w:val="22"/>
        </w:rPr>
        <w:t xml:space="preserve"> </w:t>
      </w:r>
      <w:r w:rsidRPr="008C1231">
        <w:t>отбелязва, че степента на изпълнение на бюджетните кредити за плащания за текущата година е била 82,78%, което представлява увеличение с 13,44% спрямо 2021 г.;</w:t>
      </w:r>
    </w:p>
    <w:p w:rsidR="00F145FE" w:rsidRPr="008C1231" w:rsidRDefault="00F145FE" w:rsidP="00F145FE">
      <w:pPr>
        <w:pStyle w:val="Normal12Hanging"/>
        <w:widowControl/>
        <w:rPr>
          <w:b/>
          <w:i/>
          <w:szCs w:val="24"/>
        </w:rPr>
      </w:pPr>
      <w:r w:rsidRPr="008C1231">
        <w:rPr>
          <w:b/>
          <w:i/>
        </w:rPr>
        <w:t>Изпълнение</w:t>
      </w:r>
    </w:p>
    <w:p w:rsidR="00F145FE" w:rsidRPr="008C1231" w:rsidRDefault="00F145FE" w:rsidP="00F145FE">
      <w:pPr>
        <w:pStyle w:val="NormalHanging12a"/>
        <w:widowControl/>
      </w:pPr>
      <w:r w:rsidRPr="008C1231">
        <w:lastRenderedPageBreak/>
        <w:t>2.</w:t>
      </w:r>
      <w:r w:rsidRPr="008C1231">
        <w:tab/>
        <w:t>отбелязва, че Агенцията използва ключови показатели за ефективност (КПЕ), за да оцени постигнатите резултати по отношение на своите цели, включително, наред с другото, относно подкрепата за работните групи, комуникационните дейности, централизираното финансиране и възлагане на обществени поръчки и управлението на човешките ресурси; отбелязва, че повечето цели са постигнати, но препоръчва да се обърне внимание на КПЕ, които остават неизпълнени или напредват по-бавно от очакваното (напр. подобряване на процеса на възстановяване на разходите чрез инструмента за усъвършенстван портал за заседания (AGM), подписване на договор в подкрепа на разработването на „Стратегия на ОЕРЕС в областта на ИКТ за периода 2022 – 2025 г.“); препоръчва Агенцията редовно да настройва ключовите показатели за ефективност, за да оптимизира резултатите от дейността си;</w:t>
      </w:r>
    </w:p>
    <w:p w:rsidR="00F145FE" w:rsidRPr="008C1231" w:rsidRDefault="00F145FE" w:rsidP="00F145FE">
      <w:pPr>
        <w:pStyle w:val="Normal12Hanging"/>
        <w:widowControl/>
      </w:pPr>
      <w:r w:rsidRPr="008C1231">
        <w:t>3.</w:t>
      </w:r>
      <w:r w:rsidRPr="008C1231">
        <w:tab/>
        <w:t>приветства факта, че Агенцията е продължила да предоставя висококачествена административна и професионална подкрепа на Съвета на регулаторите на ОЕРЕС, Мрежата за контакт на ОЕРЕС, публичните информационни сесии, работните групи на ОЕРЕС, включително ad hoc работните групи и консултативната група на Службата на ОЕРЕС;</w:t>
      </w:r>
    </w:p>
    <w:p w:rsidR="00F145FE" w:rsidRPr="008C1231" w:rsidRDefault="00F145FE" w:rsidP="00F145FE">
      <w:pPr>
        <w:pStyle w:val="NormalHanging12a"/>
        <w:widowControl/>
      </w:pPr>
      <w:r w:rsidRPr="008C1231">
        <w:t>4.</w:t>
      </w:r>
      <w:r w:rsidRPr="008C1231">
        <w:tab/>
        <w:t>приветства факта, че украинският регулаторен орган в областта на далекосъобщенията NCEC беше включен Агенцията като член без право на глас;</w:t>
      </w:r>
    </w:p>
    <w:p w:rsidR="00F145FE" w:rsidRPr="008C1231" w:rsidRDefault="00F145FE" w:rsidP="00F145FE">
      <w:pPr>
        <w:pStyle w:val="Normal12Hanging"/>
        <w:widowControl/>
        <w:rPr>
          <w:b/>
          <w:i/>
          <w:szCs w:val="24"/>
        </w:rPr>
      </w:pPr>
      <w:r w:rsidRPr="008C1231">
        <w:rPr>
          <w:b/>
          <w:i/>
        </w:rPr>
        <w:t>Ефикасност и успехи</w:t>
      </w:r>
    </w:p>
    <w:p w:rsidR="00F145FE" w:rsidRPr="008C1231" w:rsidRDefault="00F145FE" w:rsidP="00F145FE">
      <w:pPr>
        <w:pStyle w:val="Normal12Hanging"/>
        <w:widowControl/>
        <w:rPr>
          <w:szCs w:val="24"/>
        </w:rPr>
      </w:pPr>
      <w:r w:rsidRPr="008C1231">
        <w:t>5.</w:t>
      </w:r>
      <w:r w:rsidRPr="008C1231">
        <w:tab/>
        <w:t>отбелязва, че действията за повишаване на ефективността през 2022 г. бяха насочени към следните основни области: централизиране на някои функции, възлагане на обществени поръчки, повишаване на ефективността, постигнато чрез увеличено използване на ИТ приложения на Комисията или въвеждане на нови такива, както и използване на външни ресурси за компенсиране на липсата на капацитет в областта на човешките ресурси или за задачи от техническо и спомагателно естество;</w:t>
      </w:r>
    </w:p>
    <w:p w:rsidR="00F145FE" w:rsidRPr="008C1231" w:rsidRDefault="00F145FE" w:rsidP="00F145FE">
      <w:pPr>
        <w:pStyle w:val="Normal12Hanging"/>
        <w:widowControl/>
        <w:rPr>
          <w:szCs w:val="24"/>
        </w:rPr>
      </w:pPr>
      <w:r w:rsidRPr="008C1231">
        <w:t>6.</w:t>
      </w:r>
      <w:r w:rsidRPr="008C1231">
        <w:tab/>
        <w:t>отбелязва, че в областта на обществените поръчки през 2022 г. Агенцията е продължила да използва междуинституционални процедури за възлагане на обществени поръчки и се е присъединила към седем междуинституционални процедури за възлагане на обществени поръчки, което е довело до сключването на шест рамкови договора през отчетния период;</w:t>
      </w:r>
    </w:p>
    <w:p w:rsidR="00F145FE" w:rsidRPr="008C1231" w:rsidRDefault="00F145FE" w:rsidP="00F145FE">
      <w:pPr>
        <w:pStyle w:val="Normal12Hanging"/>
        <w:widowControl/>
        <w:rPr>
          <w:szCs w:val="24"/>
        </w:rPr>
      </w:pPr>
      <w:r w:rsidRPr="008C1231">
        <w:t>7.</w:t>
      </w:r>
      <w:r w:rsidRPr="008C1231">
        <w:tab/>
        <w:t>приветства повишаването на ефективността, постигнато чрез по-голямото използване или въвеждане на допълнителни ИТ приложения на Комисията; отбелязва по-специално, че през 2022 г. Агенцията е използвала изцяло и активно всички основни модули Sysper2, например управление на самоличността, управление на организацията, управление на личните данни, условия на труд, управление на таланти и управление на документи, и три от незадължителния набор от модули, например гъвкаво работно време, работа от разстояние и индивидуални права;</w:t>
      </w:r>
    </w:p>
    <w:p w:rsidR="00F145FE" w:rsidRPr="008C1231" w:rsidRDefault="00F145FE" w:rsidP="00F145FE">
      <w:pPr>
        <w:pStyle w:val="NormalHanging12a"/>
        <w:widowControl/>
      </w:pPr>
      <w:r w:rsidRPr="008C1231">
        <w:t>8.</w:t>
      </w:r>
      <w:r w:rsidRPr="008C1231">
        <w:tab/>
        <w:t xml:space="preserve">отбелязва, че от създаването си Агенцията работи с недостиг на човешки ресурси за определени длъжности; отбелязва, че Агенцията компенсира някои ограничения на капацитета, когато това е осъществимо, дава приоритет на използването на услугите, предлагани от Комисията и други агенции на Съюза, </w:t>
      </w:r>
      <w:r w:rsidRPr="008C1231">
        <w:lastRenderedPageBreak/>
        <w:t>като основно решение; отбелязва, че този подход включва използване на услуги, предоставяни от Службата на Комисията за управление и плащане по индивидуални права (PMO) и екипа за незабавно реагиране при компютърни инциденти за институциите, органите и агенциите на Съюза (CERT-EU) за ИТ услуги и услуги за сигурност; приветства факта, че Агенцията има много успешно сътрудничество със Службата на Европейския съюз за интелектуална собственост в областта на информационните технологии, което включва хостинг, разработване на ИТ, възстановяване след бедствия, разработване на новия дизайн за уебсайта на Агенцията и други услуги за ИТ;</w:t>
      </w:r>
    </w:p>
    <w:p w:rsidR="00F145FE" w:rsidRPr="008C1231" w:rsidRDefault="00F145FE" w:rsidP="00F145FE">
      <w:pPr>
        <w:pStyle w:val="NormalHanging12a"/>
        <w:widowControl/>
      </w:pPr>
      <w:r w:rsidRPr="008C1231">
        <w:t>9.</w:t>
      </w:r>
      <w:r w:rsidRPr="008C1231">
        <w:tab/>
        <w:t xml:space="preserve">припомня, че е важно да се увеличи цифровизацията на Агенцията във връзка с вътрешното функциониране и управление, но също така и с цел ускоряване на цифровизацията на процедурите; подчертава необходимостта Агенцията да продължи да бъде проактивна в това отношение, за да се избегне цифрово разделение между агенциите; при все това обръща внимание, че трябва да се предприемат всички необходими мерки за сигурност, за да се избегне всякакъв риск за онлайн сигурността на обработваната информация; настоява, че е необходимо да се засили борбата срещу </w:t>
      </w:r>
      <w:proofErr w:type="spellStart"/>
      <w:r w:rsidRPr="008C1231">
        <w:t>кибератаките</w:t>
      </w:r>
      <w:proofErr w:type="spellEnd"/>
      <w:r w:rsidRPr="008C1231">
        <w:t xml:space="preserve"> и опитите за проникване, и по-специално тези, които идват от Русия или от Китай;</w:t>
      </w:r>
    </w:p>
    <w:p w:rsidR="00F145FE" w:rsidRPr="008C1231" w:rsidRDefault="00F145FE" w:rsidP="00F145FE">
      <w:pPr>
        <w:pStyle w:val="Normal12Hanging"/>
        <w:widowControl/>
        <w:rPr>
          <w:b/>
          <w:i/>
          <w:szCs w:val="24"/>
        </w:rPr>
      </w:pPr>
      <w:r w:rsidRPr="008C1231">
        <w:rPr>
          <w:b/>
          <w:i/>
        </w:rPr>
        <w:t>Политика относно персонала</w:t>
      </w:r>
    </w:p>
    <w:p w:rsidR="00F145FE" w:rsidRPr="008C1231" w:rsidRDefault="00F145FE" w:rsidP="00F145FE">
      <w:pPr>
        <w:widowControl/>
        <w:spacing w:after="240"/>
        <w:ind w:left="567" w:hanging="567"/>
        <w:rPr>
          <w:rFonts w:eastAsia="Calibri"/>
          <w:szCs w:val="24"/>
        </w:rPr>
      </w:pPr>
      <w:r w:rsidRPr="008C1231">
        <w:t>10.</w:t>
      </w:r>
      <w:r w:rsidRPr="008C1231">
        <w:tab/>
        <w:t>отбелязва, че към 31 декември 2022 г. щатното разписание се състои от 16 срочно наети служители, разрешени съгласно бюджета на Съюза (същия брой разрешени длъжности, както през 2021 г.); отбелязва, че освен това през 2022 г. за Агенцията са работили 19 договорно наети служители, 8 командировани национални експерти и 10 временни работници и консултанти;</w:t>
      </w:r>
    </w:p>
    <w:p w:rsidR="00F145FE" w:rsidRPr="008C1231" w:rsidRDefault="00F145FE" w:rsidP="00F145FE">
      <w:pPr>
        <w:pStyle w:val="NormalHanging12a"/>
        <w:widowControl/>
      </w:pPr>
      <w:r w:rsidRPr="008C1231">
        <w:t>11.</w:t>
      </w:r>
      <w:r w:rsidRPr="008C1231">
        <w:tab/>
        <w:t>приветства усилията на Агенцията да приведе дейността си в съответствие с принципите на съвместното изявление на Европейския парламент, Съвета на ЕС и Европейската комисия от 19 юли 2012 г. относно децентрализираните агенции, включително очаквания минимален критичен размер;</w:t>
      </w:r>
    </w:p>
    <w:p w:rsidR="00F145FE" w:rsidRPr="008C1231" w:rsidRDefault="00F145FE" w:rsidP="00F145FE">
      <w:pPr>
        <w:pStyle w:val="NormalHanging12a"/>
        <w:widowControl/>
      </w:pPr>
      <w:r w:rsidRPr="008C1231">
        <w:t>12.</w:t>
      </w:r>
      <w:r w:rsidRPr="008C1231">
        <w:tab/>
        <w:t>отбелязва, че основното предизвикателство пред политиката в областта на персонала е голямото текучество на персонала, което през 2022 г. е нараснало до 16,3% в сравнение с 4,6% през 2021 г. и 5,4% през 2020 г.; отбелязва, че рязкото увеличение на текучеството на персонала засегна в особена степен отдел „Администрация и финанси“; отбелязва, че с цел запълване на освободените длъжности и осигуряване на персонал с нови компетенции, необходими за Агенцията и нейната администрация, през 2022 г. Агенцията е започнала процедури за подбор, за да запълни пет свободни длъжности (един срочно нает служител и четирима договорно наети служители), за които не е имало подходящи списъци с издържали конкурс лица, докато за останалите три освободени длъжности Агенцията е осигурила бързо набиране на персонал от своите активни списъци с издържали конкурса лица; въпреки това изисква от Агенцията да анализира причините за голямото текучество на персонала и да предприеме необходимите стъпки за избягването му в бъдеще, както и да докладва на органа по освобождаване от отговорност;</w:t>
      </w:r>
    </w:p>
    <w:p w:rsidR="00F145FE" w:rsidRPr="008C1231" w:rsidRDefault="00F145FE" w:rsidP="00F145FE">
      <w:pPr>
        <w:widowControl/>
        <w:spacing w:after="240"/>
        <w:ind w:left="567" w:hanging="567"/>
        <w:rPr>
          <w:rFonts w:eastAsia="Calibri"/>
          <w:szCs w:val="24"/>
        </w:rPr>
      </w:pPr>
      <w:r w:rsidRPr="008C1231">
        <w:t>13.</w:t>
      </w:r>
      <w:r w:rsidRPr="008C1231">
        <w:tab/>
        <w:t xml:space="preserve">приветства инициативите на Агенцията за подобряване на условията на живот и труд на служителите, включително правни консултации по частни въпроси, </w:t>
      </w:r>
      <w:r w:rsidRPr="008C1231">
        <w:lastRenderedPageBreak/>
        <w:t xml:space="preserve">финансова подкрепа за детски градини, такси за обучение за международни училища, езикови курсове, освободени от ДДС стоки за командированите национални експерти, въвеждаща програма за </w:t>
      </w:r>
      <w:proofErr w:type="spellStart"/>
      <w:r w:rsidRPr="008C1231">
        <w:t>новопостъпилите</w:t>
      </w:r>
      <w:proofErr w:type="spellEnd"/>
      <w:r w:rsidRPr="008C1231">
        <w:t xml:space="preserve"> служители и помощ за членове на семейството, които се установяват в Латвия, някои от които в сътрудничество с латвийските органи;</w:t>
      </w:r>
    </w:p>
    <w:p w:rsidR="00F145FE" w:rsidRPr="008C1231" w:rsidRDefault="00F145FE" w:rsidP="00F145FE">
      <w:pPr>
        <w:pStyle w:val="NormalHanging12a"/>
        <w:widowControl/>
      </w:pPr>
      <w:r w:rsidRPr="008C1231">
        <w:t>14.</w:t>
      </w:r>
      <w:r w:rsidRPr="008C1231">
        <w:tab/>
        <w:t>приветства факта, че през 2022 г., както и през 2021 г., като цяло е постигнат баланс между половете сред служителите, като 52% са жени, а 48% – мъже; настоява за активизиране на усилията за поддържане на разумен баланс между половете сред служителите на Агенцията; отчита, че Агенцията има само три средни ръководни длъжности и че е постигнат приемлив баланс между половете и на средното управленско равнище – една жена и двама мъже;</w:t>
      </w:r>
    </w:p>
    <w:p w:rsidR="00F145FE" w:rsidRPr="008C1231" w:rsidRDefault="00F145FE" w:rsidP="00F145FE">
      <w:pPr>
        <w:pStyle w:val="NormalHanging12a"/>
        <w:widowControl/>
      </w:pPr>
      <w:r w:rsidRPr="008C1231">
        <w:t>15.</w:t>
      </w:r>
      <w:r w:rsidRPr="008C1231">
        <w:tab/>
        <w:t>отбелязва, че Агенцията прилага политика за защита на личното достойнство и предотвратяване на психическия и сексуалния тормоз и че Агенцията е част от междуведомствената работна група от доверени съветници; очаква с нетърпение да получи техния доклад и препоръки; отбелязва, че през 2022 г. не са докладвани случаи на тормоз, и насърчава Агенцията да продължи и да доразвие работата си с цел предотвратяване на такива случаи и в бъдеще;</w:t>
      </w:r>
    </w:p>
    <w:p w:rsidR="00F145FE" w:rsidRPr="008C1231" w:rsidRDefault="00F145FE" w:rsidP="00F145FE">
      <w:pPr>
        <w:pStyle w:val="NormalHanging12a"/>
        <w:widowControl/>
      </w:pPr>
      <w:r w:rsidRPr="008C1231">
        <w:t>16.</w:t>
      </w:r>
      <w:r w:rsidRPr="008C1231">
        <w:tab/>
        <w:t>изразява съжаление, че Агенцията не е приела „Харта за многообразието и приобщаването“, която има за цел да насърчава равното третиране и равните възможности, независимо от каквито и да било основания като пол, раса, цвят на кожата, етнически или социален произход, генетични характеристики, език, религия или убеждения, политически или други мнения, принадлежност към национално малцинство, имотно състояние, рождение, увреждане, възраст или сексуална ориентация; припомня, че една от целите на Хартата е на средно управленско равнище в краткосрочен до средносрочен план да има най-малко 40% от по-слабо представения пол; отбелязва отговора на Агенцията на стандартизирания въпросник относно освобождаването от отговорност във връзка с изпълнението на бюджета; счита, че нечетният брой лица на висше и средно управленско равнище не възпрепятства приемането на Хартата; насърчава Агенцията да приеме Хартата и да участва активно в инициативи, които насърчават многообразието и приобщаването на работното място;</w:t>
      </w:r>
    </w:p>
    <w:p w:rsidR="00F145FE" w:rsidRPr="008C1231" w:rsidRDefault="00F145FE" w:rsidP="00F145FE">
      <w:pPr>
        <w:pStyle w:val="NormalHanging12a"/>
        <w:widowControl/>
      </w:pPr>
      <w:r w:rsidRPr="008C1231">
        <w:t>17.</w:t>
      </w:r>
      <w:r w:rsidRPr="008C1231">
        <w:tab/>
        <w:t>приветства факта, че през 2022 г. Агенцията е продължила своята стажантска програма; отбелязва, че общо 7 стажанти са се присъединили към Агенцията и 15 стажанти са участвали в програмата за стажове на Агенцията;</w:t>
      </w:r>
    </w:p>
    <w:p w:rsidR="00F145FE" w:rsidRPr="008C1231" w:rsidRDefault="00F145FE" w:rsidP="00F145FE">
      <w:pPr>
        <w:keepNext/>
        <w:widowControl/>
        <w:spacing w:after="240"/>
        <w:ind w:left="567" w:hanging="567"/>
        <w:rPr>
          <w:rFonts w:eastAsia="Calibri"/>
          <w:b/>
          <w:i/>
          <w:szCs w:val="24"/>
        </w:rPr>
      </w:pPr>
      <w:r w:rsidRPr="008C1231">
        <w:rPr>
          <w:b/>
          <w:i/>
        </w:rPr>
        <w:t>Предотвратяване и управление на конфликтите на интереси и прозрачност</w:t>
      </w:r>
    </w:p>
    <w:p w:rsidR="00F145FE" w:rsidRPr="008C1231" w:rsidRDefault="00F145FE" w:rsidP="00F145FE">
      <w:pPr>
        <w:widowControl/>
        <w:spacing w:after="240"/>
        <w:ind w:left="567" w:hanging="567"/>
        <w:rPr>
          <w:szCs w:val="24"/>
        </w:rPr>
      </w:pPr>
      <w:r w:rsidRPr="008C1231">
        <w:t>18.</w:t>
      </w:r>
      <w:r w:rsidRPr="008C1231">
        <w:tab/>
        <w:t>отбелязва, че Агенцията публикува на своя уебсайт автобиографиите и декларациите за конфликт на интереси на членовете на управителния съвет;</w:t>
      </w:r>
    </w:p>
    <w:p w:rsidR="00F145FE" w:rsidRPr="008C1231" w:rsidRDefault="00F145FE" w:rsidP="00F145FE">
      <w:pPr>
        <w:widowControl/>
        <w:spacing w:after="240"/>
        <w:ind w:left="567" w:hanging="567"/>
        <w:rPr>
          <w:szCs w:val="24"/>
        </w:rPr>
      </w:pPr>
      <w:r w:rsidRPr="008C1231">
        <w:t>19.</w:t>
      </w:r>
      <w:r w:rsidRPr="008C1231">
        <w:tab/>
        <w:t xml:space="preserve">отбелязва факта, че преди да започнат да изпълняват функциите си в Агенцията, от редовните служители, командированите национални експерти, стажантите и временните работници се изисква да представят декларация за интереси, която след това се разглежда от органа по назначаването или директора, преди назначението да бъде одобрено; отбелязва освен това, че докато са наети на работа, служителите трябва редовно да актуализират тази декларация, за да се обърне внимание на ad hoc ситуации на конфликт на интереси, и трябва </w:t>
      </w:r>
      <w:r w:rsidRPr="008C1231">
        <w:lastRenderedPageBreak/>
        <w:t>проактивно да информират Агенцията за всички външни дейности, професионални дейности по време на личен отпуск, задържане на подаръци, работа на съпрузи и съпруги и потенциални конфликти чрез публикации или речи; отбелязва, че при прекратяване на служебното правоотношение от редовния персонал и стажантите се изисква да оповестяват на Агенцията планираните си бъдещи професионални ангажименти в рамките на определен срок след приключване на трудовите правоотношения;</w:t>
      </w:r>
    </w:p>
    <w:p w:rsidR="00F145FE" w:rsidRPr="008C1231" w:rsidRDefault="00F145FE" w:rsidP="00F145FE">
      <w:pPr>
        <w:widowControl/>
        <w:spacing w:after="240"/>
        <w:ind w:left="567" w:hanging="567"/>
        <w:rPr>
          <w:szCs w:val="24"/>
        </w:rPr>
      </w:pPr>
      <w:r w:rsidRPr="008C1231">
        <w:t>20.</w:t>
      </w:r>
      <w:r w:rsidRPr="008C1231">
        <w:tab/>
        <w:t xml:space="preserve">отбелязва факта, че директорът на Агенцията е приел докладна записка за управление на конфликтите на интереси на служителите по време на подбора и набирането на персонал, в която се изисква да се декларират всякакви професионални/лични отношения с кандидатите, независимо дали тези отношения представляват конфликт на интереси или не; отбелязва освен това, че служителите следва също така да заявят дали могат или не могат да запазят своята безпристрастност; отбелязва, че след като имената на кандидатите биват оповестени, членовете на комисията за подбор трябва да представят декларация за конфликт на интереси в съответствие с горепосочената докладна записка, както и с насоките относно предотвратяването и управлението на конфликти на интереси по отношение на служителите, участващи в процедурите за подбор, назначаване или </w:t>
      </w:r>
      <w:proofErr w:type="spellStart"/>
      <w:r w:rsidRPr="008C1231">
        <w:t>прекласифициране</w:t>
      </w:r>
      <w:proofErr w:type="spellEnd"/>
      <w:r w:rsidRPr="008C1231">
        <w:t xml:space="preserve"> в Агенцията;</w:t>
      </w:r>
    </w:p>
    <w:p w:rsidR="00F145FE" w:rsidRPr="008C1231" w:rsidRDefault="00F145FE" w:rsidP="00F145FE">
      <w:pPr>
        <w:widowControl/>
        <w:spacing w:after="240"/>
        <w:ind w:left="567" w:hanging="567"/>
        <w:rPr>
          <w:szCs w:val="24"/>
        </w:rPr>
      </w:pPr>
      <w:r w:rsidRPr="008C1231">
        <w:t>21.</w:t>
      </w:r>
      <w:r w:rsidRPr="008C1231">
        <w:tab/>
        <w:t xml:space="preserve">отбелязва, че управителният съвет е приел стратегията на Агенцията за борба с измамите за периода 2023 – 2025 г., която има за цел да подобри разкриването, санкционирането и предотвратяването на измами и да противодейства на всякакви други незаконни дейности, които могат да засегнат нейните финансови интереси; приветства факта, че Агенцията е въвела модулите за етика в </w:t>
      </w:r>
      <w:proofErr w:type="spellStart"/>
      <w:r w:rsidRPr="008C1231">
        <w:t>Sysper</w:t>
      </w:r>
      <w:proofErr w:type="spellEnd"/>
      <w:r w:rsidRPr="008C1231">
        <w:t>, които обхващат декларацията за конфликт на интереси, декларацията за подаръци или гостоприемство, декларацията за публикуване, искането на разрешение за външна дейност, искането за външна дейност по време на отпуск по лични причини, декларацията за работа на съпруга/съпругата;</w:t>
      </w:r>
    </w:p>
    <w:p w:rsidR="00F145FE" w:rsidRPr="008C1231" w:rsidRDefault="00F145FE" w:rsidP="00F145FE">
      <w:pPr>
        <w:pStyle w:val="NormalHanging12a"/>
        <w:widowControl/>
      </w:pPr>
      <w:r w:rsidRPr="008C1231">
        <w:t>22.</w:t>
      </w:r>
      <w:r w:rsidRPr="008C1231">
        <w:tab/>
        <w:t>припомня, че е важно Агенцията да работи за постигане на по-голяма видимост в медиите, в интернет и в социалните медии, за да популяризира своята работа сред гражданите;</w:t>
      </w:r>
    </w:p>
    <w:p w:rsidR="00F145FE" w:rsidRPr="008C1231" w:rsidRDefault="00F145FE" w:rsidP="00F145FE">
      <w:pPr>
        <w:keepNext/>
        <w:widowControl/>
        <w:spacing w:after="240"/>
        <w:ind w:left="567" w:hanging="567"/>
        <w:rPr>
          <w:b/>
          <w:i/>
          <w:szCs w:val="24"/>
        </w:rPr>
      </w:pPr>
      <w:r w:rsidRPr="008C1231">
        <w:rPr>
          <w:b/>
          <w:i/>
        </w:rPr>
        <w:t>Други коментари</w:t>
      </w:r>
    </w:p>
    <w:p w:rsidR="00F145FE" w:rsidRPr="008C1231" w:rsidRDefault="00F145FE" w:rsidP="00F145FE">
      <w:pPr>
        <w:widowControl/>
        <w:spacing w:after="240"/>
        <w:ind w:left="567" w:hanging="567"/>
        <w:rPr>
          <w:b/>
          <w:i/>
          <w:szCs w:val="24"/>
        </w:rPr>
      </w:pPr>
      <w:r w:rsidRPr="008C1231">
        <w:t>23.</w:t>
      </w:r>
      <w:r w:rsidRPr="008C1231">
        <w:tab/>
        <w:t>отбелязва, че от февруари 2022 г. Агенцията е започнала да използва инструмента на Комисията за управление на обществените поръчки (PPMT) в областта на услугите, който допълнително рационализира нейните процедури за възлагане на обществени поръчки и гарантира използването на най-новите образци и най-добри практики на Комисията на всеки етап от процеса;</w:t>
      </w:r>
    </w:p>
    <w:p w:rsidR="00F145FE" w:rsidRPr="008C1231" w:rsidRDefault="00F145FE" w:rsidP="00F145FE">
      <w:pPr>
        <w:widowControl/>
        <w:spacing w:after="240"/>
        <w:ind w:left="567" w:hanging="567"/>
        <w:rPr>
          <w:szCs w:val="24"/>
        </w:rPr>
      </w:pPr>
      <w:r w:rsidRPr="008C1231">
        <w:t>24.</w:t>
      </w:r>
      <w:r w:rsidRPr="008C1231">
        <w:tab/>
        <w:t xml:space="preserve">отчита, че за да се повиши киберсигурността и защитата на цифровите записи, с които разполага, Агенцията използва </w:t>
      </w:r>
      <w:proofErr w:type="spellStart"/>
      <w:r w:rsidRPr="008C1231">
        <w:t>двуфакторно</w:t>
      </w:r>
      <w:proofErr w:type="spellEnd"/>
      <w:r w:rsidRPr="008C1231">
        <w:t xml:space="preserve"> удостоверяване на автентичността, защитни стени за уеб приложения, автоматизирани резервни копия, приложено криптиране (когато е приложимо/възможно) и редовни тестове за възстановяване на критични за дейността системи; отбелязва освен това, че в допълнение Агенцията използва софтуерна защита за устройства за крайни потребители, като лаптопи и мобилни телефони, както и услугите за сигурност в областта на ИКТ, предоставяни от CERT-EU;</w:t>
      </w:r>
    </w:p>
    <w:p w:rsidR="00F145FE" w:rsidRPr="008C1231" w:rsidRDefault="00F145FE" w:rsidP="00F145FE">
      <w:pPr>
        <w:pStyle w:val="NormalHanging12a"/>
        <w:widowControl/>
      </w:pPr>
      <w:r w:rsidRPr="008C1231">
        <w:lastRenderedPageBreak/>
        <w:t>25.</w:t>
      </w:r>
      <w:r w:rsidRPr="008C1231">
        <w:tab/>
        <w:t>приветства усилията на Агенцията да даде приоритет на новото законодателство за определяне на мерки в областта на киберсигурността в институциите, органите, службите и агенциите на Съюза; отбелязва със загриженост потенциалната непропорционална тежест на Регламента за киберсигурността върху малките агенции, като например Службата на ОЕРЕС, която може да изложи на риск спазването на изискванията; призовава Комисията да вземе това предвид в програмните цикли за следващите години;</w:t>
      </w:r>
    </w:p>
    <w:p w:rsidR="00F145FE" w:rsidRPr="008C1231" w:rsidRDefault="00F145FE" w:rsidP="00F145FE">
      <w:pPr>
        <w:widowControl/>
        <w:spacing w:after="240"/>
        <w:ind w:left="567" w:hanging="567"/>
        <w:rPr>
          <w:rFonts w:eastAsia="Calibri"/>
          <w:szCs w:val="24"/>
        </w:rPr>
      </w:pPr>
      <w:r w:rsidRPr="008C1231">
        <w:t>26.</w:t>
      </w:r>
      <w:r w:rsidRPr="008C1231">
        <w:tab/>
        <w:t xml:space="preserve">приветства факта, че управителният съвет на Агенцията е определил сертифицирането по EMAS като цел за следващите 3 години; разбира, че Агенцията е започнала вътрешна подготовка за сертифицирането, която включва допълнителни актуализации относно изчисляването на въглеродния отпечатък на Агенцията, участие в </w:t>
      </w:r>
      <w:proofErr w:type="spellStart"/>
      <w:r w:rsidRPr="008C1231">
        <w:t>туининга</w:t>
      </w:r>
      <w:proofErr w:type="spellEnd"/>
      <w:r w:rsidRPr="008C1231">
        <w:t xml:space="preserve"> по линия на мрежата за „зелена дипломация“ на Мрежата на агенциите на ЕС и др.;</w:t>
      </w:r>
    </w:p>
    <w:p w:rsidR="00F145FE" w:rsidRPr="008C1231" w:rsidRDefault="00F145FE" w:rsidP="00F145FE">
      <w:pPr>
        <w:pStyle w:val="NormalHanging12a"/>
        <w:widowControl/>
      </w:pPr>
      <w:r w:rsidRPr="008C1231">
        <w:t>27.</w:t>
      </w:r>
      <w:r w:rsidRPr="008C1231">
        <w:tab/>
        <w:t>приветства със задоволство участието на украинския национален регулаторен орган в ежедневните операции на Агенцията; приветства Агенцията и нейните членове за създаването на рамка за сътрудничество за справяне с предизвикателствата пред свързаността и за проправяне на пътя за хармонизиране на украинската нормативна уредба в областта на електронните съобщения с европейската рамка за далекосъобщенията; освен това оценява факта, че въз основа на данните, събрани от Агенцията от оператори от ЕС и Украйна относно прилаганите мерки за търговията на дребно, беше договорено съвместно изявление, с което се създава стабилна рамка, за да се помогне на хората, бягащи от войната в Украйна, да останат свързани със своите семейства и приятели у дома и да запазят достъпа си до информация;</w:t>
      </w:r>
    </w:p>
    <w:p w:rsidR="00F145FE" w:rsidRPr="008C1231" w:rsidRDefault="00F145FE" w:rsidP="00F145FE">
      <w:pPr>
        <w:pStyle w:val="NormalHanging12a"/>
        <w:widowControl/>
      </w:pPr>
      <w:r w:rsidRPr="008C1231">
        <w:t>28.</w:t>
      </w:r>
      <w:r w:rsidRPr="008C1231">
        <w:tab/>
        <w:t>приветства усилията на Агенцията през 2022 г. за повишаване на обществената осведоменост относно нейния мандат и работа в Латвия чрез комуникационни инициативи от малък мащаб, като например посрещане на студенти от университета „</w:t>
      </w:r>
      <w:proofErr w:type="spellStart"/>
      <w:r w:rsidRPr="008C1231">
        <w:t>Щрадинс</w:t>
      </w:r>
      <w:proofErr w:type="spellEnd"/>
      <w:r w:rsidRPr="008C1231">
        <w:t>“ в Рига, насърчаване на партньорство, което подобрява разбирането им за агенциите на ЕС, особено в Латвия, участие в излъчваната на живо проява за честването на Деня на Европа в Латвия, организирана от представителството на Европейската комисия в тази държава, и други прояви; призовава Агенцията да продължи да работи за повишаване на видимостта си, особено в приемащата държава членка;</w:t>
      </w:r>
    </w:p>
    <w:p w:rsidR="00F145FE" w:rsidRDefault="00F145FE" w:rsidP="00923FF1">
      <w:pPr>
        <w:pStyle w:val="NormalHanging12a"/>
        <w:widowControl/>
      </w:pPr>
      <w:r w:rsidRPr="008C1231">
        <w:t>29.</w:t>
      </w:r>
      <w:r w:rsidRPr="008C1231">
        <w:tab/>
        <w:t>приветства факта, че местните офиси на Парламента и Комисията в Рига и Агенцията обединиха усилията си да работят заедно за създаване на съвместен Дом на Европа, който ще бъде „домът“ на всички институции на Съюза и Агенцията в Латвия;</w:t>
      </w:r>
    </w:p>
    <w:p w:rsidR="00923FF1" w:rsidRDefault="00923FF1" w:rsidP="00923FF1">
      <w:pPr>
        <w:pStyle w:val="NormalHanging12a"/>
        <w:widowControl/>
        <w:ind w:left="0" w:firstLine="0"/>
        <w:jc w:val="center"/>
      </w:pPr>
      <w:r>
        <w:t>°</w:t>
      </w:r>
    </w:p>
    <w:p w:rsidR="00923FF1" w:rsidRDefault="00923FF1" w:rsidP="00923FF1">
      <w:pPr>
        <w:pStyle w:val="NormalHanging12a"/>
        <w:widowControl/>
        <w:ind w:left="0" w:firstLine="0"/>
        <w:jc w:val="center"/>
      </w:pPr>
      <w:r>
        <w:t>°     °</w:t>
      </w:r>
    </w:p>
    <w:p w:rsidR="00F145FE" w:rsidRPr="008C1231" w:rsidRDefault="00F145FE" w:rsidP="00F145FE">
      <w:pPr>
        <w:pStyle w:val="NormalHanging12a"/>
        <w:widowControl/>
      </w:pPr>
      <w:r w:rsidRPr="008C1231">
        <w:t>30.</w:t>
      </w:r>
      <w:r w:rsidRPr="008C1231">
        <w:tab/>
        <w:t xml:space="preserve">по отношение на други забележки, придружаващи решението за освобождаване от отговорност, които имат хоризонтален характер, препраща към своята резолюция </w:t>
      </w:r>
      <w:r w:rsidRPr="008C1231">
        <w:lastRenderedPageBreak/>
        <w:t xml:space="preserve">от </w:t>
      </w:r>
      <w:r w:rsidR="00923FF1">
        <w:t>11 април 2024 г.</w:t>
      </w:r>
      <w:r w:rsidRPr="008C1231">
        <w:rPr>
          <w:vertAlign w:val="superscript"/>
        </w:rPr>
        <w:footnoteReference w:id="12"/>
      </w:r>
      <w:r w:rsidRPr="008C1231">
        <w:t xml:space="preserve"> относно резултатите от дейността, финансовото управление и контрола на агенциите.</w:t>
      </w:r>
    </w:p>
    <w:p w:rsidR="00E365E1" w:rsidRPr="008C1231" w:rsidRDefault="00E365E1" w:rsidP="0083046B">
      <w:bookmarkStart w:id="11" w:name="TextBodyEnd"/>
      <w:bookmarkEnd w:id="11"/>
    </w:p>
    <w:sectPr w:rsidR="00E365E1" w:rsidRPr="008C1231" w:rsidSect="008C123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046B" w:rsidRPr="008C1231" w:rsidRDefault="0083046B">
      <w:r w:rsidRPr="008C1231">
        <w:separator/>
      </w:r>
    </w:p>
  </w:endnote>
  <w:endnote w:type="continuationSeparator" w:id="0">
    <w:p w:rsidR="0083046B" w:rsidRPr="008C1231" w:rsidRDefault="0083046B">
      <w:r w:rsidRPr="008C12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45FE" w:rsidRPr="008C1231" w:rsidRDefault="00F145FE" w:rsidP="00190EB8">
    <w:pPr>
      <w:pStyle w:val="EPFooter"/>
    </w:pPr>
    <w:r w:rsidRPr="008C1231">
      <w:t>PE</w:t>
    </w:r>
    <w:r w:rsidRPr="008C1231">
      <w:rPr>
        <w:rStyle w:val="HideTWBExt"/>
      </w:rPr>
      <w:t>&lt;NoPE&gt;</w:t>
    </w:r>
    <w:r w:rsidRPr="008C1231">
      <w:t>753.507</w:t>
    </w:r>
    <w:r w:rsidRPr="008C1231">
      <w:rPr>
        <w:rStyle w:val="HideTWBExt"/>
      </w:rPr>
      <w:t>&lt;/NoPE&gt;&lt;Version&gt;</w:t>
    </w:r>
    <w:r w:rsidRPr="008C1231">
      <w:t>v02-00</w:t>
    </w:r>
    <w:r w:rsidRPr="008C1231">
      <w:rPr>
        <w:rStyle w:val="HideTWBExt"/>
      </w:rPr>
      <w:t>&lt;/Version&gt;</w:t>
    </w:r>
    <w:r w:rsidRPr="008C1231">
      <w:tab/>
    </w:r>
    <w:r w:rsidRPr="008C1231">
      <w:fldChar w:fldCharType="begin"/>
    </w:r>
    <w:r w:rsidRPr="008C1231">
      <w:instrText xml:space="preserve"> PAGE  \* MERGEFORMAT </w:instrText>
    </w:r>
    <w:r w:rsidRPr="008C1231">
      <w:fldChar w:fldCharType="separate"/>
    </w:r>
    <w:r w:rsidR="008C1231" w:rsidRPr="008C1231">
      <w:rPr>
        <w:noProof/>
      </w:rPr>
      <w:t>2</w:t>
    </w:r>
    <w:r w:rsidRPr="008C1231">
      <w:fldChar w:fldCharType="end"/>
    </w:r>
    <w:r w:rsidRPr="008C1231">
      <w:t>/</w:t>
    </w:r>
    <w:fldSimple w:instr=" NUMPAGES  \* MERGEFORMAT ">
      <w:r w:rsidR="008C1231" w:rsidRPr="008C1231">
        <w:rPr>
          <w:noProof/>
        </w:rPr>
        <w:t>4</w:t>
      </w:r>
    </w:fldSimple>
    <w:r w:rsidRPr="008C1231">
      <w:tab/>
    </w:r>
    <w:r w:rsidRPr="008C1231">
      <w:rPr>
        <w:rStyle w:val="HideTWBExt"/>
      </w:rPr>
      <w:t>&lt;PathFdR&gt;</w:t>
    </w:r>
    <w:r w:rsidRPr="008C1231">
      <w:t>RR\1299071BG.docx</w:t>
    </w:r>
    <w:r w:rsidRPr="008C1231">
      <w:rPr>
        <w:rStyle w:val="HideTWBExt"/>
      </w:rPr>
      <w:t>&lt;/PathFdR&gt;</w:t>
    </w:r>
  </w:p>
  <w:p w:rsidR="00F145FE" w:rsidRPr="008C1231" w:rsidRDefault="00F145FE" w:rsidP="00190EB8">
    <w:pPr>
      <w:pStyle w:val="EPFooter2"/>
    </w:pPr>
    <w:r w:rsidRPr="008C1231">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45FE" w:rsidRPr="008C1231" w:rsidRDefault="00F145FE" w:rsidP="00190EB8">
    <w:pPr>
      <w:pStyle w:val="EPFooter"/>
    </w:pPr>
    <w:r w:rsidRPr="008C1231">
      <w:rPr>
        <w:rStyle w:val="HideTWBExt"/>
      </w:rPr>
      <w:t>&lt;PathFdR&gt;</w:t>
    </w:r>
    <w:r w:rsidRPr="008C1231">
      <w:t>RR\1299071BG.docx</w:t>
    </w:r>
    <w:r w:rsidRPr="008C1231">
      <w:rPr>
        <w:rStyle w:val="HideTWBExt"/>
      </w:rPr>
      <w:t>&lt;/PathFdR&gt;</w:t>
    </w:r>
    <w:r w:rsidRPr="008C1231">
      <w:tab/>
    </w:r>
    <w:r w:rsidRPr="008C1231">
      <w:tab/>
      <w:t>PE</w:t>
    </w:r>
    <w:r w:rsidRPr="008C1231">
      <w:rPr>
        <w:rStyle w:val="HideTWBExt"/>
      </w:rPr>
      <w:t>&lt;NoPE&gt;</w:t>
    </w:r>
    <w:r w:rsidRPr="008C1231">
      <w:t>753.507</w:t>
    </w:r>
    <w:r w:rsidRPr="008C1231">
      <w:rPr>
        <w:rStyle w:val="HideTWBExt"/>
      </w:rPr>
      <w:t>&lt;/NoPE&gt;&lt;Version&gt;</w:t>
    </w:r>
    <w:r w:rsidRPr="008C1231">
      <w:t>v02-00</w:t>
    </w:r>
    <w:r w:rsidRPr="008C1231">
      <w:rPr>
        <w:rStyle w:val="HideTWBExt"/>
      </w:rPr>
      <w:t>&lt;/Version&gt;</w:t>
    </w:r>
  </w:p>
  <w:p w:rsidR="00F145FE" w:rsidRPr="008C1231" w:rsidRDefault="00F145FE" w:rsidP="00190EB8">
    <w:pPr>
      <w:pStyle w:val="EPFooter2"/>
    </w:pPr>
    <w:r w:rsidRPr="008C1231">
      <w:t>BG</w:t>
    </w:r>
    <w:r w:rsidRPr="008C1231">
      <w:tab/>
    </w:r>
    <w:r w:rsidRPr="008C1231">
      <w:rPr>
        <w:b w:val="0"/>
        <w:i/>
        <w:color w:val="C0C0C0"/>
        <w:sz w:val="22"/>
      </w:rPr>
      <w:t>Единство в многообразието</w:t>
    </w:r>
    <w:r w:rsidRPr="008C1231">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123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123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123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046B" w:rsidRPr="008C1231" w:rsidRDefault="0083046B">
      <w:r w:rsidRPr="008C1231">
        <w:separator/>
      </w:r>
    </w:p>
  </w:footnote>
  <w:footnote w:type="continuationSeparator" w:id="0">
    <w:p w:rsidR="0083046B" w:rsidRPr="008C1231" w:rsidRDefault="0083046B">
      <w:r w:rsidRPr="008C1231">
        <w:continuationSeparator/>
      </w:r>
    </w:p>
  </w:footnote>
  <w:footnote w:id="1">
    <w:p w:rsidR="00F145FE" w:rsidRPr="008C1231" w:rsidRDefault="00F145FE" w:rsidP="008C1231">
      <w:pPr>
        <w:pStyle w:val="FootnoteText"/>
        <w:ind w:left="567" w:hanging="567"/>
        <w:rPr>
          <w:sz w:val="24"/>
          <w:lang w:val="bg-BG"/>
        </w:rPr>
      </w:pPr>
      <w:r w:rsidRPr="008C1231">
        <w:rPr>
          <w:rStyle w:val="FootnoteReference"/>
          <w:sz w:val="24"/>
          <w:lang w:val="bg-BG"/>
        </w:rPr>
        <w:footnoteRef/>
      </w:r>
      <w:r w:rsidR="008C1231" w:rsidRPr="008C1231">
        <w:rPr>
          <w:sz w:val="24"/>
          <w:lang w:val="bg-BG"/>
        </w:rPr>
        <w:t xml:space="preserve"> </w:t>
      </w:r>
      <w:r w:rsidR="008C1231" w:rsidRPr="008C1231">
        <w:rPr>
          <w:sz w:val="24"/>
          <w:lang w:val="bg-BG"/>
        </w:rPr>
        <w:tab/>
      </w:r>
      <w:r w:rsidRPr="008C1231">
        <w:rPr>
          <w:sz w:val="24"/>
          <w:lang w:val="bg-BG"/>
        </w:rPr>
        <w:t>ОВ C, C/2023/594, 27.10.2023 г.</w:t>
      </w:r>
    </w:p>
  </w:footnote>
  <w:footnote w:id="2">
    <w:p w:rsidR="00F145FE" w:rsidRPr="008C1231" w:rsidRDefault="00F145FE" w:rsidP="008C1231">
      <w:pPr>
        <w:pStyle w:val="FootnoteText"/>
        <w:ind w:left="567" w:hanging="567"/>
        <w:rPr>
          <w:sz w:val="24"/>
          <w:lang w:val="bg-BG"/>
        </w:rPr>
      </w:pPr>
      <w:r w:rsidRPr="008C1231">
        <w:rPr>
          <w:rStyle w:val="FootnoteReference"/>
          <w:sz w:val="24"/>
          <w:lang w:val="bg-BG"/>
        </w:rPr>
        <w:footnoteRef/>
      </w:r>
      <w:r w:rsidR="008C1231" w:rsidRPr="008C1231">
        <w:rPr>
          <w:sz w:val="24"/>
          <w:lang w:val="bg-BG"/>
        </w:rPr>
        <w:t xml:space="preserve"> </w:t>
      </w:r>
      <w:r w:rsidR="008C1231" w:rsidRPr="008C1231">
        <w:rPr>
          <w:sz w:val="24"/>
          <w:lang w:val="bg-BG"/>
        </w:rPr>
        <w:tab/>
      </w:r>
      <w:r w:rsidRPr="008C1231">
        <w:rPr>
          <w:sz w:val="24"/>
          <w:lang w:val="bg-BG"/>
        </w:rPr>
        <w:t>ОВ C, C/2023/112, 12.10.2023 г.</w:t>
      </w:r>
    </w:p>
  </w:footnote>
  <w:footnote w:id="3">
    <w:p w:rsidR="00F145FE" w:rsidRPr="008C1231" w:rsidRDefault="00F145FE" w:rsidP="008C1231">
      <w:pPr>
        <w:pStyle w:val="FootnoteText"/>
        <w:ind w:left="567" w:hanging="567"/>
        <w:rPr>
          <w:sz w:val="24"/>
          <w:lang w:val="bg-BG"/>
        </w:rPr>
      </w:pPr>
      <w:r w:rsidRPr="008C1231">
        <w:rPr>
          <w:rStyle w:val="FootnoteReference"/>
          <w:sz w:val="24"/>
          <w:lang w:val="bg-BG"/>
        </w:rPr>
        <w:footnoteRef/>
      </w:r>
      <w:r w:rsidR="008C1231" w:rsidRPr="008C1231">
        <w:rPr>
          <w:sz w:val="24"/>
          <w:lang w:val="bg-BG"/>
        </w:rPr>
        <w:t xml:space="preserve"> </w:t>
      </w:r>
      <w:r w:rsidR="008C1231" w:rsidRPr="008C1231">
        <w:rPr>
          <w:sz w:val="24"/>
          <w:lang w:val="bg-BG"/>
        </w:rPr>
        <w:tab/>
      </w:r>
      <w:r w:rsidRPr="008C1231">
        <w:rPr>
          <w:sz w:val="24"/>
          <w:lang w:val="bg-BG"/>
        </w:rPr>
        <w:t>OВ L 193, 30.7.2018 г., стр. 1.</w:t>
      </w:r>
    </w:p>
  </w:footnote>
  <w:footnote w:id="4">
    <w:p w:rsidR="00F145FE" w:rsidRPr="008C1231" w:rsidRDefault="00F145FE" w:rsidP="008C1231">
      <w:pPr>
        <w:pStyle w:val="FootnoteText"/>
        <w:ind w:left="567" w:hanging="567"/>
        <w:rPr>
          <w:sz w:val="24"/>
          <w:szCs w:val="24"/>
          <w:lang w:val="bg-BG"/>
        </w:rPr>
      </w:pPr>
      <w:r w:rsidRPr="008C1231">
        <w:rPr>
          <w:rStyle w:val="FootnoteReference"/>
          <w:sz w:val="24"/>
          <w:lang w:val="bg-BG"/>
        </w:rPr>
        <w:footnoteRef/>
      </w:r>
      <w:r w:rsidR="008C1231" w:rsidRPr="008C1231">
        <w:rPr>
          <w:sz w:val="24"/>
          <w:lang w:val="bg-BG"/>
        </w:rPr>
        <w:t xml:space="preserve"> </w:t>
      </w:r>
      <w:r w:rsidR="008C1231" w:rsidRPr="008C1231">
        <w:rPr>
          <w:sz w:val="24"/>
          <w:lang w:val="bg-BG"/>
        </w:rPr>
        <w:tab/>
      </w:r>
      <w:r w:rsidRPr="008C1231">
        <w:rPr>
          <w:sz w:val="24"/>
          <w:lang w:val="bg-BG"/>
        </w:rPr>
        <w:t>ОВ L 321, 17.12.2018 г., стр. 1.</w:t>
      </w:r>
    </w:p>
  </w:footnote>
  <w:footnote w:id="5">
    <w:p w:rsidR="00F145FE" w:rsidRPr="008C1231" w:rsidRDefault="00F145FE" w:rsidP="008C1231">
      <w:pPr>
        <w:pStyle w:val="FootnoteText"/>
        <w:ind w:left="567" w:hanging="567"/>
        <w:rPr>
          <w:sz w:val="24"/>
          <w:lang w:val="bg-BG"/>
        </w:rPr>
      </w:pPr>
      <w:r w:rsidRPr="008C1231">
        <w:rPr>
          <w:rStyle w:val="FootnoteReference"/>
          <w:sz w:val="24"/>
          <w:lang w:val="bg-BG"/>
        </w:rPr>
        <w:footnoteRef/>
      </w:r>
      <w:r w:rsidR="008C1231" w:rsidRPr="008C1231">
        <w:rPr>
          <w:sz w:val="24"/>
          <w:lang w:val="bg-BG"/>
        </w:rPr>
        <w:t xml:space="preserve"> </w:t>
      </w:r>
      <w:r w:rsidR="008C1231" w:rsidRPr="008C1231">
        <w:rPr>
          <w:sz w:val="24"/>
          <w:lang w:val="bg-BG"/>
        </w:rPr>
        <w:tab/>
      </w:r>
      <w:r w:rsidRPr="008C1231">
        <w:rPr>
          <w:sz w:val="24"/>
          <w:lang w:val="bg-BG"/>
        </w:rPr>
        <w:t>ОВ L 122, 10.5.2019 г., стр. 1.</w:t>
      </w:r>
    </w:p>
  </w:footnote>
  <w:footnote w:id="6">
    <w:p w:rsidR="00F145FE" w:rsidRPr="008C1231" w:rsidRDefault="00F145FE" w:rsidP="008C1231">
      <w:pPr>
        <w:pStyle w:val="FootnoteText"/>
        <w:ind w:left="567" w:hanging="567"/>
        <w:rPr>
          <w:sz w:val="24"/>
          <w:lang w:val="bg-BG"/>
        </w:rPr>
      </w:pPr>
      <w:r w:rsidRPr="008C1231">
        <w:rPr>
          <w:rStyle w:val="FootnoteReference"/>
          <w:sz w:val="24"/>
          <w:lang w:val="bg-BG"/>
        </w:rPr>
        <w:footnoteRef/>
      </w:r>
      <w:r w:rsidR="008C1231" w:rsidRPr="008C1231">
        <w:rPr>
          <w:sz w:val="24"/>
          <w:lang w:val="bg-BG"/>
        </w:rPr>
        <w:t xml:space="preserve"> </w:t>
      </w:r>
      <w:r w:rsidR="008C1231" w:rsidRPr="008C1231">
        <w:rPr>
          <w:sz w:val="24"/>
          <w:lang w:val="bg-BG"/>
        </w:rPr>
        <w:tab/>
      </w:r>
      <w:r w:rsidRPr="008C1231">
        <w:rPr>
          <w:sz w:val="24"/>
          <w:lang w:val="bg-BG"/>
        </w:rPr>
        <w:t>ОВ C, C/2023/594, 27.10.2023 г.</w:t>
      </w:r>
    </w:p>
  </w:footnote>
  <w:footnote w:id="7">
    <w:p w:rsidR="00F145FE" w:rsidRPr="008C1231" w:rsidRDefault="00F145FE" w:rsidP="008C1231">
      <w:pPr>
        <w:pStyle w:val="FootnoteText"/>
        <w:ind w:left="567" w:hanging="567"/>
        <w:rPr>
          <w:sz w:val="24"/>
          <w:lang w:val="bg-BG"/>
        </w:rPr>
      </w:pPr>
      <w:r w:rsidRPr="008C1231">
        <w:rPr>
          <w:rStyle w:val="FootnoteReference"/>
          <w:sz w:val="24"/>
          <w:lang w:val="bg-BG"/>
        </w:rPr>
        <w:footnoteRef/>
      </w:r>
      <w:r w:rsidR="008C1231" w:rsidRPr="008C1231">
        <w:rPr>
          <w:sz w:val="24"/>
          <w:lang w:val="bg-BG"/>
        </w:rPr>
        <w:t xml:space="preserve"> </w:t>
      </w:r>
      <w:r w:rsidR="008C1231" w:rsidRPr="008C1231">
        <w:rPr>
          <w:sz w:val="24"/>
          <w:lang w:val="bg-BG"/>
        </w:rPr>
        <w:tab/>
      </w:r>
      <w:r w:rsidRPr="008C1231">
        <w:rPr>
          <w:sz w:val="24"/>
          <w:lang w:val="bg-BG"/>
        </w:rPr>
        <w:t>ОВ C, C/2023/112, 12.10.2023 г.</w:t>
      </w:r>
    </w:p>
  </w:footnote>
  <w:footnote w:id="8">
    <w:p w:rsidR="00F145FE" w:rsidRPr="008C1231" w:rsidRDefault="00F145FE" w:rsidP="008C1231">
      <w:pPr>
        <w:pStyle w:val="FootnoteText"/>
        <w:ind w:left="567" w:hanging="567"/>
        <w:rPr>
          <w:sz w:val="24"/>
          <w:lang w:val="bg-BG"/>
        </w:rPr>
      </w:pPr>
      <w:r w:rsidRPr="008C1231">
        <w:rPr>
          <w:rStyle w:val="FootnoteReference"/>
          <w:sz w:val="24"/>
          <w:lang w:val="bg-BG"/>
        </w:rPr>
        <w:footnoteRef/>
      </w:r>
      <w:r w:rsidR="008C1231" w:rsidRPr="008C1231">
        <w:rPr>
          <w:sz w:val="24"/>
          <w:lang w:val="bg-BG"/>
        </w:rPr>
        <w:t xml:space="preserve"> </w:t>
      </w:r>
      <w:r w:rsidR="008C1231" w:rsidRPr="008C1231">
        <w:rPr>
          <w:sz w:val="24"/>
          <w:lang w:val="bg-BG"/>
        </w:rPr>
        <w:tab/>
      </w:r>
      <w:r w:rsidRPr="008C1231">
        <w:rPr>
          <w:sz w:val="24"/>
          <w:lang w:val="bg-BG"/>
        </w:rPr>
        <w:t>OВ L 193, 30.7.2018 г., стр. 1.</w:t>
      </w:r>
    </w:p>
  </w:footnote>
  <w:footnote w:id="9">
    <w:p w:rsidR="00F145FE" w:rsidRPr="008C1231" w:rsidRDefault="00F145FE" w:rsidP="008C1231">
      <w:pPr>
        <w:pStyle w:val="FootnoteText"/>
        <w:ind w:left="567" w:hanging="567"/>
        <w:rPr>
          <w:sz w:val="24"/>
          <w:lang w:val="bg-BG"/>
        </w:rPr>
      </w:pPr>
      <w:r w:rsidRPr="008C1231">
        <w:rPr>
          <w:rStyle w:val="FootnoteReference"/>
          <w:sz w:val="24"/>
          <w:lang w:val="bg-BG"/>
        </w:rPr>
        <w:footnoteRef/>
      </w:r>
      <w:r w:rsidR="008C1231" w:rsidRPr="008C1231">
        <w:rPr>
          <w:sz w:val="24"/>
          <w:lang w:val="bg-BG"/>
        </w:rPr>
        <w:t xml:space="preserve"> </w:t>
      </w:r>
      <w:r w:rsidR="008C1231" w:rsidRPr="008C1231">
        <w:rPr>
          <w:sz w:val="24"/>
          <w:lang w:val="bg-BG"/>
        </w:rPr>
        <w:tab/>
      </w:r>
      <w:r w:rsidRPr="008C1231">
        <w:rPr>
          <w:sz w:val="24"/>
          <w:lang w:val="bg-BG"/>
        </w:rPr>
        <w:t>ОВ L 321, 17.12.2018 г., стр. 1.</w:t>
      </w:r>
    </w:p>
  </w:footnote>
  <w:footnote w:id="10">
    <w:p w:rsidR="00F145FE" w:rsidRPr="008C1231" w:rsidRDefault="00F145FE" w:rsidP="008C1231">
      <w:pPr>
        <w:pStyle w:val="FootnoteText"/>
        <w:ind w:left="567" w:hanging="567"/>
        <w:rPr>
          <w:sz w:val="24"/>
          <w:szCs w:val="24"/>
          <w:lang w:val="bg-BG"/>
        </w:rPr>
      </w:pPr>
      <w:r w:rsidRPr="008C1231">
        <w:rPr>
          <w:rStyle w:val="FootnoteReference"/>
          <w:sz w:val="24"/>
          <w:lang w:val="bg-BG"/>
        </w:rPr>
        <w:footnoteRef/>
      </w:r>
      <w:r w:rsidR="008C1231" w:rsidRPr="008C1231">
        <w:rPr>
          <w:sz w:val="24"/>
          <w:lang w:val="bg-BG"/>
        </w:rPr>
        <w:t xml:space="preserve"> </w:t>
      </w:r>
      <w:r w:rsidR="008C1231" w:rsidRPr="008C1231">
        <w:rPr>
          <w:sz w:val="24"/>
          <w:lang w:val="bg-BG"/>
        </w:rPr>
        <w:tab/>
      </w:r>
      <w:r w:rsidRPr="008C1231">
        <w:rPr>
          <w:sz w:val="24"/>
          <w:lang w:val="bg-BG"/>
        </w:rPr>
        <w:t>ОВ L 122, 10.5.2019 г., стр. 1.</w:t>
      </w:r>
    </w:p>
  </w:footnote>
  <w:footnote w:id="11">
    <w:p w:rsidR="00F145FE" w:rsidRPr="008C1231" w:rsidRDefault="00F145FE" w:rsidP="008C1231">
      <w:pPr>
        <w:pStyle w:val="FootnoteText"/>
        <w:ind w:left="567" w:hanging="567"/>
        <w:rPr>
          <w:sz w:val="24"/>
          <w:lang w:val="bg-BG"/>
        </w:rPr>
      </w:pPr>
      <w:r w:rsidRPr="008C1231">
        <w:rPr>
          <w:rStyle w:val="FootnoteReference"/>
          <w:sz w:val="24"/>
          <w:lang w:val="bg-BG"/>
        </w:rPr>
        <w:footnoteRef/>
      </w:r>
      <w:r w:rsidR="008C1231" w:rsidRPr="008C1231">
        <w:rPr>
          <w:sz w:val="24"/>
          <w:lang w:val="bg-BG"/>
        </w:rPr>
        <w:t xml:space="preserve"> </w:t>
      </w:r>
      <w:r w:rsidR="008C1231" w:rsidRPr="008C1231">
        <w:rPr>
          <w:sz w:val="24"/>
          <w:lang w:val="bg-BG"/>
        </w:rPr>
        <w:tab/>
      </w:r>
      <w:r w:rsidRPr="008C1231">
        <w:rPr>
          <w:sz w:val="24"/>
          <w:lang w:val="bg-BG"/>
        </w:rPr>
        <w:t>ОВ C 119, 31.3.2023 г., стр. 11.</w:t>
      </w:r>
    </w:p>
  </w:footnote>
  <w:footnote w:id="12">
    <w:p w:rsidR="00F145FE" w:rsidRPr="008C1231" w:rsidRDefault="00F145FE" w:rsidP="008C1231">
      <w:pPr>
        <w:pStyle w:val="FootnoteText"/>
        <w:ind w:left="567" w:hanging="567"/>
        <w:rPr>
          <w:sz w:val="24"/>
          <w:szCs w:val="24"/>
          <w:lang w:val="bg-BG"/>
        </w:rPr>
      </w:pPr>
      <w:r w:rsidRPr="008C1231">
        <w:rPr>
          <w:rStyle w:val="FootnoteReference"/>
          <w:sz w:val="24"/>
          <w:szCs w:val="24"/>
          <w:lang w:val="bg-BG"/>
        </w:rPr>
        <w:footnoteRef/>
      </w:r>
      <w:r w:rsidR="008C1231" w:rsidRPr="008C1231">
        <w:rPr>
          <w:sz w:val="24"/>
          <w:lang w:val="bg-BG"/>
        </w:rPr>
        <w:t xml:space="preserve"> </w:t>
      </w:r>
      <w:r w:rsidR="008C1231" w:rsidRPr="008C1231">
        <w:rPr>
          <w:sz w:val="24"/>
          <w:lang w:val="bg-BG"/>
        </w:rPr>
        <w:tab/>
      </w:r>
      <w:r w:rsidRPr="008C1231">
        <w:rPr>
          <w:sz w:val="24"/>
          <w:lang w:val="bg-BG"/>
        </w:rPr>
        <w:t>Приети текстове, P9_TA(2024)</w:t>
      </w:r>
      <w:r w:rsidR="00F06E22" w:rsidRPr="00635445">
        <w:rPr>
          <w:sz w:val="24"/>
          <w:lang w:val="bg-BG"/>
        </w:rPr>
        <w:t>0</w:t>
      </w:r>
      <w:r w:rsidR="00F06E22">
        <w:rPr>
          <w:sz w:val="24"/>
          <w:lang w:val="en-GB"/>
        </w:rPr>
        <w:t>28</w:t>
      </w:r>
      <w:r w:rsidR="00F06E22" w:rsidRPr="00635445">
        <w:rPr>
          <w:sz w:val="24"/>
          <w:lang w:val="bg-BG"/>
        </w:rPr>
        <w:t>0</w:t>
      </w:r>
      <w:r w:rsidRPr="008C1231">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123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123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123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3/2024"/>
    <w:docVar w:name="dvlangue" w:val="BG"/>
    <w:docVar w:name="dvnumam" w:val="0"/>
    <w:docVar w:name="dvpe" w:val="753.507"/>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бюджета на Агенцията за подкрепа на ОЕРЕС (Службата на ОЕРЕС) за финансовата 2022 година(2023/2141(DEC))"/>
  </w:docVars>
  <w:rsids>
    <w:rsidRoot w:val="0083046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046B"/>
    <w:rsid w:val="00842779"/>
    <w:rsid w:val="00865F67"/>
    <w:rsid w:val="00881A7B"/>
    <w:rsid w:val="008840E5"/>
    <w:rsid w:val="00887B3E"/>
    <w:rsid w:val="008B016A"/>
    <w:rsid w:val="008C1231"/>
    <w:rsid w:val="008C2AC6"/>
    <w:rsid w:val="00923FF1"/>
    <w:rsid w:val="00930C23"/>
    <w:rsid w:val="0093193B"/>
    <w:rsid w:val="009509D8"/>
    <w:rsid w:val="00950B64"/>
    <w:rsid w:val="0098186A"/>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6E22"/>
    <w:rsid w:val="00F075DC"/>
    <w:rsid w:val="00F145FE"/>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D8CE7C"/>
  <w15:chartTrackingRefBased/>
  <w15:docId w15:val="{0D53FCFA-9C7E-40CC-B7AF-57DA289AC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145F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145FE"/>
    <w:pPr>
      <w:spacing w:before="480" w:after="240"/>
    </w:pPr>
  </w:style>
  <w:style w:type="paragraph" w:customStyle="1" w:styleId="PageHeading">
    <w:name w:val="PageHeading"/>
    <w:basedOn w:val="Normal"/>
    <w:rsid w:val="00F145FE"/>
    <w:pPr>
      <w:keepNext/>
      <w:spacing w:after="480"/>
      <w:jc w:val="center"/>
    </w:pPr>
    <w:rPr>
      <w:rFonts w:ascii="Arial" w:hAnsi="Arial" w:cs="Arial"/>
      <w:b/>
    </w:rPr>
  </w:style>
  <w:style w:type="paragraph" w:customStyle="1" w:styleId="NormalBold">
    <w:name w:val="NormalBold"/>
    <w:basedOn w:val="Normal"/>
    <w:rsid w:val="00F145FE"/>
    <w:rPr>
      <w:b/>
    </w:rPr>
  </w:style>
  <w:style w:type="paragraph" w:customStyle="1" w:styleId="NormalHanging12a">
    <w:name w:val="NormalHanging12a"/>
    <w:basedOn w:val="Normal"/>
    <w:link w:val="NormalHanging12aChar"/>
    <w:rsid w:val="00F145FE"/>
    <w:pPr>
      <w:spacing w:after="240"/>
      <w:ind w:left="567" w:hanging="567"/>
    </w:pPr>
  </w:style>
  <w:style w:type="paragraph" w:customStyle="1" w:styleId="NormalCenter12a">
    <w:name w:val="NormalCenter12a"/>
    <w:basedOn w:val="Normal"/>
    <w:rsid w:val="00F145FE"/>
    <w:pPr>
      <w:spacing w:after="240"/>
      <w:jc w:val="center"/>
    </w:pPr>
  </w:style>
  <w:style w:type="paragraph" w:styleId="Header">
    <w:name w:val="header"/>
    <w:basedOn w:val="Normal"/>
    <w:link w:val="HeaderChar"/>
    <w:rsid w:val="00F145FE"/>
    <w:pPr>
      <w:tabs>
        <w:tab w:val="center" w:pos="4513"/>
        <w:tab w:val="right" w:pos="9026"/>
      </w:tabs>
    </w:pPr>
  </w:style>
  <w:style w:type="character" w:customStyle="1" w:styleId="HeaderChar">
    <w:name w:val="Header Char"/>
    <w:basedOn w:val="DefaultParagraphFont"/>
    <w:link w:val="Header"/>
    <w:rsid w:val="00F145FE"/>
    <w:rPr>
      <w:sz w:val="24"/>
      <w:lang w:val="bg-BG"/>
    </w:rPr>
  </w:style>
  <w:style w:type="paragraph" w:customStyle="1" w:styleId="EPFooter">
    <w:name w:val="EPFooter"/>
    <w:basedOn w:val="Normal"/>
    <w:rsid w:val="00F145FE"/>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F145FE"/>
    <w:rPr>
      <w:sz w:val="24"/>
      <w:lang w:val="bg-BG"/>
    </w:rPr>
  </w:style>
  <w:style w:type="paragraph" w:customStyle="1" w:styleId="Normal12Hanging">
    <w:name w:val="Normal12Hanging"/>
    <w:basedOn w:val="Normal"/>
    <w:rsid w:val="00F145FE"/>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D98B7-8894-4D88-BCD4-BED95B2C7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3473</Words>
  <Characters>20151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2024-04-11T11:13:00Z</dcterms:created>
  <dcterms:modified xsi:type="dcterms:W3CDTF">2024-04-11T11:13:00Z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A9-0123/2024</vt:lpwstr>
  </property>
  <property fmtid="{D5CDD505-2E9C-101B-9397-08002B2CF9AE}" pid="4" name="&lt;Type&gt;">
    <vt:lpwstr>RR</vt:lpwstr>
  </property>
</Properties>
</file>