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5B6E" w:rsidTr="0010095E">
        <w:trPr>
          <w:trHeight w:hRule="exact" w:val="1418"/>
        </w:trPr>
        <w:tc>
          <w:tcPr>
            <w:tcW w:w="6804" w:type="dxa"/>
            <w:shd w:val="clear" w:color="auto" w:fill="auto"/>
            <w:vAlign w:val="center"/>
          </w:tcPr>
          <w:p w:rsidR="00751A4A" w:rsidRPr="00825B6E" w:rsidRDefault="004C7D1C" w:rsidP="0010095E">
            <w:pPr>
              <w:pStyle w:val="EPName"/>
            </w:pPr>
            <w:r w:rsidRPr="00825B6E">
              <w:t>Evropský parlament</w:t>
            </w:r>
          </w:p>
          <w:p w:rsidR="00751A4A" w:rsidRPr="00825B6E" w:rsidRDefault="00817416" w:rsidP="00756632">
            <w:pPr>
              <w:pStyle w:val="EPTerm"/>
              <w:rPr>
                <w:rStyle w:val="HideTWBExt"/>
                <w:noProof w:val="0"/>
                <w:vanish w:val="0"/>
                <w:color w:val="auto"/>
              </w:rPr>
            </w:pPr>
            <w:r w:rsidRPr="00825B6E">
              <w:t>2019-2024</w:t>
            </w:r>
          </w:p>
        </w:tc>
        <w:tc>
          <w:tcPr>
            <w:tcW w:w="2268" w:type="dxa"/>
            <w:shd w:val="clear" w:color="auto" w:fill="auto"/>
          </w:tcPr>
          <w:p w:rsidR="00751A4A" w:rsidRPr="00825B6E" w:rsidRDefault="00187494" w:rsidP="0010095E">
            <w:pPr>
              <w:pStyle w:val="EPLogo"/>
            </w:pPr>
            <w:r w:rsidRPr="00825B6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25B6E" w:rsidRDefault="00D058B8" w:rsidP="004C5D52">
      <w:pPr>
        <w:pStyle w:val="LineTop"/>
      </w:pPr>
    </w:p>
    <w:p w:rsidR="00680577" w:rsidRPr="00825B6E" w:rsidRDefault="004C7D1C" w:rsidP="00680577">
      <w:pPr>
        <w:pStyle w:val="EPBodyTA1"/>
      </w:pPr>
      <w:r w:rsidRPr="00825B6E">
        <w:t>PŘIJATÉ TEXTY</w:t>
      </w:r>
    </w:p>
    <w:p w:rsidR="00D058B8" w:rsidRPr="00825B6E" w:rsidRDefault="00D058B8" w:rsidP="00D058B8">
      <w:pPr>
        <w:pStyle w:val="LineBottom"/>
      </w:pPr>
    </w:p>
    <w:p w:rsidR="004C7D1C" w:rsidRPr="00825B6E" w:rsidRDefault="004C7D1C" w:rsidP="004C7D1C">
      <w:pPr>
        <w:pStyle w:val="ATHeading1"/>
      </w:pPr>
      <w:bookmarkStart w:id="0" w:name="TANumber"/>
      <w:r w:rsidRPr="00825B6E">
        <w:t>P9_TA(2024)0</w:t>
      </w:r>
      <w:bookmarkEnd w:id="0"/>
      <w:r w:rsidR="00674C3F">
        <w:t>266</w:t>
      </w:r>
    </w:p>
    <w:p w:rsidR="004C7D1C" w:rsidRPr="00825B6E" w:rsidRDefault="004C7D1C" w:rsidP="004C7D1C">
      <w:pPr>
        <w:pStyle w:val="ATHeading2"/>
      </w:pPr>
      <w:bookmarkStart w:id="1" w:name="title"/>
      <w:r w:rsidRPr="00825B6E">
        <w:t>Udělení absolutoria za rok 2022: Agentura na podporu BEREC (Úřad BEREC)</w:t>
      </w:r>
      <w:bookmarkEnd w:id="1"/>
    </w:p>
    <w:p w:rsidR="004C7D1C" w:rsidRPr="00825B6E" w:rsidRDefault="004C7D1C" w:rsidP="004C7D1C">
      <w:pPr>
        <w:rPr>
          <w:i/>
          <w:vanish/>
        </w:rPr>
      </w:pPr>
      <w:r w:rsidRPr="00825B6E">
        <w:rPr>
          <w:i/>
        </w:rPr>
        <w:fldChar w:fldCharType="begin"/>
      </w:r>
      <w:r w:rsidRPr="00825B6E">
        <w:rPr>
          <w:i/>
        </w:rPr>
        <w:instrText xml:space="preserve"> TC"(</w:instrText>
      </w:r>
      <w:bookmarkStart w:id="2" w:name="DocNumber"/>
      <w:r w:rsidRPr="00825B6E">
        <w:rPr>
          <w:i/>
        </w:rPr>
        <w:instrText>A9-0123/2024</w:instrText>
      </w:r>
      <w:bookmarkEnd w:id="2"/>
      <w:r w:rsidRPr="00825B6E">
        <w:rPr>
          <w:i/>
        </w:rPr>
        <w:instrText xml:space="preserve"> - Zpravodaj: </w:instrText>
      </w:r>
      <w:proofErr w:type="spellStart"/>
      <w:r w:rsidRPr="00825B6E">
        <w:rPr>
          <w:i/>
        </w:rPr>
        <w:instrText>Petri</w:instrText>
      </w:r>
      <w:proofErr w:type="spellEnd"/>
      <w:r w:rsidRPr="00825B6E">
        <w:rPr>
          <w:i/>
        </w:rPr>
        <w:instrText xml:space="preserve"> </w:instrText>
      </w:r>
      <w:proofErr w:type="spellStart"/>
      <w:r w:rsidRPr="00825B6E">
        <w:rPr>
          <w:i/>
        </w:rPr>
        <w:instrText>Sarvamaa</w:instrText>
      </w:r>
      <w:proofErr w:type="spellEnd"/>
      <w:r w:rsidRPr="00825B6E">
        <w:rPr>
          <w:i/>
        </w:rPr>
        <w:instrText xml:space="preserve">)"\l3 \n&gt; \* MERGEFORMAT </w:instrText>
      </w:r>
      <w:r w:rsidRPr="00825B6E">
        <w:rPr>
          <w:i/>
        </w:rPr>
        <w:fldChar w:fldCharType="end"/>
      </w:r>
    </w:p>
    <w:p w:rsidR="004C7D1C" w:rsidRPr="00825B6E" w:rsidRDefault="004C7D1C" w:rsidP="004C7D1C">
      <w:pPr>
        <w:rPr>
          <w:vanish/>
        </w:rPr>
      </w:pPr>
      <w:bookmarkStart w:id="3" w:name="Commission"/>
      <w:r w:rsidRPr="00825B6E">
        <w:rPr>
          <w:vanish/>
        </w:rPr>
        <w:t>Výbor pro rozpočtovou kontrolu</w:t>
      </w:r>
      <w:bookmarkEnd w:id="3"/>
    </w:p>
    <w:p w:rsidR="004C7D1C" w:rsidRPr="00825B6E" w:rsidRDefault="004C7D1C" w:rsidP="004C7D1C">
      <w:pPr>
        <w:rPr>
          <w:vanish/>
        </w:rPr>
      </w:pPr>
      <w:bookmarkStart w:id="4" w:name="PE"/>
      <w:r w:rsidRPr="00825B6E">
        <w:rPr>
          <w:vanish/>
        </w:rPr>
        <w:t>PE753.507</w:t>
      </w:r>
      <w:bookmarkEnd w:id="4"/>
    </w:p>
    <w:p w:rsidR="004C7D1C" w:rsidRPr="00825B6E" w:rsidRDefault="004C7D1C" w:rsidP="004C7D1C">
      <w:pPr>
        <w:pStyle w:val="ATHeading3"/>
      </w:pPr>
      <w:bookmarkStart w:id="5" w:name="Sujet"/>
      <w:r w:rsidRPr="00825B6E">
        <w:t xml:space="preserve">1. Rozhodnutí </w:t>
      </w:r>
      <w:r w:rsidR="00807E48">
        <w:t>Evropského parlamentu ze dne 11. dubna</w:t>
      </w:r>
      <w:r w:rsidRPr="00825B6E">
        <w:t xml:space="preserve"> 2024 o udělení absolutoria za plnění rozpočtu Agentury na podporu BEREC (Úřad BEREC) na rozpočtový rok 2022</w:t>
      </w:r>
      <w:bookmarkEnd w:id="5"/>
      <w:r w:rsidRPr="00825B6E">
        <w:t xml:space="preserve"> </w:t>
      </w:r>
      <w:bookmarkStart w:id="6" w:name="References"/>
      <w:r w:rsidRPr="00825B6E">
        <w:t>(2023/2141(DEC))</w:t>
      </w:r>
      <w:bookmarkEnd w:id="6"/>
    </w:p>
    <w:p w:rsidR="00CA39DC" w:rsidRPr="00825B6E" w:rsidRDefault="00CA39DC" w:rsidP="00CA39DC">
      <w:pPr>
        <w:pStyle w:val="EPComma"/>
      </w:pPr>
      <w:bookmarkStart w:id="7" w:name="TextBodyBegin"/>
      <w:bookmarkEnd w:id="7"/>
      <w:r w:rsidRPr="00825B6E">
        <w:rPr>
          <w:i/>
        </w:rPr>
        <w:t>Evropský parlament</w:t>
      </w:r>
      <w:r w:rsidRPr="00825B6E">
        <w:t>,</w:t>
      </w:r>
    </w:p>
    <w:p w:rsidR="00CA39DC" w:rsidRPr="00825B6E" w:rsidRDefault="00CA39DC" w:rsidP="00CA39DC">
      <w:pPr>
        <w:pStyle w:val="NormalHanging12a"/>
      </w:pPr>
      <w:r w:rsidRPr="00825B6E">
        <w:t>–</w:t>
      </w:r>
      <w:r w:rsidRPr="00825B6E">
        <w:tab/>
        <w:t>s ohledem na konečnou roční účetní závěrku Agentury na podporu BEREC (Úřad BEREC) za rozpočtový rok 2022,</w:t>
      </w:r>
    </w:p>
    <w:p w:rsidR="00CA39DC" w:rsidRPr="00825B6E" w:rsidRDefault="00CA39DC" w:rsidP="00CA39DC">
      <w:pPr>
        <w:pStyle w:val="NormalHanging12a"/>
      </w:pPr>
      <w:r w:rsidRPr="00825B6E">
        <w:t>–</w:t>
      </w:r>
      <w:r w:rsidRPr="00825B6E">
        <w:tab/>
        <w:t>s ohledem na výroční zprávu Účetního dvora o agenturách EU za rozpočtový rok 2022 spolu s odpověďmi agentur</w:t>
      </w:r>
      <w:r w:rsidRPr="00825B6E">
        <w:rPr>
          <w:rStyle w:val="FootnoteReference"/>
        </w:rPr>
        <w:footnoteReference w:id="1"/>
      </w:r>
      <w:r w:rsidRPr="00825B6E">
        <w:t>,</w:t>
      </w:r>
    </w:p>
    <w:p w:rsidR="00CA39DC" w:rsidRPr="00825B6E" w:rsidRDefault="00CA39DC" w:rsidP="00CA39DC">
      <w:pPr>
        <w:pStyle w:val="NormalHanging12a"/>
      </w:pPr>
      <w:r w:rsidRPr="00825B6E">
        <w:t>–</w:t>
      </w:r>
      <w:r w:rsidRPr="00825B6E">
        <w:tab/>
        <w:t>s ohledem na prohlášení o věrohodnosti</w:t>
      </w:r>
      <w:r w:rsidR="00807E48" w:rsidRPr="00825B6E">
        <w:rPr>
          <w:rStyle w:val="FootnoteReference"/>
        </w:rPr>
        <w:footnoteReference w:id="2"/>
      </w:r>
      <w:r w:rsidRPr="00825B6E">
        <w:t xml:space="preserve"> účetnictví a o legalitě a správnosti uskutečněných operací, které předložil Účetní dvůr za rozpočtový rok 2022 podle článku 287 Smlouvy o fungování Evropské unie,</w:t>
      </w:r>
    </w:p>
    <w:p w:rsidR="00CA39DC" w:rsidRPr="00825B6E" w:rsidRDefault="00CA39DC" w:rsidP="00CA39DC">
      <w:pPr>
        <w:pStyle w:val="NormalHanging12a"/>
      </w:pPr>
      <w:r w:rsidRPr="00825B6E">
        <w:t>–</w:t>
      </w:r>
      <w:r w:rsidRPr="00825B6E">
        <w:tab/>
        <w:t>s ohledem na doporučení Rady ze dne 22. února 2024 o udělení absolutoria agentuře za plnění rozpoč</w:t>
      </w:r>
      <w:r w:rsidR="00963500">
        <w:t>tu na rozpočtový rok 2022 (06180</w:t>
      </w:r>
      <w:r w:rsidRPr="00825B6E">
        <w:t>/2024 – C9</w:t>
      </w:r>
      <w:r w:rsidRPr="00825B6E">
        <w:noBreakHyphen/>
        <w:t>0</w:t>
      </w:r>
      <w:r w:rsidR="00963500">
        <w:t>079</w:t>
      </w:r>
      <w:r w:rsidRPr="00825B6E">
        <w:t>/2024),</w:t>
      </w:r>
    </w:p>
    <w:p w:rsidR="00CA39DC" w:rsidRPr="00825B6E" w:rsidRDefault="00CA39DC" w:rsidP="00CA39DC">
      <w:pPr>
        <w:pStyle w:val="NormalHanging12a"/>
      </w:pPr>
      <w:r w:rsidRPr="00825B6E">
        <w:t>–</w:t>
      </w:r>
      <w:r w:rsidRPr="00825B6E">
        <w:tab/>
        <w:t>s ohledem na článek 319 Smlouvy o fungování Evropské unie,</w:t>
      </w:r>
    </w:p>
    <w:p w:rsidR="00CA39DC" w:rsidRPr="00825B6E" w:rsidRDefault="00CA39DC" w:rsidP="00CA39DC">
      <w:pPr>
        <w:pStyle w:val="NormalHanging12a"/>
      </w:pPr>
      <w:r w:rsidRPr="00825B6E">
        <w:t>–</w:t>
      </w:r>
      <w:r w:rsidRPr="00825B6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w:t>
      </w:r>
      <w:r w:rsidR="00807E48">
        <w:t>dnutí č. 541/2014/</w:t>
      </w:r>
      <w:r w:rsidRPr="00825B6E">
        <w:t>EU a zrušuje nařízení (EU, Euratom) č. 966/2012</w:t>
      </w:r>
      <w:r w:rsidRPr="00825B6E">
        <w:rPr>
          <w:rStyle w:val="FootnoteReference"/>
        </w:rPr>
        <w:footnoteReference w:id="3"/>
      </w:r>
      <w:r w:rsidRPr="00825B6E">
        <w:t>, a zejména článek 70 tohoto nařízení,</w:t>
      </w:r>
    </w:p>
    <w:p w:rsidR="00CA39DC" w:rsidRPr="00825B6E" w:rsidRDefault="00CA39DC" w:rsidP="00CA39DC">
      <w:pPr>
        <w:pStyle w:val="NormalHanging12a"/>
      </w:pPr>
      <w:r w:rsidRPr="00825B6E">
        <w:t>–</w:t>
      </w:r>
      <w:r w:rsidRPr="00825B6E">
        <w:tab/>
        <w:t xml:space="preserve">s ohledem na nařízení Evropského parlamentu a Rady (EU) 2018/1971 ze dne 11. prosince 2018 o zřízení Sdružení evropských regulačních orgánů v oblasti </w:t>
      </w:r>
      <w:r w:rsidRPr="00825B6E">
        <w:lastRenderedPageBreak/>
        <w:t>elektronických komunikací (BEREC) a Agentury na podporu BEREC (Úřad BEREC), o změně nařízení (EU) 2015/2120 a o zrušení nařízení (ES) č. 1211/2009</w:t>
      </w:r>
      <w:r w:rsidRPr="00825B6E">
        <w:rPr>
          <w:rStyle w:val="FootnoteReference"/>
        </w:rPr>
        <w:footnoteReference w:id="4"/>
      </w:r>
      <w:r w:rsidRPr="00825B6E">
        <w:t>, a zejména na článek 28 tohoto nařízení,</w:t>
      </w:r>
    </w:p>
    <w:p w:rsidR="00CA39DC" w:rsidRPr="00825B6E" w:rsidRDefault="00CA39DC" w:rsidP="00CA39DC">
      <w:pPr>
        <w:pStyle w:val="NormalHanging12a"/>
      </w:pPr>
      <w:r w:rsidRPr="00825B6E">
        <w:t>–</w:t>
      </w:r>
      <w:r w:rsidRPr="00825B6E">
        <w:tab/>
        <w:t xml:space="preserve">s ohledem na nařízení Komise v přenesené pravomoci (EU) 2019/715 ze dne 18. prosince 2018 o rámcovém finančním nařízení pro subjekty zřízené podle </w:t>
      </w:r>
      <w:r w:rsidR="00CB70DF" w:rsidRPr="00CB70DF">
        <w:t>Smlouvy o fungování Evropské unie</w:t>
      </w:r>
      <w:r w:rsidRPr="00825B6E">
        <w:t xml:space="preserve"> a Smlouvy o Euratomu a uvedené v článku 70 nařízení Evropského parlamentu a Rady (EU, Euratom) 2018/1046</w:t>
      </w:r>
      <w:r w:rsidRPr="00825B6E">
        <w:rPr>
          <w:rStyle w:val="FootnoteReference"/>
        </w:rPr>
        <w:footnoteReference w:id="5"/>
      </w:r>
      <w:r w:rsidRPr="00825B6E">
        <w:t>, a zejména na článek 105 tohoto nařízení,</w:t>
      </w:r>
    </w:p>
    <w:p w:rsidR="00CA39DC" w:rsidRPr="00825B6E" w:rsidRDefault="00CA39DC" w:rsidP="00CA39DC">
      <w:pPr>
        <w:pStyle w:val="NormalHanging12a"/>
      </w:pPr>
      <w:r w:rsidRPr="00825B6E">
        <w:t>–</w:t>
      </w:r>
      <w:r w:rsidRPr="00825B6E">
        <w:tab/>
        <w:t>s ohledem na článek 100 a přílohu V jednacího řádu,</w:t>
      </w:r>
    </w:p>
    <w:p w:rsidR="00CA39DC" w:rsidRPr="00825B6E" w:rsidRDefault="00CA39DC" w:rsidP="00CA39DC">
      <w:pPr>
        <w:pStyle w:val="NormalHanging12a"/>
      </w:pPr>
      <w:r w:rsidRPr="00825B6E">
        <w:t>–</w:t>
      </w:r>
      <w:r w:rsidRPr="00825B6E">
        <w:tab/>
        <w:t>s ohledem na zprávu Výboru pro rozpočtovou kontrolu (A9</w:t>
      </w:r>
      <w:r w:rsidRPr="00825B6E">
        <w:noBreakHyphen/>
        <w:t>0123/2024),</w:t>
      </w:r>
    </w:p>
    <w:p w:rsidR="00CA39DC" w:rsidRPr="00825B6E" w:rsidRDefault="00CA39DC" w:rsidP="00CA39DC">
      <w:pPr>
        <w:pStyle w:val="NormalHanging12a"/>
      </w:pPr>
      <w:r w:rsidRPr="00825B6E">
        <w:t>1.</w:t>
      </w:r>
      <w:r w:rsidRPr="00825B6E">
        <w:tab/>
        <w:t>uděluje absolutorium řediteli Agentury na podporu BEREC (Úřad BEREC) za plnění rozpočtu agentury na rozpočtový rok 2022;</w:t>
      </w:r>
    </w:p>
    <w:p w:rsidR="00CA39DC" w:rsidRPr="00825B6E" w:rsidRDefault="00CA39DC" w:rsidP="00CA39DC">
      <w:pPr>
        <w:pStyle w:val="NormalHanging12a"/>
      </w:pPr>
      <w:r w:rsidRPr="00825B6E">
        <w:t>2.</w:t>
      </w:r>
      <w:r w:rsidRPr="00825B6E">
        <w:tab/>
        <w:t>předkládá své připomínky v dále uvedeném usnesení;</w:t>
      </w:r>
    </w:p>
    <w:p w:rsidR="00CA39DC" w:rsidRPr="00825B6E" w:rsidRDefault="00CA39DC" w:rsidP="00CA39DC">
      <w:pPr>
        <w:pStyle w:val="NormalHanging12a"/>
      </w:pPr>
      <w:r w:rsidRPr="00825B6E">
        <w:t>3.</w:t>
      </w:r>
      <w:r w:rsidRPr="00825B6E">
        <w:tab/>
        <w:t xml:space="preserve">pověřuje svou předsedkyni, aby předala toto rozhodnutí a usnesení, které je jeho nedílnou součástí, řediteli Agentury na podporu BEREC (Úřad BEREC), Radě, Komisi a Účetnímu dvoru a aby zajistila jejich zveřejnění v </w:t>
      </w:r>
      <w:r w:rsidRPr="00825B6E">
        <w:rPr>
          <w:i/>
        </w:rPr>
        <w:t>Úředním věstníku Evropské unie</w:t>
      </w:r>
      <w:r w:rsidRPr="00825B6E">
        <w:t xml:space="preserve"> (řada L).</w:t>
      </w:r>
    </w:p>
    <w:p w:rsidR="00CA39DC" w:rsidRPr="00825B6E" w:rsidRDefault="00CA39DC" w:rsidP="00CA39DC"/>
    <w:p w:rsidR="00CA39DC" w:rsidRPr="00825B6E" w:rsidRDefault="00CA39DC" w:rsidP="00CA39DC">
      <w:pPr>
        <w:pStyle w:val="PageHeading"/>
        <w:sectPr w:rsidR="00CA39DC" w:rsidRPr="00825B6E" w:rsidSect="00825B6E">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CA39DC" w:rsidRPr="00807E48" w:rsidRDefault="00CA39DC" w:rsidP="00807E48">
      <w:pPr>
        <w:pStyle w:val="PageHeading"/>
        <w:jc w:val="left"/>
        <w:rPr>
          <w:rFonts w:ascii="Times New Roman" w:hAnsi="Times New Roman" w:cs="Times New Roman"/>
        </w:rPr>
      </w:pPr>
      <w:bookmarkStart w:id="8" w:name="_Toc161940554"/>
      <w:r w:rsidRPr="00807E48">
        <w:rPr>
          <w:rFonts w:ascii="Times New Roman" w:hAnsi="Times New Roman" w:cs="Times New Roman"/>
        </w:rPr>
        <w:lastRenderedPageBreak/>
        <w:t xml:space="preserve">2. </w:t>
      </w:r>
      <w:r w:rsidR="00807E48">
        <w:rPr>
          <w:rFonts w:ascii="Times New Roman" w:hAnsi="Times New Roman" w:cs="Times New Roman"/>
        </w:rPr>
        <w:t>Rozhodnutí E</w:t>
      </w:r>
      <w:r w:rsidR="00807E48" w:rsidRPr="00807E48">
        <w:rPr>
          <w:rFonts w:ascii="Times New Roman" w:hAnsi="Times New Roman" w:cs="Times New Roman"/>
        </w:rPr>
        <w:t>vropského parlamentu</w:t>
      </w:r>
      <w:bookmarkEnd w:id="8"/>
      <w:r w:rsidR="00807E48" w:rsidRPr="00807E48">
        <w:rPr>
          <w:rFonts w:ascii="Times New Roman" w:hAnsi="Times New Roman" w:cs="Times New Roman"/>
        </w:rPr>
        <w:t xml:space="preserve"> ze dne 11. dubna 2024 </w:t>
      </w:r>
      <w:r w:rsidRPr="00807E48">
        <w:rPr>
          <w:rFonts w:ascii="Times New Roman" w:hAnsi="Times New Roman" w:cs="Times New Roman"/>
        </w:rPr>
        <w:t>o uzavření účtů Agentury na podporu BEREC (Úřad BEREC) za rozpočtový rok 2022</w:t>
      </w:r>
      <w:r w:rsidR="00807E48" w:rsidRPr="00807E48">
        <w:rPr>
          <w:rFonts w:ascii="Times New Roman" w:hAnsi="Times New Roman" w:cs="Times New Roman"/>
        </w:rPr>
        <w:t xml:space="preserve"> </w:t>
      </w:r>
      <w:r w:rsidRPr="00807E48">
        <w:rPr>
          <w:rFonts w:ascii="Times New Roman" w:hAnsi="Times New Roman" w:cs="Times New Roman"/>
        </w:rPr>
        <w:t>(2023/2141(DEC))</w:t>
      </w:r>
    </w:p>
    <w:p w:rsidR="00CA39DC" w:rsidRPr="00825B6E" w:rsidRDefault="00CA39DC" w:rsidP="00CA39DC">
      <w:pPr>
        <w:pStyle w:val="EPComma"/>
      </w:pPr>
      <w:r w:rsidRPr="00825B6E">
        <w:rPr>
          <w:i/>
        </w:rPr>
        <w:t>Evropský parlament</w:t>
      </w:r>
      <w:r w:rsidRPr="00825B6E">
        <w:t>,</w:t>
      </w:r>
    </w:p>
    <w:p w:rsidR="00CA39DC" w:rsidRPr="00825B6E" w:rsidRDefault="00CA39DC" w:rsidP="00CA39DC">
      <w:pPr>
        <w:pStyle w:val="NormalHanging12a"/>
      </w:pPr>
      <w:r w:rsidRPr="00825B6E">
        <w:t>–</w:t>
      </w:r>
      <w:r w:rsidRPr="00825B6E">
        <w:tab/>
        <w:t>s ohledem na konečnou roční účetní závěrku Agentury na podporu BEREC (Úřad BEREC) za rozpočtový rok 2022,</w:t>
      </w:r>
    </w:p>
    <w:p w:rsidR="00CA39DC" w:rsidRPr="00825B6E" w:rsidRDefault="00CA39DC" w:rsidP="00CA39DC">
      <w:pPr>
        <w:pStyle w:val="NormalHanging12a"/>
      </w:pPr>
      <w:r w:rsidRPr="00825B6E">
        <w:t>–</w:t>
      </w:r>
      <w:r w:rsidRPr="00825B6E">
        <w:tab/>
        <w:t>s ohledem na výroční zprávu Účetního dvora o agenturách EU za rozpočtový rok 2022 spolu s odpověďmi agentur</w:t>
      </w:r>
      <w:r w:rsidRPr="00825B6E">
        <w:rPr>
          <w:rStyle w:val="FootnoteReference"/>
        </w:rPr>
        <w:footnoteReference w:id="6"/>
      </w:r>
      <w:r w:rsidRPr="00825B6E">
        <w:t>,</w:t>
      </w:r>
    </w:p>
    <w:p w:rsidR="00CA39DC" w:rsidRPr="00825B6E" w:rsidRDefault="00CA39DC" w:rsidP="00CA39DC">
      <w:pPr>
        <w:pStyle w:val="NormalHanging12a"/>
      </w:pPr>
      <w:r w:rsidRPr="00825B6E">
        <w:t>–</w:t>
      </w:r>
      <w:r w:rsidRPr="00825B6E">
        <w:tab/>
        <w:t>s ohledem na prohlášení o věrohodnosti</w:t>
      </w:r>
      <w:r w:rsidR="00807E48" w:rsidRPr="00825B6E">
        <w:rPr>
          <w:rStyle w:val="FootnoteReference"/>
        </w:rPr>
        <w:footnoteReference w:id="7"/>
      </w:r>
      <w:r w:rsidRPr="00825B6E">
        <w:t xml:space="preserve"> účetnictví a o legalitě a správnosti uskutečněných operací, které předložil Účetní dvůr za rozpočtový rok 2022 podle článku 287 Smlouvy o fungování Evropské unie,</w:t>
      </w:r>
    </w:p>
    <w:p w:rsidR="00CA39DC" w:rsidRPr="00825B6E" w:rsidRDefault="00CA39DC" w:rsidP="00CA39DC">
      <w:pPr>
        <w:pStyle w:val="NormalHanging12a"/>
      </w:pPr>
      <w:r w:rsidRPr="00825B6E">
        <w:t>–</w:t>
      </w:r>
      <w:r w:rsidRPr="00825B6E">
        <w:tab/>
        <w:t>s ohledem na doporučení Rady ze dne 22. února 2024 o udělení absolutoria agentuře za plnění rozpoč</w:t>
      </w:r>
      <w:r w:rsidR="00963500">
        <w:t>tu na rozpočtový rok 2022 (06180/2024 – C9</w:t>
      </w:r>
      <w:r w:rsidR="00963500">
        <w:noBreakHyphen/>
        <w:t>0079</w:t>
      </w:r>
      <w:r w:rsidRPr="00825B6E">
        <w:t>/2024),</w:t>
      </w:r>
    </w:p>
    <w:p w:rsidR="00CA39DC" w:rsidRPr="00825B6E" w:rsidRDefault="00CA39DC" w:rsidP="00CA39DC">
      <w:pPr>
        <w:pStyle w:val="NormalHanging12a"/>
      </w:pPr>
      <w:r w:rsidRPr="00825B6E">
        <w:t>–</w:t>
      </w:r>
      <w:r w:rsidRPr="00825B6E">
        <w:tab/>
        <w:t>s ohledem na článek 319 Smlouvy o fungování Evropské unie,</w:t>
      </w:r>
    </w:p>
    <w:p w:rsidR="00CA39DC" w:rsidRPr="00825B6E" w:rsidRDefault="00CA39DC" w:rsidP="00CA39DC">
      <w:pPr>
        <w:pStyle w:val="NormalHanging12a"/>
      </w:pPr>
      <w:r w:rsidRPr="00825B6E">
        <w:t>–</w:t>
      </w:r>
      <w:r w:rsidRPr="00825B6E">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w:t>
      </w:r>
      <w:r w:rsidR="00807E48">
        <w:t>/2014 a rozhodnutí č. 541/2014/</w:t>
      </w:r>
      <w:r w:rsidRPr="00825B6E">
        <w:t>EU a zrušuje nařízení (EU, Euratom) č. 966/2012</w:t>
      </w:r>
      <w:r w:rsidRPr="00825B6E">
        <w:rPr>
          <w:rStyle w:val="FootnoteReference"/>
        </w:rPr>
        <w:footnoteReference w:id="8"/>
      </w:r>
      <w:r w:rsidRPr="00825B6E">
        <w:t>, a zejména článek 70 tohoto nařízení,</w:t>
      </w:r>
    </w:p>
    <w:p w:rsidR="00CA39DC" w:rsidRPr="00825B6E" w:rsidRDefault="00CA39DC" w:rsidP="00CA39DC">
      <w:pPr>
        <w:pStyle w:val="NormalHanging12a"/>
      </w:pPr>
      <w:r w:rsidRPr="00825B6E">
        <w:t>–</w:t>
      </w:r>
      <w:r w:rsidRPr="00825B6E">
        <w:tab/>
        <w:t>s ohledem na nařízení Evropského parlamentu a Rady (EU) 2018/1971 ze dne 11. prosince 2018 o zřízení Sdružení evropských regulačních orgánů v oblasti elektronických komunikací (BEREC) a Agentury na podporu BEREC (Úřad BEREC), o změně nařízení (EU) 2015/2120 a o zrušení nařízení (ES) č. 1211/2009</w:t>
      </w:r>
      <w:r w:rsidRPr="00825B6E">
        <w:rPr>
          <w:rStyle w:val="FootnoteReference"/>
        </w:rPr>
        <w:footnoteReference w:id="9"/>
      </w:r>
      <w:r w:rsidRPr="00825B6E">
        <w:t>, a zejména na článek 28 tohoto nařízení,</w:t>
      </w:r>
    </w:p>
    <w:p w:rsidR="00CA39DC" w:rsidRPr="00825B6E" w:rsidRDefault="00CA39DC" w:rsidP="00CA39DC">
      <w:pPr>
        <w:pStyle w:val="NormalHanging12a"/>
      </w:pPr>
      <w:r w:rsidRPr="00825B6E">
        <w:t>–</w:t>
      </w:r>
      <w:r w:rsidRPr="00825B6E">
        <w:tab/>
        <w:t xml:space="preserve">s ohledem na nařízení Komise v přenesené pravomoci (EU) 2019/715 ze dne 18. prosince 2018 o rámcovém finančním nařízení pro subjekty zřízené podle </w:t>
      </w:r>
      <w:r w:rsidR="00CB70DF" w:rsidRPr="00CB70DF">
        <w:t>Smlouvy o fungování Evropské unie</w:t>
      </w:r>
      <w:r w:rsidRPr="00825B6E">
        <w:t xml:space="preserve"> a Smlouvy o Euratomu a uvedené v článku 70 nařízení Evropského parlamentu a Rady (EU, Euratom) 2018/1046</w:t>
      </w:r>
      <w:r w:rsidRPr="00825B6E">
        <w:rPr>
          <w:rStyle w:val="FootnoteReference"/>
        </w:rPr>
        <w:footnoteReference w:id="10"/>
      </w:r>
      <w:r w:rsidRPr="00825B6E">
        <w:t>, a zejména na článek 105 tohoto nařízení,</w:t>
      </w:r>
    </w:p>
    <w:p w:rsidR="00CA39DC" w:rsidRPr="00825B6E" w:rsidRDefault="00CA39DC" w:rsidP="00CA39DC">
      <w:pPr>
        <w:pStyle w:val="NormalHanging12a"/>
      </w:pPr>
      <w:r w:rsidRPr="00825B6E">
        <w:t>–</w:t>
      </w:r>
      <w:r w:rsidRPr="00825B6E">
        <w:tab/>
        <w:t>s ohledem na článek 100 a přílohu V jednacího řádu,</w:t>
      </w:r>
    </w:p>
    <w:p w:rsidR="00CA39DC" w:rsidRPr="00825B6E" w:rsidRDefault="00CA39DC" w:rsidP="00CA39DC">
      <w:pPr>
        <w:pStyle w:val="NormalHanging12a"/>
      </w:pPr>
      <w:r w:rsidRPr="00825B6E">
        <w:t>–</w:t>
      </w:r>
      <w:r w:rsidRPr="00825B6E">
        <w:tab/>
        <w:t>s ohledem na zprávu Výboru pro rozpočtovou kontrolu (A9</w:t>
      </w:r>
      <w:r w:rsidRPr="00825B6E">
        <w:noBreakHyphen/>
        <w:t>0123/2024),</w:t>
      </w:r>
    </w:p>
    <w:p w:rsidR="00CA39DC" w:rsidRPr="00825B6E" w:rsidRDefault="00CA39DC" w:rsidP="00CA39DC">
      <w:pPr>
        <w:pStyle w:val="NormalHanging12a"/>
      </w:pPr>
      <w:r w:rsidRPr="00825B6E">
        <w:t>1.</w:t>
      </w:r>
      <w:r w:rsidRPr="00825B6E">
        <w:tab/>
        <w:t>schvaluje uzavření účtů Agentury na podporu BEREC (Úřad BEREC) za rozpočtový rok 2022;</w:t>
      </w:r>
    </w:p>
    <w:p w:rsidR="00CA39DC" w:rsidRPr="00825B6E" w:rsidRDefault="00CA39DC" w:rsidP="00CA39DC">
      <w:pPr>
        <w:pStyle w:val="NormalHanging12a"/>
      </w:pPr>
      <w:r w:rsidRPr="00825B6E">
        <w:t>2.</w:t>
      </w:r>
      <w:r w:rsidRPr="00825B6E">
        <w:tab/>
        <w:t xml:space="preserve">pověřuje svou předsedkyni, aby předala toto rozhodnutí řediteli Agentury na podporu BEREC (Úřad BEREC), Radě, Komisi a Účetnímu dvoru a aby zajistila jeho zveřejnění v </w:t>
      </w:r>
      <w:r w:rsidRPr="00825B6E">
        <w:rPr>
          <w:i/>
        </w:rPr>
        <w:t>Úředním věstníku Evropské unie</w:t>
      </w:r>
      <w:r w:rsidRPr="00825B6E">
        <w:t xml:space="preserve"> (řada L).</w:t>
      </w:r>
    </w:p>
    <w:p w:rsidR="00CA39DC" w:rsidRPr="00825B6E" w:rsidRDefault="00CA39DC" w:rsidP="00CA39DC"/>
    <w:p w:rsidR="00CA39DC" w:rsidRPr="00825B6E" w:rsidRDefault="00CA39DC" w:rsidP="00CA39DC">
      <w:pPr>
        <w:pStyle w:val="PageHeading"/>
        <w:sectPr w:rsidR="00CA39DC" w:rsidRPr="00825B6E" w:rsidSect="00825B6E">
          <w:footnotePr>
            <w:numRestart w:val="eachPage"/>
          </w:footnotePr>
          <w:endnotePr>
            <w:numFmt w:val="decimal"/>
          </w:endnotePr>
          <w:pgSz w:w="11906" w:h="16838" w:code="9"/>
          <w:pgMar w:top="1134" w:right="1418" w:bottom="1418" w:left="1418" w:header="567" w:footer="567" w:gutter="0"/>
          <w:cols w:space="720"/>
          <w:noEndnote/>
          <w:docGrid w:linePitch="326"/>
        </w:sectPr>
      </w:pPr>
    </w:p>
    <w:p w:rsidR="00CA39DC" w:rsidRPr="00807E48" w:rsidRDefault="00CA39DC" w:rsidP="00807E48">
      <w:pPr>
        <w:pStyle w:val="PageHeading"/>
        <w:jc w:val="left"/>
        <w:rPr>
          <w:rFonts w:ascii="Times New Roman" w:hAnsi="Times New Roman" w:cs="Times New Roman"/>
        </w:rPr>
      </w:pPr>
      <w:bookmarkStart w:id="9" w:name="_Toc161940555"/>
      <w:r w:rsidRPr="00807E48">
        <w:rPr>
          <w:rFonts w:ascii="Times New Roman" w:hAnsi="Times New Roman" w:cs="Times New Roman"/>
        </w:rPr>
        <w:t xml:space="preserve">3. </w:t>
      </w:r>
      <w:r w:rsidR="00807E48">
        <w:rPr>
          <w:rFonts w:ascii="Times New Roman" w:hAnsi="Times New Roman" w:cs="Times New Roman"/>
        </w:rPr>
        <w:t>Usnesení E</w:t>
      </w:r>
      <w:r w:rsidR="00807E48" w:rsidRPr="00807E48">
        <w:rPr>
          <w:rFonts w:ascii="Times New Roman" w:hAnsi="Times New Roman" w:cs="Times New Roman"/>
        </w:rPr>
        <w:t>vropského parlamentu</w:t>
      </w:r>
      <w:bookmarkEnd w:id="9"/>
      <w:r w:rsidR="00807E48" w:rsidRPr="00807E48">
        <w:rPr>
          <w:rFonts w:ascii="Times New Roman" w:hAnsi="Times New Roman" w:cs="Times New Roman"/>
        </w:rPr>
        <w:t xml:space="preserve"> ze dne 11. dubna 2024 </w:t>
      </w:r>
      <w:r w:rsidRPr="00807E48">
        <w:rPr>
          <w:rFonts w:ascii="Times New Roman" w:hAnsi="Times New Roman" w:cs="Times New Roman"/>
        </w:rPr>
        <w:t>obsahující připomínky, které jsou nedílnou součástí rozhodnutí o udělení absolutoria za plnění rozpočtu Agentury na podporu BEREC (Úřad BEREC) na rozpočtový rok 2022</w:t>
      </w:r>
      <w:r w:rsidR="00807E48" w:rsidRPr="00807E48">
        <w:rPr>
          <w:rFonts w:ascii="Times New Roman" w:hAnsi="Times New Roman" w:cs="Times New Roman"/>
        </w:rPr>
        <w:t xml:space="preserve"> </w:t>
      </w:r>
      <w:r w:rsidRPr="00807E48">
        <w:rPr>
          <w:rFonts w:ascii="Times New Roman" w:hAnsi="Times New Roman" w:cs="Times New Roman"/>
        </w:rPr>
        <w:t>(2023/2141(DEC))</w:t>
      </w:r>
    </w:p>
    <w:p w:rsidR="00CA39DC" w:rsidRPr="00825B6E" w:rsidRDefault="00CA39DC" w:rsidP="00CA39DC">
      <w:pPr>
        <w:pStyle w:val="EPComma"/>
      </w:pPr>
      <w:r w:rsidRPr="00825B6E">
        <w:rPr>
          <w:i/>
        </w:rPr>
        <w:t>Evropský parlament</w:t>
      </w:r>
      <w:r w:rsidRPr="00825B6E">
        <w:t>,</w:t>
      </w:r>
    </w:p>
    <w:p w:rsidR="00CA39DC" w:rsidRPr="00825B6E" w:rsidRDefault="00CA39DC" w:rsidP="00CA39DC">
      <w:pPr>
        <w:pStyle w:val="NormalHanging12a"/>
      </w:pPr>
      <w:r w:rsidRPr="00825B6E">
        <w:t>–</w:t>
      </w:r>
      <w:r w:rsidRPr="00825B6E">
        <w:tab/>
        <w:t>s ohledem na své rozhodnutí o udělení absolutoria za plnění rozpočtu Agentury na podporu BEREC (dále jen „agentura“) na rozpočtový rok 2022,</w:t>
      </w:r>
    </w:p>
    <w:p w:rsidR="00CA39DC" w:rsidRPr="00825B6E" w:rsidRDefault="00CA39DC" w:rsidP="00CA39DC">
      <w:pPr>
        <w:pStyle w:val="NormalHanging12a"/>
      </w:pPr>
      <w:r w:rsidRPr="00825B6E">
        <w:t>–</w:t>
      </w:r>
      <w:r w:rsidRPr="00825B6E">
        <w:tab/>
        <w:t>s ohledem na článek 100 a přílohu V jednacího řádu,</w:t>
      </w:r>
    </w:p>
    <w:p w:rsidR="00CA39DC" w:rsidRPr="00825B6E" w:rsidRDefault="00CA39DC" w:rsidP="00CA39DC">
      <w:pPr>
        <w:pStyle w:val="NormalHanging12a"/>
      </w:pPr>
      <w:r w:rsidRPr="00825B6E">
        <w:t>–</w:t>
      </w:r>
      <w:r w:rsidRPr="00825B6E">
        <w:tab/>
        <w:t>s ohledem na zprávu Výboru pro rozpočtovou kontrolu (A9-0123/2024),</w:t>
      </w:r>
    </w:p>
    <w:p w:rsidR="00CA39DC" w:rsidRPr="00825B6E" w:rsidRDefault="00CA39DC" w:rsidP="00CA39DC">
      <w:pPr>
        <w:pStyle w:val="NormalHanging12a"/>
        <w:rPr>
          <w:szCs w:val="24"/>
        </w:rPr>
      </w:pPr>
      <w:r w:rsidRPr="00825B6E">
        <w:t>A.</w:t>
      </w:r>
      <w:r w:rsidRPr="00825B6E">
        <w:tab/>
        <w:t>vzhledem k tomu, že schválený konečný rozpočet agentury na rozpočtový rok 2022 činil podle jejího výkazu příjmů a výdajů</w:t>
      </w:r>
      <w:r w:rsidRPr="00825B6E">
        <w:rPr>
          <w:rFonts w:eastAsiaTheme="minorHAnsi"/>
          <w:szCs w:val="24"/>
          <w:vertAlign w:val="superscript"/>
          <w:lang w:eastAsia="en-US"/>
        </w:rPr>
        <w:footnoteReference w:id="11"/>
      </w:r>
      <w:r w:rsidRPr="00825B6E">
        <w:t xml:space="preserve"> 7 428 456 EUR, což ve srovnání s rokem 2021 představuje zvýšení o 1,19 %; vzhledem k tomu, že rozpočet agentury se odvíjí převážně od rozpočtu Unie;</w:t>
      </w:r>
    </w:p>
    <w:p w:rsidR="00CA39DC" w:rsidRPr="00825B6E" w:rsidRDefault="00CA39DC" w:rsidP="00CA39DC">
      <w:pPr>
        <w:pStyle w:val="NormalHanging12a"/>
        <w:rPr>
          <w:szCs w:val="24"/>
        </w:rPr>
      </w:pPr>
      <w:r w:rsidRPr="00825B6E">
        <w:t>B.</w:t>
      </w:r>
      <w:r w:rsidRPr="00825B6E">
        <w:tab/>
        <w:t>vzhledem k tomu, že Účetní dvůr ve své zprávě o ověření roční účetní závěrky agentury za rozpočtový rok 2022 (dále jen „zpráva Účetního dvora“) prohlásil, že získal přiměřené jistoty, že roční účetní závěrka agentury je spolehlivá a uskutečněné operace jsou legální a správné;</w:t>
      </w:r>
    </w:p>
    <w:p w:rsidR="00CA39DC" w:rsidRPr="00825B6E" w:rsidRDefault="00CA39DC" w:rsidP="00CA39DC">
      <w:pPr>
        <w:pStyle w:val="NormalHanging12a"/>
        <w:rPr>
          <w:szCs w:val="24"/>
        </w:rPr>
      </w:pPr>
      <w:r w:rsidRPr="00825B6E">
        <w:t>C.</w:t>
      </w:r>
      <w:r w:rsidRPr="00825B6E">
        <w:tab/>
        <w:t>vzhledem k tomu, že v odvětví zadávání veřejných zakázek agentury nebyly v roce 2022 hlášeny žádné problémy, které by vyžadovaly nápravná opatření, a nebyla prováděna žádná probíhající či nedokončená nápravná opatření na základě auditů či posouzení z předchozích let;</w:t>
      </w:r>
    </w:p>
    <w:p w:rsidR="00CA39DC" w:rsidRPr="00825B6E" w:rsidRDefault="00CA39DC" w:rsidP="00CA39DC">
      <w:pPr>
        <w:pStyle w:val="NormalHanging12a"/>
        <w:rPr>
          <w:szCs w:val="24"/>
        </w:rPr>
      </w:pPr>
      <w:r w:rsidRPr="00825B6E">
        <w:t>D.</w:t>
      </w:r>
      <w:r w:rsidRPr="00825B6E">
        <w:tab/>
        <w:t>vzhledem k tomu, že v systémech vnitřní kontroly agentury nebyly v roce 2022 hlášeny žádné problémy, které by vyžadovaly nápravná opatření, a nebyla prováděna žádná probíhající či nedokončená nápravná opatření na základě auditů či posouzení z předchozích let;</w:t>
      </w:r>
    </w:p>
    <w:p w:rsidR="00CA39DC" w:rsidRPr="00825B6E" w:rsidRDefault="00CA39DC" w:rsidP="00CA39DC">
      <w:pPr>
        <w:pStyle w:val="NormalHanging12a"/>
        <w:tabs>
          <w:tab w:val="left" w:pos="1718"/>
        </w:tabs>
        <w:rPr>
          <w:b/>
          <w:i/>
          <w:szCs w:val="24"/>
        </w:rPr>
      </w:pPr>
      <w:r w:rsidRPr="00825B6E">
        <w:rPr>
          <w:b/>
          <w:i/>
        </w:rPr>
        <w:t>Rozpočtové a finanční řízení</w:t>
      </w:r>
    </w:p>
    <w:p w:rsidR="00CA39DC" w:rsidRPr="00825B6E" w:rsidRDefault="00CA39DC" w:rsidP="00CA39DC">
      <w:pPr>
        <w:spacing w:after="240"/>
        <w:ind w:left="567" w:hanging="567"/>
        <w:rPr>
          <w:sz w:val="22"/>
          <w:szCs w:val="22"/>
        </w:rPr>
      </w:pPr>
      <w:r w:rsidRPr="00825B6E">
        <w:t>1.</w:t>
      </w:r>
      <w:r w:rsidRPr="00825B6E">
        <w:tab/>
        <w:t>s uspokojením konstatuje, že výsledkem úsilí o monitorování rozpočtu během rozpočtového roku 2022 byla míra plnění prostředků na závazky v rámci konečného schváleného rozpočtu na daný rok ve výši 99,99 %, což oproti roku 2021 znamená zvýšení o 0,02 %; vítá skutečnost, že míra plnění rozpočtu přesahuje správní radou stanovených 95 %;</w:t>
      </w:r>
      <w:r w:rsidRPr="00825B6E">
        <w:rPr>
          <w:sz w:val="22"/>
        </w:rPr>
        <w:t xml:space="preserve"> </w:t>
      </w:r>
      <w:r w:rsidRPr="00825B6E">
        <w:t>konstatuje, že míra čerpání prostředků na platby na běžný rok dosáhla 82,78 %, což ve srovnání s rokem 2021 představuje zvýšení o 13,44 %;</w:t>
      </w:r>
    </w:p>
    <w:p w:rsidR="00CA39DC" w:rsidRPr="00825B6E" w:rsidRDefault="00CA39DC" w:rsidP="00CA39DC">
      <w:pPr>
        <w:pStyle w:val="Normal12Hanging"/>
        <w:rPr>
          <w:b/>
          <w:i/>
          <w:szCs w:val="24"/>
        </w:rPr>
      </w:pPr>
      <w:r w:rsidRPr="00825B6E">
        <w:rPr>
          <w:b/>
          <w:i/>
        </w:rPr>
        <w:t>Výkonnost</w:t>
      </w:r>
    </w:p>
    <w:p w:rsidR="00CA39DC" w:rsidRPr="00825B6E" w:rsidRDefault="00CA39DC" w:rsidP="00CA39DC">
      <w:pPr>
        <w:pStyle w:val="NormalHanging12a"/>
      </w:pPr>
      <w:r w:rsidRPr="00825B6E">
        <w:t>2.</w:t>
      </w:r>
      <w:r w:rsidRPr="00825B6E">
        <w:tab/>
        <w:t>konstatuje, že k posouzení výsledků dosažených v rámci plnění svých cílů, jako je mimo jiné podpora pracovních skupin, komunikační činnosti, centralizované financování a zadávání veřejných zakázek a řízení lidských zdrojů, používá agentura klíčové ukazatele výkonnosti; konstatuje, že agentura dosáhla většiny svých cílů, ale doporučuje jí, aby se zabývala klíčovými ukazateli výkonnosti, které se splnit nepodařilo nebo jejichž plnění postupuje pomaleji, než se očekávalo (např. zlepšení procesu vyplácení prostředků prostřednictvím konferenčního nástroje AGM (</w:t>
      </w:r>
      <w:proofErr w:type="spellStart"/>
      <w:r w:rsidRPr="00825B6E">
        <w:t>advanced</w:t>
      </w:r>
      <w:proofErr w:type="spellEnd"/>
      <w:r w:rsidRPr="00825B6E">
        <w:t xml:space="preserve"> </w:t>
      </w:r>
      <w:proofErr w:type="spellStart"/>
      <w:r w:rsidRPr="00825B6E">
        <w:t>gateway</w:t>
      </w:r>
      <w:proofErr w:type="spellEnd"/>
      <w:r w:rsidRPr="00825B6E">
        <w:t xml:space="preserve"> </w:t>
      </w:r>
      <w:proofErr w:type="spellStart"/>
      <w:r w:rsidRPr="00825B6E">
        <w:t>for</w:t>
      </w:r>
      <w:proofErr w:type="spellEnd"/>
      <w:r w:rsidRPr="00825B6E">
        <w:t xml:space="preserve"> </w:t>
      </w:r>
      <w:proofErr w:type="spellStart"/>
      <w:r w:rsidRPr="00825B6E">
        <w:t>meetings</w:t>
      </w:r>
      <w:proofErr w:type="spellEnd"/>
      <w:r w:rsidRPr="00825B6E">
        <w:t>), podepsání smlouvy na podporu rozvoje „strategie informačních a komunikačních technologií BEREC na období 2022–2025“); doporučuje, aby agentura pravidelně dolaďovala klíčové ukazatele výkonnosti s cílem optimalizovat svou výkonnost;</w:t>
      </w:r>
    </w:p>
    <w:p w:rsidR="00CA39DC" w:rsidRPr="00825B6E" w:rsidRDefault="00CA39DC" w:rsidP="00CA39DC">
      <w:pPr>
        <w:pStyle w:val="Normal12Hanging"/>
      </w:pPr>
      <w:r w:rsidRPr="00825B6E">
        <w:t>3.</w:t>
      </w:r>
      <w:r w:rsidRPr="00825B6E">
        <w:tab/>
        <w:t>vítá skutečnost, že agentura i nadále poskytovala kvalitní administrativní a odbornou podporu radě regulačních orgánů BEREC, kontaktní síti BEREC, veřejným informačním sdělením, pracovním skupinám BEREC, včetně pracovních skupin ad hoc a poradní skupiny Úřadu BEREC;</w:t>
      </w:r>
    </w:p>
    <w:p w:rsidR="00CA39DC" w:rsidRPr="00825B6E" w:rsidRDefault="00CA39DC" w:rsidP="00CA39DC">
      <w:pPr>
        <w:pStyle w:val="NormalHanging12a"/>
      </w:pPr>
      <w:r w:rsidRPr="00825B6E">
        <w:t>4.</w:t>
      </w:r>
      <w:r w:rsidRPr="00825B6E">
        <w:tab/>
        <w:t>vítá skutečnost, že ukrajinský regulační orgán pro telekomunikace NCEC se mohl zapojit do činnosti agentury jako člen bez hlasovacího práva;</w:t>
      </w:r>
    </w:p>
    <w:p w:rsidR="00CA39DC" w:rsidRPr="00825B6E" w:rsidRDefault="00CA39DC" w:rsidP="00CA39DC">
      <w:pPr>
        <w:pStyle w:val="Normal12Hanging"/>
        <w:rPr>
          <w:b/>
          <w:i/>
          <w:szCs w:val="24"/>
        </w:rPr>
      </w:pPr>
      <w:r w:rsidRPr="00825B6E">
        <w:rPr>
          <w:b/>
          <w:i/>
        </w:rPr>
        <w:t>Efektivita a související přínosy</w:t>
      </w:r>
    </w:p>
    <w:p w:rsidR="00CA39DC" w:rsidRPr="00825B6E" w:rsidRDefault="00CA39DC" w:rsidP="00CA39DC">
      <w:pPr>
        <w:pStyle w:val="Normal12Hanging"/>
        <w:rPr>
          <w:szCs w:val="24"/>
        </w:rPr>
      </w:pPr>
      <w:r w:rsidRPr="00825B6E">
        <w:t>5.</w:t>
      </w:r>
      <w:r w:rsidRPr="00825B6E">
        <w:tab/>
        <w:t>konstatuje, že opatření v oblasti zvyšování efektivity se v roce 2022 zaměřila na tyto hlavní oblasti: centralizace některých funkcí, zadávání veřejných zakázek, zvýšení efektivity na základě širšího využívání IT aplikací Komise nebo zavádění nových a využívání externích zdrojů umožňujících vyrovnávat nedostatek lidských zdrojů nebo plnit technické a pomocné úkoly;</w:t>
      </w:r>
    </w:p>
    <w:p w:rsidR="00CA39DC" w:rsidRPr="00825B6E" w:rsidRDefault="00CA39DC" w:rsidP="00CA39DC">
      <w:pPr>
        <w:pStyle w:val="Normal12Hanging"/>
        <w:rPr>
          <w:szCs w:val="24"/>
        </w:rPr>
      </w:pPr>
      <w:r w:rsidRPr="00825B6E">
        <w:t>6.</w:t>
      </w:r>
      <w:r w:rsidRPr="00825B6E">
        <w:tab/>
        <w:t>konstatuje, že v oblasti zadávání veřejných zakázek v roce 2022 agentura nadále využívala interinstitucionální zadávací řízení a připojila se k sedmi interinstitucionálním zadávacím řízením, což vedlo k uzavření šesti rámcových smluv během vykazovaného období;</w:t>
      </w:r>
    </w:p>
    <w:p w:rsidR="00CA39DC" w:rsidRPr="00825B6E" w:rsidRDefault="00CA39DC" w:rsidP="00CA39DC">
      <w:pPr>
        <w:pStyle w:val="Normal12Hanging"/>
        <w:rPr>
          <w:szCs w:val="24"/>
        </w:rPr>
      </w:pPr>
      <w:r w:rsidRPr="00825B6E">
        <w:t>7.</w:t>
      </w:r>
      <w:r w:rsidRPr="00825B6E">
        <w:tab/>
        <w:t>vítá zvýšení efektivity dosažené širším využíváním nebo zavedením dalších IT aplikací Komise; konstatuje zejména, že v roce 2022 agentura plně zavedla a začala aktivně využívat všechny základní moduly systému Sysper2, např. správu identit, řízení organizace, správu osobních údajů, pracovní podmínky, řízení talentů a správu dokumentů a tři z volitelného souboru modulů, např. </w:t>
      </w:r>
      <w:proofErr w:type="spellStart"/>
      <w:r w:rsidRPr="00825B6E">
        <w:t>flexitime</w:t>
      </w:r>
      <w:proofErr w:type="spellEnd"/>
      <w:r w:rsidRPr="00825B6E">
        <w:t>, práce na dálku a individuální práva;</w:t>
      </w:r>
    </w:p>
    <w:p w:rsidR="00CA39DC" w:rsidRPr="00825B6E" w:rsidRDefault="00CA39DC" w:rsidP="00CA39DC">
      <w:pPr>
        <w:pStyle w:val="NormalHanging12a"/>
      </w:pPr>
      <w:r w:rsidRPr="00825B6E">
        <w:t>8.</w:t>
      </w:r>
      <w:r w:rsidRPr="00825B6E">
        <w:tab/>
        <w:t xml:space="preserve">konstatuje, že agentura funguje od svého zřízení s nedostatkem lidských zdrojů pro některá pracovní místa; bere na vědomí, že agentura kompenzuje některá kapacitní omezení, a je-li to proveditelné, upřednostňuje jako primární řešení využívání služeb, které nabízí Komise a další agentury Unie; konstatuje, že tento přístup zahrnuje i využívání služeb, které nabízí Úřad pro správu a vyplácení individuálních nároků (PMO) působící v rámci Komise a Skupina pro reakci na počítačové hrozby v orgánech, institucích a dalších subjektech EU (CERT-EU) v oblasti IT a bezpečnostních služeb; vítá, že agentura velmi úspěšně spolupracuje v oblasti IT s Úřadem Evropské unie pro duševní vlastnictví, což zahrnuje </w:t>
      </w:r>
      <w:proofErr w:type="spellStart"/>
      <w:r w:rsidRPr="00825B6E">
        <w:t>hosting</w:t>
      </w:r>
      <w:proofErr w:type="spellEnd"/>
      <w:r w:rsidRPr="00825B6E">
        <w:t>, vývoj IT, obnovu provozu po havárii, vývoj nového návrhu internetových stránek agentury a další IT služby;</w:t>
      </w:r>
    </w:p>
    <w:p w:rsidR="00CA39DC" w:rsidRPr="00825B6E" w:rsidRDefault="00CA39DC" w:rsidP="00CA39DC">
      <w:pPr>
        <w:pStyle w:val="NormalHanging12a"/>
      </w:pPr>
      <w:r w:rsidRPr="00825B6E">
        <w:t>9.</w:t>
      </w:r>
      <w:r w:rsidRPr="00825B6E">
        <w:tab/>
        <w:t>připomíná, že je důležité posílit digitalizaci agentury, pokud jde o její vnitřní chod a řízení i o rychlejší digitalizaci postupů; zdůrazňuje, že je třeba, aby byla agentura v tomto ohledu i nadále aktivní, aby se zabránilo rozdílům v digitalizaci jednotlivých agentur; upozorňuje však na to, že je třeba přijmout veškerá nezbytná bezpečnostní opatření, aby se zabránilo jakémukoli riziku pro on-line bezpečnost zpracovávaných informací, a trvá na zintenzivnění boje proti kybernetickým útokům nebo pokusům o infiltraci, a zejména těm, které přicházejí z Ruska nebo Číny;</w:t>
      </w:r>
    </w:p>
    <w:p w:rsidR="00CA39DC" w:rsidRPr="00825B6E" w:rsidRDefault="00CA39DC" w:rsidP="00CA39DC">
      <w:pPr>
        <w:pStyle w:val="Normal12Hanging"/>
        <w:rPr>
          <w:b/>
          <w:i/>
          <w:szCs w:val="24"/>
        </w:rPr>
      </w:pPr>
      <w:r w:rsidRPr="00825B6E">
        <w:rPr>
          <w:b/>
          <w:i/>
        </w:rPr>
        <w:t>Personální politika</w:t>
      </w:r>
    </w:p>
    <w:p w:rsidR="00CA39DC" w:rsidRPr="00825B6E" w:rsidRDefault="00CA39DC" w:rsidP="00CA39DC">
      <w:pPr>
        <w:spacing w:after="240"/>
        <w:ind w:left="567" w:hanging="567"/>
        <w:rPr>
          <w:rFonts w:eastAsia="Calibri"/>
          <w:szCs w:val="24"/>
        </w:rPr>
      </w:pPr>
      <w:r w:rsidRPr="00825B6E">
        <w:t>10.</w:t>
      </w:r>
      <w:r w:rsidRPr="00825B6E">
        <w:tab/>
        <w:t>bere na vědomí, že ke dni 31. prosince 2022 počítal plán pracovních míst s 16 dočasnými pracovníky povolenými na základě rozpočtu Unie (což je stejný počet jako v roce 2021); konstatuje, že v roce 2022 pracovalo pro agenturu navíc ještě 19 smluvních zaměstnanců, 8 vyslaných národních odborníků a 10 dočasných zaměstnanců a konzultantů;</w:t>
      </w:r>
    </w:p>
    <w:p w:rsidR="00CA39DC" w:rsidRPr="00825B6E" w:rsidRDefault="00CA39DC" w:rsidP="00CA39DC">
      <w:pPr>
        <w:pStyle w:val="NormalHanging12a"/>
      </w:pPr>
      <w:r w:rsidRPr="00825B6E">
        <w:t>11.</w:t>
      </w:r>
      <w:r w:rsidRPr="00825B6E">
        <w:tab/>
        <w:t>vítá úsilí agentury o sladění svého fungování se zásadami společného prohlášení Evropského parlamentu, Rady EU a Evropské komise ze dne 19. července 2012 o decentralizovaných agenturách, včetně očekávané minimální kritické velikosti;</w:t>
      </w:r>
    </w:p>
    <w:p w:rsidR="00CA39DC" w:rsidRPr="00825B6E" w:rsidRDefault="00CA39DC" w:rsidP="00CA39DC">
      <w:pPr>
        <w:pStyle w:val="NormalHanging12a"/>
      </w:pPr>
      <w:r w:rsidRPr="00825B6E">
        <w:t>12.</w:t>
      </w:r>
      <w:r w:rsidRPr="00825B6E">
        <w:tab/>
        <w:t>konstatuje, že hlavní výzvou v oblasti personální politiky byla vysoká fluktuace zaměstnanců, která v roce 2022 vzrostla na 16,3 % oproti 4,6 % v roce 2021 a 5,4 % v roce 2020; bere na vědomí, že prudký nárůst fluktuace zaměstnanců se dotkl zejména administrativního a finančního oddělení; konstatuje, že agentura za účelem obsazení volných pracovních míst a zajištění nových schopností potřebných pro agenturu a její správu v roce 2022 zahájila výběrová řízení s cílem obsadit pět volných pracovních míst (jedním dočasným zaměstnancem a čtyřmi smluvními zaměstnanci), pro něž neměla k dispozici vhodné rezervní seznamy, zatímco u zbývajících tří míst, která se uvolnila, agentura zajistila rychlé přijetí pracovníků z aktivních rezervních seznamů; žádá však agenturu, aby analyzovala důvody vysoké fluktuace zaměstnanců a učinila nezbytné kroky k tomu, aby se jí v budoucnu zabránilo, a podala o tom zprávu orgánu příslušnému k udělení absolutoria;</w:t>
      </w:r>
    </w:p>
    <w:p w:rsidR="00CA39DC" w:rsidRPr="00825B6E" w:rsidRDefault="00CA39DC" w:rsidP="00CA39DC">
      <w:pPr>
        <w:spacing w:after="240"/>
        <w:ind w:left="567" w:hanging="567"/>
        <w:rPr>
          <w:rFonts w:eastAsia="Calibri"/>
          <w:szCs w:val="24"/>
        </w:rPr>
      </w:pPr>
      <w:r w:rsidRPr="00825B6E">
        <w:t>13.</w:t>
      </w:r>
      <w:r w:rsidRPr="00825B6E">
        <w:tab/>
        <w:t>oceňuje iniciativy agentury zaměřené na zlepšování podmínek pracovního a soukromého života zaměstnanců, včetně právního poradenství v soukromých záležitostech, finanční podpory mateřské školy, školného pro mezinárodní školy, jazykových kurzů, zboží osvobozeného od DPH pro vyslané národní odborníky, úvodního programu pro nové pracovníky a pomoc rodinným příslušníkům usazeným v Lotyšsku, přičemž některé iniciativy provádí ve spolupráci s lotyšskými orgány;</w:t>
      </w:r>
    </w:p>
    <w:p w:rsidR="00CA39DC" w:rsidRPr="00825B6E" w:rsidRDefault="00CA39DC" w:rsidP="00CA39DC">
      <w:pPr>
        <w:pStyle w:val="NormalHanging12a"/>
      </w:pPr>
      <w:r w:rsidRPr="00825B6E">
        <w:t>14.</w:t>
      </w:r>
      <w:r w:rsidRPr="00825B6E">
        <w:tab/>
        <w:t>vítá, že v roce 2022 i v roce 2021 bylo mezi zaměstnanci dosaženo celkově vyváženého zastoupení žen a mužů: 52 % žen a 48 % mužů; zdůrazňuje, že je třeba vyvinout intenzivnější úsilí na udržení vyváženého zastoupení žen a mužů mezi zaměstnanci agentury; bere na vědomí, že agentura má na úrovni středního vedení pouze tři funkce a že i na této úrovni bylo dosaženo vyváženého zastoupení žen a mužů: jedna žena a dva muži;</w:t>
      </w:r>
    </w:p>
    <w:p w:rsidR="00CA39DC" w:rsidRPr="00825B6E" w:rsidRDefault="00CA39DC" w:rsidP="00CA39DC">
      <w:pPr>
        <w:pStyle w:val="NormalHanging12a"/>
      </w:pPr>
      <w:r w:rsidRPr="00825B6E">
        <w:t>15.</w:t>
      </w:r>
      <w:r w:rsidRPr="00825B6E">
        <w:tab/>
        <w:t xml:space="preserve">bere na vědomí, že agentura uplatňuje politiku na ochranu lidské důstojnosti a k předcházení psychickému a sexuálnímu obtěžování a že je součástí </w:t>
      </w:r>
      <w:proofErr w:type="spellStart"/>
      <w:r w:rsidRPr="00825B6E">
        <w:t>meziagenturní</w:t>
      </w:r>
      <w:proofErr w:type="spellEnd"/>
      <w:r w:rsidRPr="00825B6E">
        <w:t xml:space="preserve"> pracovní skupiny důvěrných poradců; těší se na obdržení jejich zprávy a doporučení; konstatuje, že v roce 2022 nebyly hlášeny žádné případy obtěžování, a vybízí agenturu, aby pokračovala v práci na předcházení těmto případům i v budoucnu a rozvíjela ji;</w:t>
      </w:r>
    </w:p>
    <w:p w:rsidR="00CA39DC" w:rsidRPr="00825B6E" w:rsidRDefault="00CA39DC" w:rsidP="00CA39DC">
      <w:pPr>
        <w:pStyle w:val="NormalHanging12a"/>
      </w:pPr>
      <w:r w:rsidRPr="00825B6E">
        <w:t>16.</w:t>
      </w:r>
      <w:r w:rsidRPr="00825B6E">
        <w:tab/>
        <w:t>vyjadřuje politování nad tím, že agentura nepřijala „Listinu pro rozmanitost a začleňování“, jejímž smyslem je podporovat rovné zacházení a rovné příležitosti bez ohledu na jakékoli rozdíly, ať už se týkají pohlaví, rasy, barvy pleti, etnického nebo sociálního původu, genetických znaků, jazyka, náboženského vyznání nebo přesvědčení, politického či jakéhokoli jiného názoru, příslušnosti k národnostní menšině, majetku, narození, zdravotního postižení, věku, nebo sexuální orientace; připomíná, že jedním z cílů Listiny je dosáhnout v krátkodobém až střednědobém výhledu nejméně 40% zastoupení nedostatečně zastoupeného pohlaví na úrovni středního vedení; bere na vědomí odpověď agentury na standardizovaný dotazník o udělení absolutoria; domnívá se, že lichý počet pracovních pozic na úrovni nejvyššího a středního vedení nebrání přijetí Listiny; vybízí agenturu, aby Listinu přijala a aktivně se podílela na iniciativách, které podporují rozmanitost a začleňování na pracovišti;</w:t>
      </w:r>
    </w:p>
    <w:p w:rsidR="00CA39DC" w:rsidRPr="00825B6E" w:rsidRDefault="00CA39DC" w:rsidP="00CA39DC">
      <w:pPr>
        <w:pStyle w:val="NormalHanging12a"/>
      </w:pPr>
      <w:r w:rsidRPr="00825B6E">
        <w:t>17.</w:t>
      </w:r>
      <w:r w:rsidRPr="00825B6E">
        <w:tab/>
        <w:t>vítá skutečnost, že agentura pokračovala v programu stáží i v roce 2022; konstatuje, že do agentury přišlo celkem 7 stážistů a 15 stážistů se účastnilo programu stáží agentury;</w:t>
      </w:r>
    </w:p>
    <w:p w:rsidR="00CA39DC" w:rsidRPr="00825B6E" w:rsidRDefault="00CA39DC" w:rsidP="00CA39DC">
      <w:pPr>
        <w:spacing w:after="240"/>
        <w:ind w:left="567" w:hanging="567"/>
        <w:rPr>
          <w:rFonts w:eastAsia="Calibri"/>
          <w:b/>
          <w:i/>
          <w:szCs w:val="24"/>
        </w:rPr>
      </w:pPr>
      <w:r w:rsidRPr="00825B6E">
        <w:rPr>
          <w:b/>
          <w:i/>
        </w:rPr>
        <w:t>Prevence a řešení střetů zájmů a transparentnost</w:t>
      </w:r>
    </w:p>
    <w:p w:rsidR="00CA39DC" w:rsidRPr="00825B6E" w:rsidRDefault="00CA39DC" w:rsidP="00CA39DC">
      <w:pPr>
        <w:spacing w:after="240"/>
        <w:ind w:left="567" w:hanging="567"/>
        <w:rPr>
          <w:szCs w:val="24"/>
        </w:rPr>
      </w:pPr>
      <w:r w:rsidRPr="00825B6E">
        <w:t>18.</w:t>
      </w:r>
      <w:r w:rsidRPr="00825B6E">
        <w:tab/>
        <w:t>konstatuje, že agentura na svých internetových stránkách zveřejňuje životopisy členů své správní rady a jejich prohlášení o střetu zájmů;</w:t>
      </w:r>
    </w:p>
    <w:p w:rsidR="00CA39DC" w:rsidRPr="00825B6E" w:rsidRDefault="00CA39DC" w:rsidP="00CA39DC">
      <w:pPr>
        <w:spacing w:after="240"/>
        <w:ind w:left="567" w:hanging="567"/>
        <w:rPr>
          <w:szCs w:val="24"/>
        </w:rPr>
      </w:pPr>
      <w:r w:rsidRPr="00825B6E">
        <w:t>19.</w:t>
      </w:r>
      <w:r w:rsidRPr="00825B6E">
        <w:tab/>
        <w:t>bere na vědomí, že před nástupem do své funkce v agentuře musí statutární zaměstnanci, vyslaní národní odborníci, stážisté i dočasní pracovníci předložit prohlášení o zájmech, které před schválením pracovního zařazení prověří orgán oprávněný ke jmenování nebo ředitel; dále konstatuje, že zaměstnanci musí toto prohlášení během zaměstnání pravidelně aktualizovat, aby bylo možné řešit veškeré momentálně vznikající situace střetu zájmů, a musí proaktivně informovat agenturu o veškerých svých vnějších aktivitách či profesních činnostech v době osobní dovolené, uchovávání darů, zaměstnávání manželů a střetech zájmů, ke kterým by mohlo dojít v souvislosti s publikacemi či projevy; konstatuje, že v případě ukončení služebního poměru jsou statutární zaměstnanci a stážisté povinni sdělit agentuře ve stanoveném časovém rámci po skončení pracovního poměru své plánované budoucí profesní závazky;</w:t>
      </w:r>
    </w:p>
    <w:p w:rsidR="00CA39DC" w:rsidRPr="00825B6E" w:rsidRDefault="00CA39DC" w:rsidP="00CA39DC">
      <w:pPr>
        <w:spacing w:after="240"/>
        <w:ind w:left="567" w:hanging="567"/>
        <w:rPr>
          <w:szCs w:val="24"/>
        </w:rPr>
      </w:pPr>
      <w:r w:rsidRPr="00825B6E">
        <w:t>20.</w:t>
      </w:r>
      <w:r w:rsidRPr="00825B6E">
        <w:tab/>
        <w:t>bere na vědomí, že ředitel agentury přijal pokyn k řízení střetu zájmů zaměstnanců účastnících se výběrových řízení a přijímání nových zaměstnanců, podle něhož je dotyčná osoba povinna učinit prohlášení o veškerých svých profesních či osobních vztazích s uchazeči bez ohledu na to, zda tento vztah představuje střet zájmů, či nikoli; dodává, že zaměstnanci by měli rovněž uvádět, zda jsou, nebo nejsou schopni zachovat nestrannost; konstatuje, že členové výběrové komise musejí hned poté, co jsou jim sdělena jména uchazečů, předložit prohlášení o střetu zájmů v souladu s výše uvedeným pokynem i s pokyny pro prevenci a řešení střetů zájmů zaměstnanců podílejících se v rámci agentury na výběrových řízeních či na přijímání nových nebo přeřazení stávajících zaměstnanců;</w:t>
      </w:r>
    </w:p>
    <w:p w:rsidR="00CA39DC" w:rsidRPr="00825B6E" w:rsidRDefault="00CA39DC" w:rsidP="00CA39DC">
      <w:pPr>
        <w:spacing w:after="240"/>
        <w:ind w:left="567" w:hanging="567"/>
        <w:rPr>
          <w:szCs w:val="24"/>
        </w:rPr>
      </w:pPr>
      <w:r w:rsidRPr="00825B6E">
        <w:t>21.</w:t>
      </w:r>
      <w:r w:rsidRPr="00825B6E">
        <w:tab/>
        <w:t xml:space="preserve">konstatuje, že správní rada přijala strategii agentury pro boj proti podvodům na období 2023–2025, jejímž cílem je zlepšit odhalování a postihování podvodů a jejich předcházení a zasahovat i proti veškerých dalším protiprávním činnostem, které by mohly ovlivnit její finanční zájmy; oceňuje, že agentura zavedla v rámci systému </w:t>
      </w:r>
      <w:proofErr w:type="spellStart"/>
      <w:r w:rsidRPr="00825B6E">
        <w:t>Sysper</w:t>
      </w:r>
      <w:proofErr w:type="spellEnd"/>
      <w:r w:rsidRPr="00825B6E">
        <w:t xml:space="preserve"> etické moduly, které zahrnují prohlášení o střetu zájmů, prohlášení o daru nebo pohostinství, prohlášení o publikační činnosti, žádost o povolení mimopracovní činnosti, žádost o schválení externí činnosti během dovolené z osobních důvodů, prohlášení o zaměstnání manžela/manželky;</w:t>
      </w:r>
    </w:p>
    <w:p w:rsidR="00CA39DC" w:rsidRPr="00825B6E" w:rsidRDefault="00CA39DC" w:rsidP="00CA39DC">
      <w:pPr>
        <w:pStyle w:val="NormalHanging12a"/>
      </w:pPr>
      <w:r w:rsidRPr="00825B6E">
        <w:t>22.</w:t>
      </w:r>
      <w:r w:rsidRPr="00825B6E">
        <w:tab/>
        <w:t>připomíná, že je důležité, aby se agentura více zviditelňovala ve sdělovacích prostředcích, na internetu a v sociálních médiích, a občané se tak mohli blíže seznámit s činností, kterou vykonává;</w:t>
      </w:r>
    </w:p>
    <w:p w:rsidR="00CA39DC" w:rsidRPr="00825B6E" w:rsidRDefault="00CA39DC" w:rsidP="00CA39DC">
      <w:pPr>
        <w:spacing w:after="240"/>
        <w:ind w:left="567" w:hanging="567"/>
        <w:rPr>
          <w:b/>
          <w:i/>
          <w:szCs w:val="24"/>
        </w:rPr>
      </w:pPr>
      <w:r w:rsidRPr="00825B6E">
        <w:rPr>
          <w:b/>
          <w:i/>
        </w:rPr>
        <w:t>Další připomínky</w:t>
      </w:r>
    </w:p>
    <w:p w:rsidR="00CA39DC" w:rsidRPr="00825B6E" w:rsidRDefault="00CA39DC" w:rsidP="00CA39DC">
      <w:pPr>
        <w:spacing w:after="240"/>
        <w:ind w:left="567" w:hanging="567"/>
        <w:rPr>
          <w:b/>
          <w:i/>
          <w:szCs w:val="24"/>
        </w:rPr>
      </w:pPr>
      <w:r w:rsidRPr="00825B6E">
        <w:t>23.</w:t>
      </w:r>
      <w:r w:rsidRPr="00825B6E">
        <w:tab/>
        <w:t>konstatuje, že v únoru 2022 začala agentura používat nástroj útvarů Komise pro řízení veřejných zakázek (PPMT), který ještě více zefektivnil její postupy v oblasti zadávání veřejných zakázek a zajišťuje používání nejnovějších šablon a osvědčených postupů Komise v každé fázi tohoto procesu;</w:t>
      </w:r>
    </w:p>
    <w:p w:rsidR="00CA39DC" w:rsidRPr="00825B6E" w:rsidRDefault="00CA39DC" w:rsidP="00CA39DC">
      <w:pPr>
        <w:spacing w:after="240"/>
        <w:ind w:left="567" w:hanging="567"/>
        <w:rPr>
          <w:szCs w:val="24"/>
        </w:rPr>
      </w:pPr>
      <w:r w:rsidRPr="00825B6E">
        <w:t>24.</w:t>
      </w:r>
      <w:r w:rsidRPr="00825B6E">
        <w:tab/>
        <w:t xml:space="preserve">bere na vědomí, že ve snaze zvýšit kybernetickou bezpečnost a ochranu digitálních záznamů, které uchovává, využívá agentura </w:t>
      </w:r>
      <w:proofErr w:type="spellStart"/>
      <w:r w:rsidRPr="00825B6E">
        <w:t>dvoufaktorové</w:t>
      </w:r>
      <w:proofErr w:type="spellEnd"/>
      <w:r w:rsidRPr="00825B6E">
        <w:t xml:space="preserve"> ověřování, firewally webových aplikací, automatizované zálohování, aplikované šifrování (kde je použitelné/možné) a pravidelné testy obnovy systémů, které mají kritický význam pro její činnost; konstatuje rovněž, že agentura využívá také softwarovou ochranu zařízení koncových uživatelů, jako jsou notebooky a mobilní telefony, a zabezpečovací služby IKT, které poskytuje skupina pro reakci na počítačové hrozby pro EU (CERT-EU);</w:t>
      </w:r>
    </w:p>
    <w:p w:rsidR="00CA39DC" w:rsidRPr="00825B6E" w:rsidRDefault="00CA39DC" w:rsidP="00CA39DC">
      <w:pPr>
        <w:pStyle w:val="NormalHanging12a"/>
      </w:pPr>
      <w:r w:rsidRPr="00825B6E">
        <w:t>25.</w:t>
      </w:r>
      <w:r w:rsidRPr="00825B6E">
        <w:tab/>
        <w:t>vítá úsilí agentury o přednostní přístup k novým právním předpisům, které stanoví opatření v oblasti kybernetické bezpečnosti v orgánech, institucích a jiných subjektech Unie; se znepokojením bere na vědomí potenciální nepřiměřenou zátěž nařízení o kybernetické bezpečnosti pro malé agentury, jako je Úřad BEREC, která by mohla ohrozit dodržování předpisů; vyzývá Komisi, aby tuto skutečnost zohlednila v programových cyklech příštích let;</w:t>
      </w:r>
    </w:p>
    <w:p w:rsidR="00CA39DC" w:rsidRPr="00825B6E" w:rsidRDefault="00CA39DC" w:rsidP="00CA39DC">
      <w:pPr>
        <w:spacing w:after="240"/>
        <w:ind w:left="567" w:hanging="567"/>
        <w:rPr>
          <w:rFonts w:eastAsia="Calibri"/>
          <w:szCs w:val="24"/>
        </w:rPr>
      </w:pPr>
      <w:r w:rsidRPr="00825B6E">
        <w:t>26.</w:t>
      </w:r>
      <w:r w:rsidRPr="00825B6E">
        <w:tab/>
        <w:t>vítá skutečnost, že správní rada agentury stanovila jako cíl pro příští tři roky získání certifikace EMAS; bere na vědomí, že agentura zahájila interní přípravu na tuto certifikaci, která zahrnuje další aktualizace výpočtu uhlíkové stopy agentury, účast na partnerství v rámci sítě pro ekologizaci agentur EU a další kroky;</w:t>
      </w:r>
    </w:p>
    <w:p w:rsidR="00CA39DC" w:rsidRPr="00825B6E" w:rsidRDefault="00CA39DC" w:rsidP="00CA39DC">
      <w:pPr>
        <w:pStyle w:val="NormalHanging12a"/>
      </w:pPr>
      <w:r w:rsidRPr="00825B6E">
        <w:t>27.</w:t>
      </w:r>
      <w:r w:rsidRPr="00825B6E">
        <w:tab/>
        <w:t>vítá a oceňuje účast ukrajinského celostátního regulačního orgánu na každodenním provozu agentury; s velkým uznáním poukazuje na to, že agentura a její členové vytvořili rámec pro spolupráci, který má umožnit zvládání výzev v oblasti konektivity a připravit půdu pro harmonizaci ukrajinských předpisů v oblasti elektronických komunikací s evropským telekomunikačním rámcem; oceňuje rovněž, že na základě údajů, které agentura shromáždila od provozovatelů z Unie a Ukrajiny o uplatňovaných maloobchodních opatřeních, bylo dosaženo dohody o společném prohlášení, na jehož základě vznikl stabilní rámec, který lidem prchajícím před válkou na Ukrajině pomůže zůstat ve spojení se svými rodinami a přáteli doma a mít i nadále přístup k informacím;</w:t>
      </w:r>
    </w:p>
    <w:p w:rsidR="00CA39DC" w:rsidRPr="00825B6E" w:rsidRDefault="00CA39DC" w:rsidP="00CA39DC">
      <w:pPr>
        <w:pStyle w:val="NormalHanging12a"/>
      </w:pPr>
      <w:r w:rsidRPr="00825B6E">
        <w:t>28.</w:t>
      </w:r>
      <w:r w:rsidRPr="00825B6E">
        <w:tab/>
        <w:t xml:space="preserve">oceňuje úsilí agentury v roce 2022 o zvyšování povědomí veřejnosti o jejím mandátu a práci v Lotyšsku prostřednictvím komunikačních iniciativ menšího rozsahu, jako je například uspořádání akce pro studenty </w:t>
      </w:r>
      <w:proofErr w:type="spellStart"/>
      <w:r w:rsidRPr="00825B6E">
        <w:t>Stradiņšovy</w:t>
      </w:r>
      <w:proofErr w:type="spellEnd"/>
      <w:r w:rsidRPr="00825B6E">
        <w:t xml:space="preserve"> univerzity v Rize, která podpořila partnerství, jež studentům umožní lépe porozumět agenturám EU, zejména v Lotyšsku, účast na přímém přenosu oslav Dne Evropy v Lotyšsku, kterou uspořádalo zastoupení Evropské komise v této zemi, a další akce; vyzývá agenturu, aby i nadále pracovala na zvyšování viditelnosti agentury, zejména v hostitelském členském státě;</w:t>
      </w:r>
    </w:p>
    <w:p w:rsidR="00CA39DC" w:rsidRPr="00825B6E" w:rsidRDefault="00CA39DC" w:rsidP="00CA39DC">
      <w:pPr>
        <w:pStyle w:val="NormalHanging12a"/>
      </w:pPr>
      <w:r w:rsidRPr="00825B6E">
        <w:t>29.</w:t>
      </w:r>
      <w:r w:rsidRPr="00825B6E">
        <w:tab/>
        <w:t>vítá skutečnost, že místní kanceláře Parlamentu a Komise v Rize a agentura spojily své síly a vytvořily společný Dům Evropy, který bude „domovem“ všech orgánů Unie a agentury v Lotyšsku;</w:t>
      </w:r>
    </w:p>
    <w:p w:rsidR="00CA39DC" w:rsidRPr="00825B6E" w:rsidRDefault="00CA39DC" w:rsidP="00CA39DC">
      <w:pPr>
        <w:pStyle w:val="NormalCenter12a"/>
      </w:pPr>
      <w:r w:rsidRPr="00825B6E">
        <w:t>°</w:t>
      </w:r>
    </w:p>
    <w:p w:rsidR="00CA39DC" w:rsidRPr="00825B6E" w:rsidRDefault="00CA39DC" w:rsidP="00CA39DC">
      <w:pPr>
        <w:pStyle w:val="NormalCenter12a"/>
      </w:pPr>
      <w:r w:rsidRPr="00825B6E">
        <w:t>°</w:t>
      </w:r>
      <w:r w:rsidRPr="00825B6E">
        <w:tab/>
        <w:t>°</w:t>
      </w:r>
    </w:p>
    <w:p w:rsidR="00CA39DC" w:rsidRPr="00825B6E" w:rsidRDefault="00CA39DC" w:rsidP="00CA39DC">
      <w:pPr>
        <w:pStyle w:val="NormalHanging12a"/>
      </w:pPr>
      <w:r w:rsidRPr="00825B6E">
        <w:t>30.</w:t>
      </w:r>
      <w:r w:rsidRPr="00825B6E">
        <w:tab/>
        <w:t>pokud jde o další připomínky, které jsou připojeny k rozhodnutí o udělení absolutoria a jsou horizontální povahy, o</w:t>
      </w:r>
      <w:r w:rsidR="00807E48">
        <w:t>dkazuje na své usnesení ze dne 11. dubna 2024</w:t>
      </w:r>
      <w:r w:rsidRPr="00825B6E">
        <w:rPr>
          <w:vertAlign w:val="superscript"/>
        </w:rPr>
        <w:footnoteReference w:id="12"/>
      </w:r>
      <w:r w:rsidRPr="00825B6E">
        <w:t xml:space="preserve"> o výkonnosti, finančním řízení a kontrole agentur.</w:t>
      </w:r>
    </w:p>
    <w:p w:rsidR="00CA39DC" w:rsidRPr="00825B6E" w:rsidRDefault="00CA39DC" w:rsidP="00CA39DC"/>
    <w:sectPr w:rsidR="00CA39DC" w:rsidRPr="00825B6E" w:rsidSect="00825B6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7D1C" w:rsidRPr="00825B6E" w:rsidRDefault="004C7D1C">
      <w:r w:rsidRPr="00825B6E">
        <w:separator/>
      </w:r>
    </w:p>
  </w:endnote>
  <w:endnote w:type="continuationSeparator" w:id="0">
    <w:p w:rsidR="004C7D1C" w:rsidRPr="00825B6E" w:rsidRDefault="004C7D1C">
      <w:r w:rsidRPr="00825B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9DC" w:rsidRPr="00825B6E" w:rsidRDefault="00CA39DC" w:rsidP="008229E7">
    <w:pPr>
      <w:pStyle w:val="EPFooter"/>
    </w:pPr>
    <w:r w:rsidRPr="00825B6E">
      <w:t>PE</w:t>
    </w:r>
    <w:r w:rsidRPr="00825B6E">
      <w:rPr>
        <w:rStyle w:val="HideTWBExt"/>
      </w:rPr>
      <w:t>&lt;</w:t>
    </w:r>
    <w:proofErr w:type="spellStart"/>
    <w:r w:rsidRPr="00825B6E">
      <w:rPr>
        <w:rStyle w:val="HideTWBExt"/>
      </w:rPr>
      <w:t>NoPE</w:t>
    </w:r>
    <w:proofErr w:type="spellEnd"/>
    <w:r w:rsidRPr="00825B6E">
      <w:rPr>
        <w:rStyle w:val="HideTWBExt"/>
      </w:rPr>
      <w:t>&gt;</w:t>
    </w:r>
    <w:r w:rsidRPr="00825B6E">
      <w:t>753.507</w:t>
    </w:r>
    <w:r w:rsidRPr="00825B6E">
      <w:rPr>
        <w:rStyle w:val="HideTWBExt"/>
      </w:rPr>
      <w:t>&lt;/</w:t>
    </w:r>
    <w:proofErr w:type="spellStart"/>
    <w:r w:rsidRPr="00825B6E">
      <w:rPr>
        <w:rStyle w:val="HideTWBExt"/>
      </w:rPr>
      <w:t>NoPE</w:t>
    </w:r>
    <w:proofErr w:type="spellEnd"/>
    <w:r w:rsidRPr="00825B6E">
      <w:rPr>
        <w:rStyle w:val="HideTWBExt"/>
      </w:rPr>
      <w:t>&gt;&lt;Version&gt;</w:t>
    </w:r>
    <w:r w:rsidRPr="00825B6E">
      <w:t>v02-00</w:t>
    </w:r>
    <w:r w:rsidRPr="00825B6E">
      <w:rPr>
        <w:rStyle w:val="HideTWBExt"/>
      </w:rPr>
      <w:t>&lt;/</w:t>
    </w:r>
    <w:proofErr w:type="spellStart"/>
    <w:r w:rsidRPr="00825B6E">
      <w:rPr>
        <w:rStyle w:val="HideTWBExt"/>
      </w:rPr>
      <w:t>Version</w:t>
    </w:r>
    <w:proofErr w:type="spellEnd"/>
    <w:r w:rsidRPr="00825B6E">
      <w:rPr>
        <w:rStyle w:val="HideTWBExt"/>
      </w:rPr>
      <w:t>&gt;</w:t>
    </w:r>
    <w:r w:rsidRPr="00825B6E">
      <w:tab/>
    </w:r>
    <w:r w:rsidRPr="00825B6E">
      <w:fldChar w:fldCharType="begin"/>
    </w:r>
    <w:r w:rsidRPr="00825B6E">
      <w:instrText xml:space="preserve"> PAGE  \* MERGEFORMAT </w:instrText>
    </w:r>
    <w:r w:rsidRPr="00825B6E">
      <w:fldChar w:fldCharType="separate"/>
    </w:r>
    <w:r w:rsidRPr="00825B6E">
      <w:rPr>
        <w:noProof/>
      </w:rPr>
      <w:t>4</w:t>
    </w:r>
    <w:r w:rsidRPr="00825B6E">
      <w:fldChar w:fldCharType="end"/>
    </w:r>
    <w:r w:rsidRPr="00825B6E">
      <w:t>/</w:t>
    </w:r>
    <w:fldSimple w:instr=" NUMPAGES  \* MERGEFORMAT ">
      <w:r w:rsidRPr="00825B6E">
        <w:rPr>
          <w:noProof/>
        </w:rPr>
        <w:t>4</w:t>
      </w:r>
    </w:fldSimple>
    <w:r w:rsidRPr="00825B6E">
      <w:tab/>
    </w:r>
    <w:r w:rsidRPr="00825B6E">
      <w:rPr>
        <w:rStyle w:val="HideTWBExt"/>
      </w:rPr>
      <w:t>&lt;PathFdR&gt;</w:t>
    </w:r>
    <w:r w:rsidRPr="00825B6E">
      <w:t>RR\1299071CS.docx</w:t>
    </w:r>
    <w:r w:rsidRPr="00825B6E">
      <w:rPr>
        <w:rStyle w:val="HideTWBExt"/>
      </w:rPr>
      <w:t>&lt;/</w:t>
    </w:r>
    <w:proofErr w:type="spellStart"/>
    <w:r w:rsidRPr="00825B6E">
      <w:rPr>
        <w:rStyle w:val="HideTWBExt"/>
      </w:rPr>
      <w:t>PathFdR</w:t>
    </w:r>
    <w:proofErr w:type="spellEnd"/>
    <w:r w:rsidRPr="00825B6E">
      <w:rPr>
        <w:rStyle w:val="HideTWBExt"/>
      </w:rPr>
      <w:t>&gt;</w:t>
    </w:r>
  </w:p>
  <w:p w:rsidR="00CA39DC" w:rsidRPr="00825B6E" w:rsidRDefault="00CA39DC" w:rsidP="008229E7">
    <w:pPr>
      <w:pStyle w:val="EPFooter2"/>
    </w:pPr>
    <w:r w:rsidRPr="00825B6E">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9DC" w:rsidRPr="00825B6E" w:rsidRDefault="00CA39DC" w:rsidP="008229E7">
    <w:pPr>
      <w:pStyle w:val="EPFooter"/>
    </w:pPr>
    <w:r w:rsidRPr="00825B6E">
      <w:rPr>
        <w:rStyle w:val="HideTWBExt"/>
      </w:rPr>
      <w:t>&lt;PathFdR&gt;</w:t>
    </w:r>
    <w:r w:rsidRPr="00825B6E">
      <w:t>RR\1299071CS.docx</w:t>
    </w:r>
    <w:r w:rsidRPr="00825B6E">
      <w:rPr>
        <w:rStyle w:val="HideTWBExt"/>
      </w:rPr>
      <w:t>&lt;/</w:t>
    </w:r>
    <w:proofErr w:type="spellStart"/>
    <w:r w:rsidRPr="00825B6E">
      <w:rPr>
        <w:rStyle w:val="HideTWBExt"/>
      </w:rPr>
      <w:t>PathFdR</w:t>
    </w:r>
    <w:proofErr w:type="spellEnd"/>
    <w:r w:rsidRPr="00825B6E">
      <w:rPr>
        <w:rStyle w:val="HideTWBExt"/>
      </w:rPr>
      <w:t>&gt;</w:t>
    </w:r>
    <w:r w:rsidRPr="00825B6E">
      <w:tab/>
    </w:r>
    <w:r w:rsidRPr="00825B6E">
      <w:tab/>
      <w:t>PE</w:t>
    </w:r>
    <w:r w:rsidRPr="00825B6E">
      <w:rPr>
        <w:rStyle w:val="HideTWBExt"/>
      </w:rPr>
      <w:t>&lt;</w:t>
    </w:r>
    <w:proofErr w:type="spellStart"/>
    <w:r w:rsidRPr="00825B6E">
      <w:rPr>
        <w:rStyle w:val="HideTWBExt"/>
      </w:rPr>
      <w:t>NoPE</w:t>
    </w:r>
    <w:proofErr w:type="spellEnd"/>
    <w:r w:rsidRPr="00825B6E">
      <w:rPr>
        <w:rStyle w:val="HideTWBExt"/>
      </w:rPr>
      <w:t>&gt;</w:t>
    </w:r>
    <w:r w:rsidRPr="00825B6E">
      <w:t>753.507</w:t>
    </w:r>
    <w:r w:rsidRPr="00825B6E">
      <w:rPr>
        <w:rStyle w:val="HideTWBExt"/>
      </w:rPr>
      <w:t>&lt;/</w:t>
    </w:r>
    <w:proofErr w:type="spellStart"/>
    <w:r w:rsidRPr="00825B6E">
      <w:rPr>
        <w:rStyle w:val="HideTWBExt"/>
      </w:rPr>
      <w:t>NoPE</w:t>
    </w:r>
    <w:proofErr w:type="spellEnd"/>
    <w:r w:rsidRPr="00825B6E">
      <w:rPr>
        <w:rStyle w:val="HideTWBExt"/>
      </w:rPr>
      <w:t>&gt;&lt;Version&gt;</w:t>
    </w:r>
    <w:r w:rsidRPr="00825B6E">
      <w:t>v02-00</w:t>
    </w:r>
    <w:r w:rsidRPr="00825B6E">
      <w:rPr>
        <w:rStyle w:val="HideTWBExt"/>
      </w:rPr>
      <w:t>&lt;/</w:t>
    </w:r>
    <w:proofErr w:type="spellStart"/>
    <w:r w:rsidRPr="00825B6E">
      <w:rPr>
        <w:rStyle w:val="HideTWBExt"/>
      </w:rPr>
      <w:t>Version</w:t>
    </w:r>
    <w:proofErr w:type="spellEnd"/>
    <w:r w:rsidRPr="00825B6E">
      <w:rPr>
        <w:rStyle w:val="HideTWBExt"/>
      </w:rPr>
      <w:t>&gt;</w:t>
    </w:r>
  </w:p>
  <w:p w:rsidR="00CA39DC" w:rsidRPr="00825B6E" w:rsidRDefault="00CA39DC" w:rsidP="008229E7">
    <w:pPr>
      <w:pStyle w:val="EPFooter2"/>
    </w:pPr>
    <w:r w:rsidRPr="00825B6E">
      <w:t>CS</w:t>
    </w:r>
    <w:r w:rsidRPr="00825B6E">
      <w:tab/>
    </w:r>
    <w:r w:rsidRPr="00825B6E">
      <w:rPr>
        <w:b w:val="0"/>
        <w:i/>
        <w:color w:val="C0C0C0"/>
        <w:sz w:val="22"/>
      </w:rPr>
      <w:t>Jednotná v rozmanitosti</w:t>
    </w:r>
    <w:r w:rsidRPr="00825B6E">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5B6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5B6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5B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7D1C" w:rsidRPr="00825B6E" w:rsidRDefault="004C7D1C">
      <w:r w:rsidRPr="00825B6E">
        <w:separator/>
      </w:r>
    </w:p>
  </w:footnote>
  <w:footnote w:type="continuationSeparator" w:id="0">
    <w:p w:rsidR="004C7D1C" w:rsidRPr="00825B6E" w:rsidRDefault="004C7D1C">
      <w:r w:rsidRPr="00825B6E">
        <w:continuationSeparator/>
      </w:r>
    </w:p>
  </w:footnote>
  <w:footnote w:id="1">
    <w:p w:rsidR="00CA39DC" w:rsidRPr="00825B6E" w:rsidRDefault="00CA39DC" w:rsidP="00825B6E">
      <w:pPr>
        <w:pStyle w:val="FootnoteText"/>
        <w:ind w:left="567" w:hanging="567"/>
        <w:rPr>
          <w:sz w:val="24"/>
          <w:lang w:val="cs-CZ"/>
        </w:rPr>
      </w:pPr>
      <w:r w:rsidRPr="00825B6E">
        <w:rPr>
          <w:rStyle w:val="FootnoteReference"/>
          <w:sz w:val="24"/>
          <w:lang w:val="cs-CZ"/>
        </w:rPr>
        <w:footnoteRef/>
      </w:r>
      <w:r w:rsidR="00825B6E" w:rsidRPr="00825B6E">
        <w:rPr>
          <w:sz w:val="24"/>
          <w:lang w:val="cs-CZ"/>
        </w:rPr>
        <w:t xml:space="preserve"> </w:t>
      </w:r>
      <w:r w:rsidR="00825B6E" w:rsidRPr="00825B6E">
        <w:rPr>
          <w:sz w:val="24"/>
          <w:lang w:val="cs-CZ"/>
        </w:rPr>
        <w:tab/>
      </w:r>
      <w:proofErr w:type="spellStart"/>
      <w:r w:rsidRPr="00825B6E">
        <w:rPr>
          <w:sz w:val="24"/>
          <w:lang w:val="cs-CZ"/>
        </w:rPr>
        <w:t>Úř</w:t>
      </w:r>
      <w:proofErr w:type="spellEnd"/>
      <w:r w:rsidRPr="00825B6E">
        <w:rPr>
          <w:sz w:val="24"/>
          <w:lang w:val="cs-CZ"/>
        </w:rPr>
        <w:t xml:space="preserve">. </w:t>
      </w:r>
      <w:proofErr w:type="spellStart"/>
      <w:proofErr w:type="gramStart"/>
      <w:r w:rsidRPr="00825B6E">
        <w:rPr>
          <w:sz w:val="24"/>
          <w:lang w:val="cs-CZ"/>
        </w:rPr>
        <w:t>věst</w:t>
      </w:r>
      <w:proofErr w:type="spellEnd"/>
      <w:proofErr w:type="gramEnd"/>
      <w:r w:rsidRPr="00825B6E">
        <w:rPr>
          <w:sz w:val="24"/>
          <w:lang w:val="cs-CZ"/>
        </w:rPr>
        <w:t xml:space="preserve">. C, C/2023/594, </w:t>
      </w:r>
      <w:proofErr w:type="gramStart"/>
      <w:r w:rsidRPr="00825B6E">
        <w:rPr>
          <w:sz w:val="24"/>
          <w:lang w:val="cs-CZ"/>
        </w:rPr>
        <w:t>27.10.2023</w:t>
      </w:r>
      <w:proofErr w:type="gramEnd"/>
      <w:r w:rsidRPr="00825B6E">
        <w:rPr>
          <w:sz w:val="24"/>
          <w:lang w:val="cs-CZ"/>
        </w:rPr>
        <w:t>.</w:t>
      </w:r>
    </w:p>
  </w:footnote>
  <w:footnote w:id="2">
    <w:p w:rsidR="00807E48" w:rsidRPr="00825B6E" w:rsidRDefault="00807E48" w:rsidP="00807E48">
      <w:pPr>
        <w:pStyle w:val="FootnoteText"/>
        <w:ind w:left="567" w:hanging="567"/>
        <w:rPr>
          <w:sz w:val="24"/>
          <w:lang w:val="cs-CZ"/>
        </w:rPr>
      </w:pPr>
      <w:r w:rsidRPr="00825B6E">
        <w:rPr>
          <w:rStyle w:val="FootnoteReference"/>
          <w:sz w:val="24"/>
          <w:lang w:val="cs-CZ"/>
        </w:rPr>
        <w:footnoteRef/>
      </w:r>
      <w:r w:rsidRPr="00825B6E">
        <w:rPr>
          <w:sz w:val="24"/>
          <w:lang w:val="cs-CZ"/>
        </w:rPr>
        <w:t xml:space="preserve"> </w:t>
      </w:r>
      <w:r w:rsidRPr="00825B6E">
        <w:rPr>
          <w:sz w:val="24"/>
          <w:lang w:val="cs-CZ"/>
        </w:rPr>
        <w:tab/>
      </w:r>
      <w:proofErr w:type="spellStart"/>
      <w:r w:rsidRPr="00825B6E">
        <w:rPr>
          <w:sz w:val="24"/>
          <w:lang w:val="cs-CZ"/>
        </w:rPr>
        <w:t>Úř</w:t>
      </w:r>
      <w:proofErr w:type="spellEnd"/>
      <w:r w:rsidRPr="00825B6E">
        <w:rPr>
          <w:sz w:val="24"/>
          <w:lang w:val="cs-CZ"/>
        </w:rPr>
        <w:t xml:space="preserve">. </w:t>
      </w:r>
      <w:proofErr w:type="spellStart"/>
      <w:proofErr w:type="gramStart"/>
      <w:r w:rsidRPr="00825B6E">
        <w:rPr>
          <w:sz w:val="24"/>
          <w:lang w:val="cs-CZ"/>
        </w:rPr>
        <w:t>věst</w:t>
      </w:r>
      <w:proofErr w:type="spellEnd"/>
      <w:proofErr w:type="gramEnd"/>
      <w:r w:rsidRPr="00825B6E">
        <w:rPr>
          <w:sz w:val="24"/>
          <w:lang w:val="cs-CZ"/>
        </w:rPr>
        <w:t xml:space="preserve">. C, C/2023/112, </w:t>
      </w:r>
      <w:proofErr w:type="gramStart"/>
      <w:r w:rsidRPr="00825B6E">
        <w:rPr>
          <w:sz w:val="24"/>
          <w:lang w:val="cs-CZ"/>
        </w:rPr>
        <w:t>12.10.2023</w:t>
      </w:r>
      <w:proofErr w:type="gramEnd"/>
      <w:r w:rsidRPr="00825B6E">
        <w:rPr>
          <w:sz w:val="24"/>
          <w:lang w:val="cs-CZ"/>
        </w:rPr>
        <w:t>.</w:t>
      </w:r>
    </w:p>
  </w:footnote>
  <w:footnote w:id="3">
    <w:p w:rsidR="00CA39DC" w:rsidRPr="00825B6E" w:rsidRDefault="00CA39DC" w:rsidP="00825B6E">
      <w:pPr>
        <w:pStyle w:val="FootnoteText"/>
        <w:ind w:left="567" w:hanging="567"/>
        <w:rPr>
          <w:sz w:val="24"/>
          <w:lang w:val="cs-CZ"/>
        </w:rPr>
      </w:pPr>
      <w:r w:rsidRPr="00825B6E">
        <w:rPr>
          <w:rStyle w:val="FootnoteReference"/>
          <w:sz w:val="24"/>
          <w:lang w:val="cs-CZ"/>
        </w:rPr>
        <w:footnoteRef/>
      </w:r>
      <w:r w:rsidR="00825B6E" w:rsidRPr="00825B6E">
        <w:rPr>
          <w:sz w:val="24"/>
          <w:lang w:val="cs-CZ"/>
        </w:rPr>
        <w:t xml:space="preserve"> </w:t>
      </w:r>
      <w:r w:rsidR="00825B6E" w:rsidRPr="00825B6E">
        <w:rPr>
          <w:sz w:val="24"/>
          <w:lang w:val="cs-CZ"/>
        </w:rPr>
        <w:tab/>
      </w:r>
      <w:proofErr w:type="spellStart"/>
      <w:r w:rsidRPr="00825B6E">
        <w:rPr>
          <w:sz w:val="24"/>
          <w:lang w:val="cs-CZ"/>
        </w:rPr>
        <w:t>Úř</w:t>
      </w:r>
      <w:proofErr w:type="spellEnd"/>
      <w:r w:rsidRPr="00825B6E">
        <w:rPr>
          <w:sz w:val="24"/>
          <w:lang w:val="cs-CZ"/>
        </w:rPr>
        <w:t xml:space="preserve">. </w:t>
      </w:r>
      <w:proofErr w:type="spellStart"/>
      <w:proofErr w:type="gramStart"/>
      <w:r w:rsidRPr="00825B6E">
        <w:rPr>
          <w:sz w:val="24"/>
          <w:lang w:val="cs-CZ"/>
        </w:rPr>
        <w:t>věst</w:t>
      </w:r>
      <w:proofErr w:type="spellEnd"/>
      <w:proofErr w:type="gramEnd"/>
      <w:r w:rsidRPr="00825B6E">
        <w:rPr>
          <w:sz w:val="24"/>
          <w:lang w:val="cs-CZ"/>
        </w:rPr>
        <w:t xml:space="preserve">. L 193, </w:t>
      </w:r>
      <w:proofErr w:type="gramStart"/>
      <w:r w:rsidRPr="00825B6E">
        <w:rPr>
          <w:sz w:val="24"/>
          <w:lang w:val="cs-CZ"/>
        </w:rPr>
        <w:t>30.7.2018</w:t>
      </w:r>
      <w:proofErr w:type="gramEnd"/>
      <w:r w:rsidRPr="00825B6E">
        <w:rPr>
          <w:sz w:val="24"/>
          <w:lang w:val="cs-CZ"/>
        </w:rPr>
        <w:t>, s. 1.</w:t>
      </w:r>
    </w:p>
  </w:footnote>
  <w:footnote w:id="4">
    <w:p w:rsidR="00CA39DC" w:rsidRPr="00825B6E" w:rsidRDefault="00CA39DC" w:rsidP="00825B6E">
      <w:pPr>
        <w:pStyle w:val="FootnoteText"/>
        <w:ind w:left="567" w:hanging="567"/>
        <w:rPr>
          <w:sz w:val="24"/>
          <w:szCs w:val="24"/>
          <w:lang w:val="cs-CZ"/>
        </w:rPr>
      </w:pPr>
      <w:r w:rsidRPr="00825B6E">
        <w:rPr>
          <w:rStyle w:val="FootnoteReference"/>
          <w:sz w:val="24"/>
          <w:lang w:val="cs-CZ"/>
        </w:rPr>
        <w:footnoteRef/>
      </w:r>
      <w:r w:rsidR="00825B6E" w:rsidRPr="00825B6E">
        <w:rPr>
          <w:sz w:val="24"/>
          <w:lang w:val="cs-CZ"/>
        </w:rPr>
        <w:t xml:space="preserve"> </w:t>
      </w:r>
      <w:r w:rsidR="00825B6E" w:rsidRPr="00825B6E">
        <w:rPr>
          <w:sz w:val="24"/>
          <w:lang w:val="cs-CZ"/>
        </w:rPr>
        <w:tab/>
      </w:r>
      <w:proofErr w:type="spellStart"/>
      <w:r w:rsidRPr="00825B6E">
        <w:rPr>
          <w:sz w:val="24"/>
          <w:lang w:val="cs-CZ"/>
        </w:rPr>
        <w:t>Úř</w:t>
      </w:r>
      <w:proofErr w:type="spellEnd"/>
      <w:r w:rsidRPr="00825B6E">
        <w:rPr>
          <w:sz w:val="24"/>
          <w:lang w:val="cs-CZ"/>
        </w:rPr>
        <w:t xml:space="preserve">. </w:t>
      </w:r>
      <w:proofErr w:type="spellStart"/>
      <w:proofErr w:type="gramStart"/>
      <w:r w:rsidRPr="00825B6E">
        <w:rPr>
          <w:sz w:val="24"/>
          <w:lang w:val="cs-CZ"/>
        </w:rPr>
        <w:t>věst</w:t>
      </w:r>
      <w:proofErr w:type="spellEnd"/>
      <w:proofErr w:type="gramEnd"/>
      <w:r w:rsidRPr="00825B6E">
        <w:rPr>
          <w:sz w:val="24"/>
          <w:lang w:val="cs-CZ"/>
        </w:rPr>
        <w:t xml:space="preserve">. L 321, </w:t>
      </w:r>
      <w:proofErr w:type="gramStart"/>
      <w:r w:rsidRPr="00825B6E">
        <w:rPr>
          <w:sz w:val="24"/>
          <w:lang w:val="cs-CZ"/>
        </w:rPr>
        <w:t>17.12.2018</w:t>
      </w:r>
      <w:proofErr w:type="gramEnd"/>
      <w:r w:rsidRPr="00825B6E">
        <w:rPr>
          <w:sz w:val="24"/>
          <w:lang w:val="cs-CZ"/>
        </w:rPr>
        <w:t>, s. 1.</w:t>
      </w:r>
    </w:p>
  </w:footnote>
  <w:footnote w:id="5">
    <w:p w:rsidR="00CA39DC" w:rsidRPr="00825B6E" w:rsidRDefault="00CA39DC" w:rsidP="00825B6E">
      <w:pPr>
        <w:pStyle w:val="FootnoteText"/>
        <w:ind w:left="567" w:hanging="567"/>
        <w:rPr>
          <w:sz w:val="24"/>
          <w:lang w:val="cs-CZ"/>
        </w:rPr>
      </w:pPr>
      <w:r w:rsidRPr="00825B6E">
        <w:rPr>
          <w:rStyle w:val="FootnoteReference"/>
          <w:sz w:val="24"/>
          <w:lang w:val="cs-CZ"/>
        </w:rPr>
        <w:footnoteRef/>
      </w:r>
      <w:r w:rsidR="00825B6E" w:rsidRPr="00825B6E">
        <w:rPr>
          <w:sz w:val="24"/>
          <w:lang w:val="cs-CZ"/>
        </w:rPr>
        <w:t xml:space="preserve"> </w:t>
      </w:r>
      <w:r w:rsidR="00825B6E" w:rsidRPr="00825B6E">
        <w:rPr>
          <w:sz w:val="24"/>
          <w:lang w:val="cs-CZ"/>
        </w:rPr>
        <w:tab/>
      </w:r>
      <w:proofErr w:type="spellStart"/>
      <w:r w:rsidRPr="00825B6E">
        <w:rPr>
          <w:sz w:val="24"/>
          <w:lang w:val="cs-CZ"/>
        </w:rPr>
        <w:t>Úř</w:t>
      </w:r>
      <w:proofErr w:type="spellEnd"/>
      <w:r w:rsidRPr="00825B6E">
        <w:rPr>
          <w:sz w:val="24"/>
          <w:lang w:val="cs-CZ"/>
        </w:rPr>
        <w:t xml:space="preserve">. </w:t>
      </w:r>
      <w:proofErr w:type="spellStart"/>
      <w:proofErr w:type="gramStart"/>
      <w:r w:rsidRPr="00825B6E">
        <w:rPr>
          <w:sz w:val="24"/>
          <w:lang w:val="cs-CZ"/>
        </w:rPr>
        <w:t>věst</w:t>
      </w:r>
      <w:proofErr w:type="spellEnd"/>
      <w:proofErr w:type="gramEnd"/>
      <w:r w:rsidRPr="00825B6E">
        <w:rPr>
          <w:sz w:val="24"/>
          <w:lang w:val="cs-CZ"/>
        </w:rPr>
        <w:t xml:space="preserve">. L 122, </w:t>
      </w:r>
      <w:proofErr w:type="gramStart"/>
      <w:r w:rsidRPr="00825B6E">
        <w:rPr>
          <w:sz w:val="24"/>
          <w:lang w:val="cs-CZ"/>
        </w:rPr>
        <w:t>10.5.2019</w:t>
      </w:r>
      <w:proofErr w:type="gramEnd"/>
      <w:r w:rsidRPr="00825B6E">
        <w:rPr>
          <w:sz w:val="24"/>
          <w:lang w:val="cs-CZ"/>
        </w:rPr>
        <w:t>, s. 1.</w:t>
      </w:r>
    </w:p>
  </w:footnote>
  <w:footnote w:id="6">
    <w:p w:rsidR="00CA39DC" w:rsidRPr="00825B6E" w:rsidRDefault="00CA39DC" w:rsidP="00825B6E">
      <w:pPr>
        <w:pStyle w:val="FootnoteText"/>
        <w:ind w:left="567" w:hanging="567"/>
        <w:rPr>
          <w:sz w:val="24"/>
          <w:lang w:val="cs-CZ"/>
        </w:rPr>
      </w:pPr>
      <w:r w:rsidRPr="00825B6E">
        <w:rPr>
          <w:rStyle w:val="FootnoteReference"/>
          <w:sz w:val="24"/>
          <w:lang w:val="cs-CZ"/>
        </w:rPr>
        <w:footnoteRef/>
      </w:r>
      <w:r w:rsidR="00825B6E" w:rsidRPr="00825B6E">
        <w:rPr>
          <w:sz w:val="24"/>
          <w:lang w:val="cs-CZ"/>
        </w:rPr>
        <w:t xml:space="preserve"> </w:t>
      </w:r>
      <w:r w:rsidR="00825B6E" w:rsidRPr="00825B6E">
        <w:rPr>
          <w:sz w:val="24"/>
          <w:lang w:val="cs-CZ"/>
        </w:rPr>
        <w:tab/>
      </w:r>
      <w:proofErr w:type="spellStart"/>
      <w:r w:rsidRPr="00825B6E">
        <w:rPr>
          <w:sz w:val="24"/>
          <w:lang w:val="cs-CZ"/>
        </w:rPr>
        <w:t>Úř</w:t>
      </w:r>
      <w:proofErr w:type="spellEnd"/>
      <w:r w:rsidRPr="00825B6E">
        <w:rPr>
          <w:sz w:val="24"/>
          <w:lang w:val="cs-CZ"/>
        </w:rPr>
        <w:t xml:space="preserve">. </w:t>
      </w:r>
      <w:proofErr w:type="spellStart"/>
      <w:proofErr w:type="gramStart"/>
      <w:r w:rsidRPr="00825B6E">
        <w:rPr>
          <w:sz w:val="24"/>
          <w:lang w:val="cs-CZ"/>
        </w:rPr>
        <w:t>věst</w:t>
      </w:r>
      <w:proofErr w:type="spellEnd"/>
      <w:proofErr w:type="gramEnd"/>
      <w:r w:rsidRPr="00825B6E">
        <w:rPr>
          <w:sz w:val="24"/>
          <w:lang w:val="cs-CZ"/>
        </w:rPr>
        <w:t xml:space="preserve">. C, C/2023/594, </w:t>
      </w:r>
      <w:proofErr w:type="gramStart"/>
      <w:r w:rsidRPr="00825B6E">
        <w:rPr>
          <w:sz w:val="24"/>
          <w:lang w:val="cs-CZ"/>
        </w:rPr>
        <w:t>27.10.2023</w:t>
      </w:r>
      <w:proofErr w:type="gramEnd"/>
      <w:r w:rsidRPr="00825B6E">
        <w:rPr>
          <w:sz w:val="24"/>
          <w:lang w:val="cs-CZ"/>
        </w:rPr>
        <w:t>.</w:t>
      </w:r>
    </w:p>
  </w:footnote>
  <w:footnote w:id="7">
    <w:p w:rsidR="00807E48" w:rsidRPr="00825B6E" w:rsidRDefault="00807E48" w:rsidP="00807E48">
      <w:pPr>
        <w:pStyle w:val="FootnoteText"/>
        <w:ind w:left="567" w:hanging="567"/>
        <w:rPr>
          <w:sz w:val="24"/>
          <w:lang w:val="cs-CZ"/>
        </w:rPr>
      </w:pPr>
      <w:r w:rsidRPr="00825B6E">
        <w:rPr>
          <w:rStyle w:val="FootnoteReference"/>
          <w:sz w:val="24"/>
          <w:lang w:val="cs-CZ"/>
        </w:rPr>
        <w:footnoteRef/>
      </w:r>
      <w:r w:rsidRPr="00825B6E">
        <w:rPr>
          <w:sz w:val="24"/>
          <w:lang w:val="cs-CZ"/>
        </w:rPr>
        <w:t xml:space="preserve"> </w:t>
      </w:r>
      <w:r w:rsidRPr="00825B6E">
        <w:rPr>
          <w:sz w:val="24"/>
          <w:lang w:val="cs-CZ"/>
        </w:rPr>
        <w:tab/>
      </w:r>
      <w:proofErr w:type="spellStart"/>
      <w:r w:rsidRPr="00825B6E">
        <w:rPr>
          <w:sz w:val="24"/>
          <w:lang w:val="cs-CZ"/>
        </w:rPr>
        <w:t>Úř</w:t>
      </w:r>
      <w:proofErr w:type="spellEnd"/>
      <w:r w:rsidRPr="00825B6E">
        <w:rPr>
          <w:sz w:val="24"/>
          <w:lang w:val="cs-CZ"/>
        </w:rPr>
        <w:t xml:space="preserve">. </w:t>
      </w:r>
      <w:proofErr w:type="spellStart"/>
      <w:proofErr w:type="gramStart"/>
      <w:r w:rsidRPr="00825B6E">
        <w:rPr>
          <w:sz w:val="24"/>
          <w:lang w:val="cs-CZ"/>
        </w:rPr>
        <w:t>věst</w:t>
      </w:r>
      <w:proofErr w:type="spellEnd"/>
      <w:proofErr w:type="gramEnd"/>
      <w:r w:rsidRPr="00825B6E">
        <w:rPr>
          <w:sz w:val="24"/>
          <w:lang w:val="cs-CZ"/>
        </w:rPr>
        <w:t xml:space="preserve">. C, C/2023/112, </w:t>
      </w:r>
      <w:proofErr w:type="gramStart"/>
      <w:r w:rsidRPr="00825B6E">
        <w:rPr>
          <w:sz w:val="24"/>
          <w:lang w:val="cs-CZ"/>
        </w:rPr>
        <w:t>12.10.2023</w:t>
      </w:r>
      <w:proofErr w:type="gramEnd"/>
      <w:r w:rsidRPr="00825B6E">
        <w:rPr>
          <w:sz w:val="24"/>
          <w:lang w:val="cs-CZ"/>
        </w:rPr>
        <w:t>.</w:t>
      </w:r>
    </w:p>
  </w:footnote>
  <w:footnote w:id="8">
    <w:p w:rsidR="00CA39DC" w:rsidRPr="00825B6E" w:rsidRDefault="00CA39DC" w:rsidP="00825B6E">
      <w:pPr>
        <w:pStyle w:val="FootnoteText"/>
        <w:ind w:left="567" w:hanging="567"/>
        <w:rPr>
          <w:sz w:val="24"/>
          <w:lang w:val="cs-CZ"/>
        </w:rPr>
      </w:pPr>
      <w:r w:rsidRPr="00825B6E">
        <w:rPr>
          <w:rStyle w:val="FootnoteReference"/>
          <w:sz w:val="24"/>
          <w:lang w:val="cs-CZ"/>
        </w:rPr>
        <w:footnoteRef/>
      </w:r>
      <w:r w:rsidR="00825B6E" w:rsidRPr="00825B6E">
        <w:rPr>
          <w:sz w:val="24"/>
          <w:lang w:val="cs-CZ"/>
        </w:rPr>
        <w:t xml:space="preserve"> </w:t>
      </w:r>
      <w:r w:rsidR="00825B6E" w:rsidRPr="00825B6E">
        <w:rPr>
          <w:sz w:val="24"/>
          <w:lang w:val="cs-CZ"/>
        </w:rPr>
        <w:tab/>
      </w:r>
      <w:proofErr w:type="spellStart"/>
      <w:r w:rsidRPr="00825B6E">
        <w:rPr>
          <w:sz w:val="24"/>
          <w:lang w:val="cs-CZ"/>
        </w:rPr>
        <w:t>Úř</w:t>
      </w:r>
      <w:proofErr w:type="spellEnd"/>
      <w:r w:rsidRPr="00825B6E">
        <w:rPr>
          <w:sz w:val="24"/>
          <w:lang w:val="cs-CZ"/>
        </w:rPr>
        <w:t xml:space="preserve">. </w:t>
      </w:r>
      <w:proofErr w:type="spellStart"/>
      <w:proofErr w:type="gramStart"/>
      <w:r w:rsidRPr="00825B6E">
        <w:rPr>
          <w:sz w:val="24"/>
          <w:lang w:val="cs-CZ"/>
        </w:rPr>
        <w:t>věst</w:t>
      </w:r>
      <w:proofErr w:type="spellEnd"/>
      <w:proofErr w:type="gramEnd"/>
      <w:r w:rsidRPr="00825B6E">
        <w:rPr>
          <w:sz w:val="24"/>
          <w:lang w:val="cs-CZ"/>
        </w:rPr>
        <w:t xml:space="preserve">. L 193, </w:t>
      </w:r>
      <w:proofErr w:type="gramStart"/>
      <w:r w:rsidRPr="00825B6E">
        <w:rPr>
          <w:sz w:val="24"/>
          <w:lang w:val="cs-CZ"/>
        </w:rPr>
        <w:t>30.7.2018</w:t>
      </w:r>
      <w:proofErr w:type="gramEnd"/>
      <w:r w:rsidRPr="00825B6E">
        <w:rPr>
          <w:sz w:val="24"/>
          <w:lang w:val="cs-CZ"/>
        </w:rPr>
        <w:t>, s. 1.</w:t>
      </w:r>
    </w:p>
  </w:footnote>
  <w:footnote w:id="9">
    <w:p w:rsidR="00CA39DC" w:rsidRPr="00825B6E" w:rsidRDefault="00CA39DC" w:rsidP="00825B6E">
      <w:pPr>
        <w:pStyle w:val="FootnoteText"/>
        <w:ind w:left="567" w:hanging="567"/>
        <w:rPr>
          <w:sz w:val="24"/>
          <w:lang w:val="cs-CZ"/>
        </w:rPr>
      </w:pPr>
      <w:r w:rsidRPr="00825B6E">
        <w:rPr>
          <w:rStyle w:val="FootnoteReference"/>
          <w:sz w:val="24"/>
          <w:lang w:val="cs-CZ"/>
        </w:rPr>
        <w:footnoteRef/>
      </w:r>
      <w:r w:rsidR="00825B6E" w:rsidRPr="00825B6E">
        <w:rPr>
          <w:sz w:val="24"/>
          <w:lang w:val="cs-CZ"/>
        </w:rPr>
        <w:t xml:space="preserve"> </w:t>
      </w:r>
      <w:r w:rsidR="00825B6E" w:rsidRPr="00825B6E">
        <w:rPr>
          <w:sz w:val="24"/>
          <w:lang w:val="cs-CZ"/>
        </w:rPr>
        <w:tab/>
      </w:r>
      <w:proofErr w:type="spellStart"/>
      <w:r w:rsidRPr="00825B6E">
        <w:rPr>
          <w:sz w:val="24"/>
          <w:lang w:val="cs-CZ"/>
        </w:rPr>
        <w:t>Úř</w:t>
      </w:r>
      <w:proofErr w:type="spellEnd"/>
      <w:r w:rsidRPr="00825B6E">
        <w:rPr>
          <w:sz w:val="24"/>
          <w:lang w:val="cs-CZ"/>
        </w:rPr>
        <w:t xml:space="preserve">. </w:t>
      </w:r>
      <w:proofErr w:type="spellStart"/>
      <w:proofErr w:type="gramStart"/>
      <w:r w:rsidRPr="00825B6E">
        <w:rPr>
          <w:sz w:val="24"/>
          <w:lang w:val="cs-CZ"/>
        </w:rPr>
        <w:t>věst</w:t>
      </w:r>
      <w:proofErr w:type="spellEnd"/>
      <w:proofErr w:type="gramEnd"/>
      <w:r w:rsidRPr="00825B6E">
        <w:rPr>
          <w:sz w:val="24"/>
          <w:lang w:val="cs-CZ"/>
        </w:rPr>
        <w:t xml:space="preserve">. L 321, </w:t>
      </w:r>
      <w:proofErr w:type="gramStart"/>
      <w:r w:rsidRPr="00825B6E">
        <w:rPr>
          <w:sz w:val="24"/>
          <w:lang w:val="cs-CZ"/>
        </w:rPr>
        <w:t>17.12.2018</w:t>
      </w:r>
      <w:proofErr w:type="gramEnd"/>
      <w:r w:rsidRPr="00825B6E">
        <w:rPr>
          <w:sz w:val="24"/>
          <w:lang w:val="cs-CZ"/>
        </w:rPr>
        <w:t>, s. 1.</w:t>
      </w:r>
    </w:p>
  </w:footnote>
  <w:footnote w:id="10">
    <w:p w:rsidR="00CA39DC" w:rsidRPr="00825B6E" w:rsidRDefault="00CA39DC" w:rsidP="00825B6E">
      <w:pPr>
        <w:pStyle w:val="FootnoteText"/>
        <w:ind w:left="567" w:hanging="567"/>
        <w:rPr>
          <w:sz w:val="24"/>
          <w:szCs w:val="24"/>
          <w:lang w:val="cs-CZ"/>
        </w:rPr>
      </w:pPr>
      <w:r w:rsidRPr="00825B6E">
        <w:rPr>
          <w:rStyle w:val="FootnoteReference"/>
          <w:sz w:val="24"/>
          <w:lang w:val="cs-CZ"/>
        </w:rPr>
        <w:footnoteRef/>
      </w:r>
      <w:r w:rsidR="00825B6E" w:rsidRPr="00825B6E">
        <w:rPr>
          <w:sz w:val="24"/>
          <w:lang w:val="cs-CZ"/>
        </w:rPr>
        <w:t xml:space="preserve"> </w:t>
      </w:r>
      <w:r w:rsidR="00825B6E" w:rsidRPr="00825B6E">
        <w:rPr>
          <w:sz w:val="24"/>
          <w:lang w:val="cs-CZ"/>
        </w:rPr>
        <w:tab/>
      </w:r>
      <w:proofErr w:type="spellStart"/>
      <w:r w:rsidRPr="00825B6E">
        <w:rPr>
          <w:sz w:val="24"/>
          <w:lang w:val="cs-CZ"/>
        </w:rPr>
        <w:t>Úř</w:t>
      </w:r>
      <w:proofErr w:type="spellEnd"/>
      <w:r w:rsidRPr="00825B6E">
        <w:rPr>
          <w:sz w:val="24"/>
          <w:lang w:val="cs-CZ"/>
        </w:rPr>
        <w:t xml:space="preserve">. </w:t>
      </w:r>
      <w:proofErr w:type="spellStart"/>
      <w:proofErr w:type="gramStart"/>
      <w:r w:rsidRPr="00825B6E">
        <w:rPr>
          <w:sz w:val="24"/>
          <w:lang w:val="cs-CZ"/>
        </w:rPr>
        <w:t>věst</w:t>
      </w:r>
      <w:proofErr w:type="spellEnd"/>
      <w:proofErr w:type="gramEnd"/>
      <w:r w:rsidRPr="00825B6E">
        <w:rPr>
          <w:sz w:val="24"/>
          <w:lang w:val="cs-CZ"/>
        </w:rPr>
        <w:t xml:space="preserve">. L 122, </w:t>
      </w:r>
      <w:proofErr w:type="gramStart"/>
      <w:r w:rsidRPr="00825B6E">
        <w:rPr>
          <w:sz w:val="24"/>
          <w:lang w:val="cs-CZ"/>
        </w:rPr>
        <w:t>10.5.2019</w:t>
      </w:r>
      <w:proofErr w:type="gramEnd"/>
      <w:r w:rsidRPr="00825B6E">
        <w:rPr>
          <w:sz w:val="24"/>
          <w:lang w:val="cs-CZ"/>
        </w:rPr>
        <w:t>, s. 1.</w:t>
      </w:r>
    </w:p>
  </w:footnote>
  <w:footnote w:id="11">
    <w:p w:rsidR="00CA39DC" w:rsidRPr="00825B6E" w:rsidRDefault="00CA39DC" w:rsidP="00825B6E">
      <w:pPr>
        <w:pStyle w:val="FootnoteText"/>
        <w:ind w:left="567" w:hanging="567"/>
        <w:rPr>
          <w:sz w:val="24"/>
          <w:lang w:val="cs-CZ"/>
        </w:rPr>
      </w:pPr>
      <w:r w:rsidRPr="00825B6E">
        <w:rPr>
          <w:rStyle w:val="FootnoteReference"/>
          <w:sz w:val="24"/>
          <w:lang w:val="cs-CZ"/>
        </w:rPr>
        <w:footnoteRef/>
      </w:r>
      <w:r w:rsidR="00825B6E" w:rsidRPr="00825B6E">
        <w:rPr>
          <w:sz w:val="24"/>
          <w:lang w:val="cs-CZ"/>
        </w:rPr>
        <w:t xml:space="preserve"> </w:t>
      </w:r>
      <w:r w:rsidR="00825B6E" w:rsidRPr="00825B6E">
        <w:rPr>
          <w:sz w:val="24"/>
          <w:lang w:val="cs-CZ"/>
        </w:rPr>
        <w:tab/>
      </w:r>
      <w:proofErr w:type="spellStart"/>
      <w:r w:rsidRPr="00825B6E">
        <w:rPr>
          <w:sz w:val="24"/>
          <w:lang w:val="cs-CZ"/>
        </w:rPr>
        <w:t>Úř</w:t>
      </w:r>
      <w:proofErr w:type="spellEnd"/>
      <w:r w:rsidRPr="00825B6E">
        <w:rPr>
          <w:sz w:val="24"/>
          <w:lang w:val="cs-CZ"/>
        </w:rPr>
        <w:t xml:space="preserve">. </w:t>
      </w:r>
      <w:proofErr w:type="spellStart"/>
      <w:proofErr w:type="gramStart"/>
      <w:r w:rsidRPr="00825B6E">
        <w:rPr>
          <w:sz w:val="24"/>
          <w:lang w:val="cs-CZ"/>
        </w:rPr>
        <w:t>věst</w:t>
      </w:r>
      <w:proofErr w:type="spellEnd"/>
      <w:proofErr w:type="gramEnd"/>
      <w:r w:rsidRPr="00825B6E">
        <w:rPr>
          <w:sz w:val="24"/>
          <w:lang w:val="cs-CZ"/>
        </w:rPr>
        <w:t xml:space="preserve">. C 119, </w:t>
      </w:r>
      <w:proofErr w:type="gramStart"/>
      <w:r w:rsidRPr="00825B6E">
        <w:rPr>
          <w:sz w:val="24"/>
          <w:lang w:val="cs-CZ"/>
        </w:rPr>
        <w:t>31.3.2023</w:t>
      </w:r>
      <w:proofErr w:type="gramEnd"/>
      <w:r w:rsidRPr="00825B6E">
        <w:rPr>
          <w:sz w:val="24"/>
          <w:lang w:val="cs-CZ"/>
        </w:rPr>
        <w:t>, s. 11.</w:t>
      </w:r>
    </w:p>
  </w:footnote>
  <w:footnote w:id="12">
    <w:p w:rsidR="00CA39DC" w:rsidRPr="00825B6E" w:rsidRDefault="00CA39DC" w:rsidP="00825B6E">
      <w:pPr>
        <w:pStyle w:val="FootnoteText"/>
        <w:ind w:left="567" w:hanging="567"/>
        <w:rPr>
          <w:sz w:val="24"/>
          <w:szCs w:val="24"/>
          <w:lang w:val="cs-CZ"/>
        </w:rPr>
      </w:pPr>
      <w:r w:rsidRPr="00825B6E">
        <w:rPr>
          <w:rStyle w:val="FootnoteReference"/>
          <w:sz w:val="24"/>
          <w:szCs w:val="24"/>
          <w:lang w:val="cs-CZ"/>
        </w:rPr>
        <w:footnoteRef/>
      </w:r>
      <w:r w:rsidR="00825B6E" w:rsidRPr="00825B6E">
        <w:rPr>
          <w:sz w:val="24"/>
          <w:lang w:val="cs-CZ"/>
        </w:rPr>
        <w:t xml:space="preserve"> </w:t>
      </w:r>
      <w:r w:rsidR="00825B6E" w:rsidRPr="00825B6E">
        <w:rPr>
          <w:sz w:val="24"/>
          <w:lang w:val="cs-CZ"/>
        </w:rPr>
        <w:tab/>
      </w:r>
      <w:r w:rsidR="0008241D">
        <w:rPr>
          <w:sz w:val="24"/>
          <w:lang w:val="cs-CZ"/>
        </w:rPr>
        <w:t>Přijaté texty, P9_TA(2024)0280</w:t>
      </w:r>
      <w:bookmarkStart w:id="10" w:name="_GoBack"/>
      <w:bookmarkEnd w:id="10"/>
      <w:r w:rsidRPr="00825B6E">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5B6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5B6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5B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3/2024"/>
    <w:docVar w:name="dvlangue" w:val="CS"/>
    <w:docVar w:name="dvnumam" w:val="0"/>
    <w:docVar w:name="dvpe" w:val="753.507"/>
    <w:docVar w:name="dvrapporteur" w:val="Zpravodaj: "/>
    <w:docVar w:name="dvtitre" w:val="1. Rozhodnutí Evropského parlamentu ze dne.... 2024 o udělení absolutoria za plnění rozpočtu Agentury na podporu BEREC (Úřad BEREC) na rozpočtový rok 2022(2023/2141(DEC))"/>
  </w:docVars>
  <w:rsids>
    <w:rsidRoot w:val="004C7D1C"/>
    <w:rsid w:val="00002272"/>
    <w:rsid w:val="00064002"/>
    <w:rsid w:val="000677B9"/>
    <w:rsid w:val="0008241D"/>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C7D1C"/>
    <w:rsid w:val="0050519A"/>
    <w:rsid w:val="005072A1"/>
    <w:rsid w:val="00514517"/>
    <w:rsid w:val="00545827"/>
    <w:rsid w:val="00560270"/>
    <w:rsid w:val="005C2568"/>
    <w:rsid w:val="006037C0"/>
    <w:rsid w:val="006631B6"/>
    <w:rsid w:val="00674C3F"/>
    <w:rsid w:val="00680577"/>
    <w:rsid w:val="006F74FA"/>
    <w:rsid w:val="00731ADD"/>
    <w:rsid w:val="00734777"/>
    <w:rsid w:val="00747932"/>
    <w:rsid w:val="00751A4A"/>
    <w:rsid w:val="00756632"/>
    <w:rsid w:val="00762C74"/>
    <w:rsid w:val="00786EC0"/>
    <w:rsid w:val="007D1690"/>
    <w:rsid w:val="007E22AD"/>
    <w:rsid w:val="00807E48"/>
    <w:rsid w:val="00817416"/>
    <w:rsid w:val="00825B6E"/>
    <w:rsid w:val="00842779"/>
    <w:rsid w:val="00865F67"/>
    <w:rsid w:val="00881A7B"/>
    <w:rsid w:val="008840E5"/>
    <w:rsid w:val="00887B3E"/>
    <w:rsid w:val="008C2AC6"/>
    <w:rsid w:val="00930C23"/>
    <w:rsid w:val="0093193B"/>
    <w:rsid w:val="009509D8"/>
    <w:rsid w:val="00950B64"/>
    <w:rsid w:val="00963500"/>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39DC"/>
    <w:rsid w:val="00CB70DF"/>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C2F99D"/>
  <w15:chartTrackingRefBased/>
  <w15:docId w15:val="{A4DBE9CB-71EF-432E-8833-267119FFD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A39D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A39DC"/>
    <w:pPr>
      <w:spacing w:before="480" w:after="240"/>
    </w:pPr>
  </w:style>
  <w:style w:type="paragraph" w:customStyle="1" w:styleId="PageHeading">
    <w:name w:val="PageHeading"/>
    <w:basedOn w:val="Normal"/>
    <w:rsid w:val="00CA39DC"/>
    <w:pPr>
      <w:keepNext/>
      <w:spacing w:after="480"/>
      <w:jc w:val="center"/>
    </w:pPr>
    <w:rPr>
      <w:rFonts w:ascii="Arial" w:hAnsi="Arial" w:cs="Arial"/>
      <w:b/>
    </w:rPr>
  </w:style>
  <w:style w:type="paragraph" w:customStyle="1" w:styleId="NormalBold">
    <w:name w:val="NormalBold"/>
    <w:basedOn w:val="Normal"/>
    <w:rsid w:val="00CA39DC"/>
    <w:rPr>
      <w:b/>
    </w:rPr>
  </w:style>
  <w:style w:type="paragraph" w:customStyle="1" w:styleId="NormalHanging12a">
    <w:name w:val="NormalHanging12a"/>
    <w:basedOn w:val="Normal"/>
    <w:link w:val="NormalHanging12aChar"/>
    <w:rsid w:val="00CA39DC"/>
    <w:pPr>
      <w:spacing w:after="240"/>
      <w:ind w:left="567" w:hanging="567"/>
    </w:pPr>
  </w:style>
  <w:style w:type="paragraph" w:customStyle="1" w:styleId="NormalCenter12a">
    <w:name w:val="NormalCenter12a"/>
    <w:basedOn w:val="Normal"/>
    <w:rsid w:val="00CA39DC"/>
    <w:pPr>
      <w:spacing w:after="240"/>
      <w:jc w:val="center"/>
    </w:pPr>
  </w:style>
  <w:style w:type="paragraph" w:styleId="Header">
    <w:name w:val="header"/>
    <w:basedOn w:val="Normal"/>
    <w:link w:val="HeaderChar"/>
    <w:rsid w:val="00CA39DC"/>
    <w:pPr>
      <w:tabs>
        <w:tab w:val="center" w:pos="4513"/>
        <w:tab w:val="right" w:pos="9026"/>
      </w:tabs>
    </w:pPr>
  </w:style>
  <w:style w:type="character" w:customStyle="1" w:styleId="HeaderChar">
    <w:name w:val="Header Char"/>
    <w:basedOn w:val="DefaultParagraphFont"/>
    <w:link w:val="Header"/>
    <w:rsid w:val="00CA39DC"/>
    <w:rPr>
      <w:sz w:val="24"/>
      <w:lang w:val="cs-CZ"/>
    </w:rPr>
  </w:style>
  <w:style w:type="paragraph" w:customStyle="1" w:styleId="EPFooter">
    <w:name w:val="EPFooter"/>
    <w:basedOn w:val="Normal"/>
    <w:rsid w:val="00CA39DC"/>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CA39DC"/>
    <w:rPr>
      <w:sz w:val="24"/>
      <w:lang w:val="cs-CZ"/>
    </w:rPr>
  </w:style>
  <w:style w:type="paragraph" w:customStyle="1" w:styleId="Normal12Hanging">
    <w:name w:val="Normal12Hanging"/>
    <w:basedOn w:val="Normal"/>
    <w:rsid w:val="00CA39DC"/>
    <w:pPr>
      <w:spacing w:after="240"/>
      <w:ind w:left="567" w:hanging="567"/>
    </w:pPr>
  </w:style>
  <w:style w:type="paragraph" w:styleId="Footer">
    <w:name w:val="footer"/>
    <w:basedOn w:val="Normal"/>
    <w:link w:val="FooterChar"/>
    <w:rsid w:val="00807E48"/>
    <w:pPr>
      <w:tabs>
        <w:tab w:val="center" w:pos="4513"/>
        <w:tab w:val="right" w:pos="9026"/>
      </w:tabs>
    </w:pPr>
  </w:style>
  <w:style w:type="character" w:customStyle="1" w:styleId="FooterChar">
    <w:name w:val="Footer Char"/>
    <w:basedOn w:val="DefaultParagraphFont"/>
    <w:link w:val="Footer"/>
    <w:rsid w:val="00807E48"/>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3F1ED3-8955-44EB-B3A8-9E882D330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3078</Words>
  <Characters>18021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HILL Romana</cp:lastModifiedBy>
  <cp:revision>2</cp:revision>
  <cp:lastPrinted>2004-11-19T15:42:00Z</cp:lastPrinted>
  <dcterms:created xsi:type="dcterms:W3CDTF">2024-04-11T15:13:00Z</dcterms:created>
  <dcterms:modified xsi:type="dcterms:W3CDTF">2024-04-11T15:13:00Z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A9-0123/2024</vt:lpwstr>
  </property>
  <property fmtid="{D5CDD505-2E9C-101B-9397-08002B2CF9AE}" pid="4" name="&lt;Type&gt;">
    <vt:lpwstr>RR</vt:lpwstr>
  </property>
</Properties>
</file>