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0ED5" w14:paraId="58B83E52" w14:textId="77777777" w:rsidTr="0010095E">
        <w:trPr>
          <w:trHeight w:hRule="exact" w:val="1418"/>
        </w:trPr>
        <w:tc>
          <w:tcPr>
            <w:tcW w:w="6804" w:type="dxa"/>
            <w:shd w:val="clear" w:color="auto" w:fill="auto"/>
            <w:vAlign w:val="center"/>
          </w:tcPr>
          <w:p w14:paraId="60120F54" w14:textId="77777777" w:rsidR="00751A4A" w:rsidRPr="00D70ED5" w:rsidRDefault="0020747C" w:rsidP="0010095E">
            <w:pPr>
              <w:pStyle w:val="EPName"/>
            </w:pPr>
            <w:r w:rsidRPr="00D70ED5">
              <w:t>Europa-Parlamentet</w:t>
            </w:r>
          </w:p>
          <w:p w14:paraId="2FE2E35B" w14:textId="77777777" w:rsidR="00751A4A" w:rsidRPr="00D70ED5" w:rsidRDefault="00817416" w:rsidP="00756632">
            <w:pPr>
              <w:pStyle w:val="EPTerm"/>
              <w:rPr>
                <w:rStyle w:val="HideTWBExt"/>
                <w:noProof w:val="0"/>
                <w:vanish w:val="0"/>
                <w:color w:val="auto"/>
              </w:rPr>
            </w:pPr>
            <w:r w:rsidRPr="00D70ED5">
              <w:t>2019-2024</w:t>
            </w:r>
          </w:p>
        </w:tc>
        <w:tc>
          <w:tcPr>
            <w:tcW w:w="2268" w:type="dxa"/>
            <w:shd w:val="clear" w:color="auto" w:fill="auto"/>
          </w:tcPr>
          <w:p w14:paraId="2E38EBBB" w14:textId="77777777" w:rsidR="00751A4A" w:rsidRPr="00D70ED5" w:rsidRDefault="00187494" w:rsidP="0010095E">
            <w:pPr>
              <w:pStyle w:val="EPLogo"/>
            </w:pPr>
            <w:r w:rsidRPr="00D70ED5">
              <w:rPr>
                <w:noProof/>
                <w:lang w:val="en-GB"/>
              </w:rPr>
              <w:drawing>
                <wp:inline distT="0" distB="0" distL="0" distR="0" wp14:anchorId="00B1972E" wp14:editId="380175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3BC461" w14:textId="77777777" w:rsidR="00D058B8" w:rsidRPr="00D70ED5" w:rsidRDefault="00D058B8" w:rsidP="004C5D52">
      <w:pPr>
        <w:pStyle w:val="LineTop"/>
      </w:pPr>
    </w:p>
    <w:p w14:paraId="22E988FE" w14:textId="77777777" w:rsidR="00680577" w:rsidRPr="00D70ED5" w:rsidRDefault="0020747C" w:rsidP="00680577">
      <w:pPr>
        <w:pStyle w:val="EPBodyTA1"/>
      </w:pPr>
      <w:r w:rsidRPr="00D70ED5">
        <w:t>VEDTAGNE TEKSTER</w:t>
      </w:r>
    </w:p>
    <w:p w14:paraId="7439443F" w14:textId="77777777" w:rsidR="00D058B8" w:rsidRPr="00D70ED5" w:rsidRDefault="00D058B8" w:rsidP="00D058B8">
      <w:pPr>
        <w:pStyle w:val="LineBottom"/>
      </w:pPr>
    </w:p>
    <w:p w14:paraId="53FC2C22" w14:textId="1AEB3FC4" w:rsidR="0020747C" w:rsidRPr="00D70ED5" w:rsidRDefault="0020747C" w:rsidP="0020747C">
      <w:pPr>
        <w:pStyle w:val="ATHeading1"/>
      </w:pPr>
      <w:bookmarkStart w:id="0" w:name="TANumber"/>
      <w:r w:rsidRPr="00D70ED5">
        <w:t>P9_</w:t>
      </w:r>
      <w:proofErr w:type="gramStart"/>
      <w:r w:rsidRPr="00D70ED5">
        <w:t>TA(</w:t>
      </w:r>
      <w:proofErr w:type="gramEnd"/>
      <w:r w:rsidRPr="00D70ED5">
        <w:t>2024)0</w:t>
      </w:r>
      <w:r w:rsidR="00BC1103">
        <w:t>266</w:t>
      </w:r>
      <w:bookmarkEnd w:id="0"/>
    </w:p>
    <w:p w14:paraId="0C35E8F3" w14:textId="77777777" w:rsidR="0020747C" w:rsidRPr="00D70ED5" w:rsidRDefault="0020747C" w:rsidP="0020747C">
      <w:pPr>
        <w:pStyle w:val="ATHeading2"/>
      </w:pPr>
      <w:bookmarkStart w:id="1" w:name="title"/>
      <w:r w:rsidRPr="00D70ED5">
        <w:t>Decharge 2022: Agenturet for Støtte til BEREC (BEREC-kontoret)</w:t>
      </w:r>
      <w:bookmarkEnd w:id="1"/>
    </w:p>
    <w:p w14:paraId="0B366887" w14:textId="77777777" w:rsidR="0020747C" w:rsidRPr="00D70ED5" w:rsidRDefault="0020747C" w:rsidP="0020747C">
      <w:pPr>
        <w:rPr>
          <w:i/>
          <w:vanish/>
        </w:rPr>
      </w:pPr>
      <w:r w:rsidRPr="00D70ED5">
        <w:rPr>
          <w:i/>
        </w:rPr>
        <w:fldChar w:fldCharType="begin"/>
      </w:r>
      <w:r w:rsidRPr="00D70ED5">
        <w:rPr>
          <w:i/>
        </w:rPr>
        <w:instrText xml:space="preserve"> TC"(</w:instrText>
      </w:r>
      <w:bookmarkStart w:id="2" w:name="DocNumber"/>
      <w:r w:rsidRPr="00D70ED5">
        <w:rPr>
          <w:i/>
        </w:rPr>
        <w:instrText>A9-0123/2024</w:instrText>
      </w:r>
      <w:bookmarkEnd w:id="2"/>
      <w:r w:rsidRPr="00D70ED5">
        <w:rPr>
          <w:i/>
        </w:rPr>
        <w:instrText xml:space="preserve"> - Ordfører: Petri </w:instrText>
      </w:r>
      <w:proofErr w:type="spellStart"/>
      <w:r w:rsidRPr="00D70ED5">
        <w:rPr>
          <w:i/>
        </w:rPr>
        <w:instrText>Sarvamaa</w:instrText>
      </w:r>
      <w:proofErr w:type="spellEnd"/>
      <w:r w:rsidRPr="00D70ED5">
        <w:rPr>
          <w:i/>
        </w:rPr>
        <w:instrText xml:space="preserve">)"\l3 \n&gt; \* MERGEFORMAT </w:instrText>
      </w:r>
      <w:r w:rsidRPr="00D70ED5">
        <w:rPr>
          <w:i/>
        </w:rPr>
        <w:fldChar w:fldCharType="end"/>
      </w:r>
    </w:p>
    <w:p w14:paraId="4154CA00" w14:textId="77777777" w:rsidR="0020747C" w:rsidRPr="00D70ED5" w:rsidRDefault="0020747C" w:rsidP="0020747C">
      <w:pPr>
        <w:rPr>
          <w:vanish/>
        </w:rPr>
      </w:pPr>
      <w:bookmarkStart w:id="3" w:name="Commission"/>
      <w:r w:rsidRPr="00D70ED5">
        <w:rPr>
          <w:vanish/>
        </w:rPr>
        <w:t>Budgetkontroludvalget</w:t>
      </w:r>
      <w:bookmarkEnd w:id="3"/>
    </w:p>
    <w:p w14:paraId="6CD63C5C" w14:textId="77777777" w:rsidR="0020747C" w:rsidRPr="00D70ED5" w:rsidRDefault="0020747C" w:rsidP="0020747C">
      <w:pPr>
        <w:rPr>
          <w:vanish/>
        </w:rPr>
      </w:pPr>
      <w:bookmarkStart w:id="4" w:name="PE"/>
      <w:r w:rsidRPr="00D70ED5">
        <w:rPr>
          <w:vanish/>
        </w:rPr>
        <w:t>PE753.507</w:t>
      </w:r>
      <w:bookmarkEnd w:id="4"/>
    </w:p>
    <w:p w14:paraId="71D697DF" w14:textId="77777777" w:rsidR="0020747C" w:rsidRPr="00D70ED5" w:rsidRDefault="0020747C" w:rsidP="0020747C">
      <w:pPr>
        <w:pStyle w:val="ATHeading3"/>
      </w:pPr>
      <w:bookmarkStart w:id="5" w:name="Sujet"/>
      <w:r w:rsidRPr="00D70ED5">
        <w:t>1. Europa-Parlamentets afgørelse af 11. april 2024 om decharge for gennemførelsen af budgettet for Agenturet for Støtte til BEREC (BEREC-kontoret) for regnskabsåret 2022</w:t>
      </w:r>
      <w:bookmarkEnd w:id="5"/>
      <w:r w:rsidRPr="00D70ED5">
        <w:t xml:space="preserve"> </w:t>
      </w:r>
      <w:bookmarkStart w:id="6" w:name="References"/>
      <w:r w:rsidRPr="00D70ED5">
        <w:t>(2023/2141(DEC))</w:t>
      </w:r>
      <w:bookmarkEnd w:id="6"/>
    </w:p>
    <w:p w14:paraId="508D28FE" w14:textId="77777777" w:rsidR="00CA1E46" w:rsidRPr="00D70ED5" w:rsidRDefault="00CA1E46" w:rsidP="00CA1E46">
      <w:pPr>
        <w:pStyle w:val="EPComma"/>
      </w:pPr>
      <w:bookmarkStart w:id="7" w:name="TextBodyBegin"/>
      <w:bookmarkEnd w:id="7"/>
      <w:r w:rsidRPr="00D70ED5">
        <w:rPr>
          <w:i/>
        </w:rPr>
        <w:t>Europa-Parlamentet,</w:t>
      </w:r>
    </w:p>
    <w:p w14:paraId="526A702A" w14:textId="77777777" w:rsidR="00CA1E46" w:rsidRPr="00D70ED5" w:rsidRDefault="00CA1E46" w:rsidP="00CA1E46">
      <w:pPr>
        <w:pStyle w:val="NormalHanging12a"/>
      </w:pPr>
      <w:r w:rsidRPr="00D70ED5">
        <w:t>–</w:t>
      </w:r>
      <w:r w:rsidRPr="00D70ED5">
        <w:tab/>
        <w:t>der henviser til det endelige årsregnskab for Agenturet for Støtte til BEREC (BEREC-kontoret) for regnskabsåret 2022,</w:t>
      </w:r>
    </w:p>
    <w:p w14:paraId="585DD791" w14:textId="77777777" w:rsidR="00CA1E46" w:rsidRPr="00D70ED5" w:rsidRDefault="00CA1E46" w:rsidP="00CA1E46">
      <w:pPr>
        <w:pStyle w:val="NormalHanging12a"/>
      </w:pPr>
      <w:r w:rsidRPr="00D70ED5">
        <w:t>–</w:t>
      </w:r>
      <w:r w:rsidRPr="00D70ED5">
        <w:tab/>
        <w:t>der henviser til Revisionsrettens årsberetning om EU-agenturerne for regnskabsåret 2022, med agenturernes svar</w:t>
      </w:r>
      <w:r w:rsidRPr="00D70ED5">
        <w:rPr>
          <w:rStyle w:val="FootnoteReference"/>
        </w:rPr>
        <w:footnoteReference w:id="1"/>
      </w:r>
      <w:r w:rsidRPr="00D70ED5">
        <w:t>,</w:t>
      </w:r>
    </w:p>
    <w:p w14:paraId="2323CD7D" w14:textId="77777777" w:rsidR="00CA1E46" w:rsidRPr="00D70ED5" w:rsidRDefault="00CA1E46" w:rsidP="00CA1E46">
      <w:pPr>
        <w:pStyle w:val="NormalHanging12a"/>
      </w:pPr>
      <w:r w:rsidRPr="00D70ED5">
        <w:t>–</w:t>
      </w:r>
      <w:r w:rsidRPr="00D70ED5">
        <w:tab/>
        <w:t>der henviser til Revisionsrettens erklæring</w:t>
      </w:r>
      <w:r w:rsidRPr="00D70ED5">
        <w:rPr>
          <w:rStyle w:val="FootnoteReference"/>
        </w:rPr>
        <w:footnoteReference w:id="2"/>
      </w:r>
      <w:r w:rsidRPr="00D70ED5">
        <w:t xml:space="preserve"> for regnskabsåret 2022 om regnskabernes rigtighed og de underliggende transaktioners lovlighed og formelle rigtighed, jf. artikel 287 i traktaten om Den Europæiske Unions funktionsmåde,</w:t>
      </w:r>
    </w:p>
    <w:p w14:paraId="2F8EF8E5" w14:textId="1767F049" w:rsidR="00CA1E46" w:rsidRPr="00D70ED5" w:rsidRDefault="00CA1E46" w:rsidP="00CA1E46">
      <w:pPr>
        <w:pStyle w:val="NormalHanging12a"/>
      </w:pPr>
      <w:r w:rsidRPr="00D70ED5">
        <w:t>–</w:t>
      </w:r>
      <w:r w:rsidRPr="00D70ED5">
        <w:tab/>
        <w:t>der henviser til Rådets henstilling af 22. februar 2024 om decharge til agenturet for gennemførelsen af budgettet for regnskabsåret 2022 (0</w:t>
      </w:r>
      <w:r w:rsidR="00BF32AA" w:rsidRPr="00D70ED5">
        <w:t>6180</w:t>
      </w:r>
      <w:r w:rsidRPr="00D70ED5">
        <w:t>/2024 – C9</w:t>
      </w:r>
      <w:r w:rsidRPr="00D70ED5">
        <w:noBreakHyphen/>
        <w:t>00</w:t>
      </w:r>
      <w:r w:rsidR="00BF32AA" w:rsidRPr="00D70ED5">
        <w:t>79</w:t>
      </w:r>
      <w:r w:rsidRPr="00D70ED5">
        <w:t>/2024),</w:t>
      </w:r>
    </w:p>
    <w:p w14:paraId="1AEF43C8" w14:textId="77777777" w:rsidR="00CA1E46" w:rsidRPr="00D70ED5" w:rsidRDefault="00CA1E46" w:rsidP="00CA1E46">
      <w:pPr>
        <w:pStyle w:val="NormalHanging12a"/>
      </w:pPr>
      <w:r w:rsidRPr="00D70ED5">
        <w:t>–</w:t>
      </w:r>
      <w:r w:rsidRPr="00D70ED5">
        <w:tab/>
        <w:t>der henviser til artikel 319 i traktaten om Den Europæiske Unions funktionsmåde,</w:t>
      </w:r>
    </w:p>
    <w:p w14:paraId="68081A48" w14:textId="77777777" w:rsidR="00CA1E46" w:rsidRPr="00D70ED5" w:rsidRDefault="00CA1E46" w:rsidP="00CA1E46">
      <w:pPr>
        <w:pStyle w:val="NormalHanging12a"/>
      </w:pPr>
      <w:r w:rsidRPr="00D70ED5">
        <w:t>–</w:t>
      </w:r>
      <w:r w:rsidRPr="00D70ED5">
        <w:tab/>
        <w:t xml:space="preserve">der henviser til Europa-Parlamentets og Rådets forordning (EU, </w:t>
      </w:r>
      <w:proofErr w:type="spellStart"/>
      <w:r w:rsidRPr="00D70ED5">
        <w:t>Euratom</w:t>
      </w:r>
      <w:proofErr w:type="spellEnd"/>
      <w:r w:rsidRPr="00D70ED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D70ED5">
        <w:t>Euratom</w:t>
      </w:r>
      <w:proofErr w:type="spellEnd"/>
      <w:r w:rsidRPr="00D70ED5">
        <w:t>) nr. 966/2012</w:t>
      </w:r>
      <w:r w:rsidRPr="00D70ED5">
        <w:rPr>
          <w:rStyle w:val="FootnoteReference"/>
        </w:rPr>
        <w:footnoteReference w:id="3"/>
      </w:r>
      <w:r w:rsidRPr="00D70ED5">
        <w:t>, særlig artikel 70,</w:t>
      </w:r>
    </w:p>
    <w:p w14:paraId="19E53910" w14:textId="77777777" w:rsidR="00CA1E46" w:rsidRPr="00D70ED5" w:rsidRDefault="00CA1E46" w:rsidP="00CA1E46">
      <w:pPr>
        <w:pStyle w:val="NormalHanging12a"/>
      </w:pPr>
      <w:r w:rsidRPr="00D70ED5">
        <w:t>–</w:t>
      </w:r>
      <w:r w:rsidRPr="00D70ED5">
        <w:tab/>
        <w:t xml:space="preserve">der henviser til Europa-Parlamentets og Rådets forordning (EU) 2018/1971 af 11. december 2018 om oprettelse af Sammenslutningen af Europæiske Tilsynsmyndigheder inden for Elektronisk Kommunikation (BEREC) og Agenturet for Støtte til BEREC (BEREC-kontoret), om ændring af forordning (EU) 2015/2120 og om </w:t>
      </w:r>
      <w:r w:rsidRPr="00D70ED5">
        <w:lastRenderedPageBreak/>
        <w:t>ophævelse af forordning (EF) nr. 1211/2009</w:t>
      </w:r>
      <w:r w:rsidRPr="00D70ED5">
        <w:rPr>
          <w:rStyle w:val="FootnoteReference"/>
        </w:rPr>
        <w:footnoteReference w:id="4"/>
      </w:r>
      <w:r w:rsidRPr="00D70ED5">
        <w:t>, særlig artikel 28,</w:t>
      </w:r>
    </w:p>
    <w:p w14:paraId="09CAECCA" w14:textId="77777777" w:rsidR="00CA1E46" w:rsidRPr="00D70ED5" w:rsidRDefault="00CA1E46" w:rsidP="00CA1E46">
      <w:pPr>
        <w:pStyle w:val="NormalHanging12a"/>
      </w:pPr>
      <w:r w:rsidRPr="00D70ED5">
        <w:t>–</w:t>
      </w:r>
      <w:r w:rsidRPr="00D70ED5">
        <w:tab/>
        <w:t xml:space="preserve">der henviser til Kommissionens delegerede forordning (EU) 2019/715 af 18. december 2018 om </w:t>
      </w:r>
      <w:proofErr w:type="spellStart"/>
      <w:r w:rsidRPr="00D70ED5">
        <w:t>rammefinansforordningen</w:t>
      </w:r>
      <w:proofErr w:type="spellEnd"/>
      <w:r w:rsidRPr="00D70ED5">
        <w:t xml:space="preserve"> for de organer, der er nedsat i henhold til TEUF og </w:t>
      </w:r>
      <w:proofErr w:type="spellStart"/>
      <w:r w:rsidRPr="00D70ED5">
        <w:t>Euratomtraktaten</w:t>
      </w:r>
      <w:proofErr w:type="spellEnd"/>
      <w:r w:rsidRPr="00D70ED5">
        <w:t xml:space="preserve"> og omhandlet i artikel 70 i Europa-Parlamentets og Rådets forordning (EU, </w:t>
      </w:r>
      <w:proofErr w:type="spellStart"/>
      <w:r w:rsidRPr="00D70ED5">
        <w:t>Euratom</w:t>
      </w:r>
      <w:proofErr w:type="spellEnd"/>
      <w:r w:rsidRPr="00D70ED5">
        <w:t>) 2018/1046</w:t>
      </w:r>
      <w:r w:rsidRPr="00D70ED5">
        <w:rPr>
          <w:rStyle w:val="FootnoteReference"/>
        </w:rPr>
        <w:footnoteReference w:id="5"/>
      </w:r>
      <w:r w:rsidRPr="00D70ED5">
        <w:t>, særlig artikel 105,</w:t>
      </w:r>
    </w:p>
    <w:p w14:paraId="48EAA9EB" w14:textId="77777777" w:rsidR="00CA1E46" w:rsidRPr="00D70ED5" w:rsidRDefault="00CA1E46" w:rsidP="00CA1E46">
      <w:pPr>
        <w:pStyle w:val="NormalHanging12a"/>
      </w:pPr>
      <w:r w:rsidRPr="00D70ED5">
        <w:t>–</w:t>
      </w:r>
      <w:r w:rsidRPr="00D70ED5">
        <w:tab/>
        <w:t>der henviser til forretningsordenens artikel 100 og bilag V,</w:t>
      </w:r>
    </w:p>
    <w:p w14:paraId="6D858079" w14:textId="77777777" w:rsidR="00CA1E46" w:rsidRPr="00D70ED5" w:rsidRDefault="00CA1E46" w:rsidP="00CA1E46">
      <w:pPr>
        <w:pStyle w:val="NormalHanging12a"/>
      </w:pPr>
      <w:r w:rsidRPr="00D70ED5">
        <w:t>–</w:t>
      </w:r>
      <w:r w:rsidRPr="00D70ED5">
        <w:tab/>
        <w:t>der henviser til betænkning fra Budgetkontroludvalget (A9-0123/2024),</w:t>
      </w:r>
    </w:p>
    <w:p w14:paraId="359E9593" w14:textId="77777777" w:rsidR="00CA1E46" w:rsidRPr="00D70ED5" w:rsidRDefault="00CA1E46" w:rsidP="00CA1E46">
      <w:pPr>
        <w:pStyle w:val="NormalHanging12a"/>
      </w:pPr>
      <w:r w:rsidRPr="00D70ED5">
        <w:t>1.</w:t>
      </w:r>
      <w:r w:rsidRPr="00D70ED5">
        <w:tab/>
        <w:t>meddeler direktøren for Agenturet for Støtte til BEREC (BEREC-kontoret) decharge for gennemførelsen af agenturets budget for regnskabsåret 2022;</w:t>
      </w:r>
    </w:p>
    <w:p w14:paraId="1FDCE65F" w14:textId="77777777" w:rsidR="00CA1E46" w:rsidRPr="00D70ED5" w:rsidRDefault="00CA1E46" w:rsidP="00CA1E46">
      <w:pPr>
        <w:pStyle w:val="NormalHanging12a"/>
      </w:pPr>
      <w:r w:rsidRPr="00D70ED5">
        <w:t>2.</w:t>
      </w:r>
      <w:r w:rsidRPr="00D70ED5">
        <w:tab/>
        <w:t>fremsætter sine bemærkninger i nedenstående beslutning;</w:t>
      </w:r>
    </w:p>
    <w:p w14:paraId="787E864D" w14:textId="77777777" w:rsidR="00CA1E46" w:rsidRPr="00D70ED5" w:rsidRDefault="00CA1E46" w:rsidP="00CA1E46">
      <w:pPr>
        <w:pStyle w:val="NormalHanging12a"/>
      </w:pPr>
      <w:r w:rsidRPr="00D70ED5">
        <w:t>3.</w:t>
      </w:r>
      <w:r w:rsidRPr="00D70ED5">
        <w:tab/>
        <w:t xml:space="preserve">pålægger sin formand at sende denne afgørelse og beslutningen, der er en integrerende del heraf, til direktøren for Agenturet for Støtte til BEREC (BEREC-kontoret), Rådet, Kommissionen og Revisionsretten og drage omsorg for, at de offentliggøres i </w:t>
      </w:r>
      <w:r w:rsidRPr="00D70ED5">
        <w:rPr>
          <w:i/>
        </w:rPr>
        <w:t>Den Europæiske Unions Tidende</w:t>
      </w:r>
      <w:r w:rsidRPr="00D70ED5">
        <w:t xml:space="preserve"> (L-udgaven).</w:t>
      </w:r>
    </w:p>
    <w:p w14:paraId="28F3363B" w14:textId="77777777" w:rsidR="00CA1E46" w:rsidRPr="00D70ED5" w:rsidRDefault="00CA1E46" w:rsidP="00CA1E46"/>
    <w:p w14:paraId="15742B76" w14:textId="77777777" w:rsidR="00CA1E46" w:rsidRPr="00D70ED5" w:rsidRDefault="00CA1E46" w:rsidP="00CA1E46">
      <w:pPr>
        <w:pStyle w:val="PageHeading"/>
        <w:sectPr w:rsidR="00CA1E46" w:rsidRPr="00D70ED5" w:rsidSect="0072298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4B3FFEC" w14:textId="77777777" w:rsidR="00CA1E46" w:rsidRPr="00D70ED5" w:rsidRDefault="00CA1E46" w:rsidP="00BF32AA">
      <w:pPr>
        <w:pStyle w:val="ATHeading3"/>
      </w:pPr>
      <w:bookmarkStart w:id="8" w:name="_Toc161389302"/>
      <w:bookmarkStart w:id="9" w:name="_Toc161842647"/>
      <w:r w:rsidRPr="00D70ED5">
        <w:t xml:space="preserve">2. </w:t>
      </w:r>
      <w:bookmarkEnd w:id="8"/>
      <w:bookmarkEnd w:id="9"/>
      <w:r w:rsidR="00BF32AA" w:rsidRPr="00D70ED5">
        <w:t xml:space="preserve">Europa-Parlamentets afgørelse af 11. april 2024 </w:t>
      </w:r>
      <w:r w:rsidRPr="00D70ED5">
        <w:t>om afslutning af regnskaberne for Agenturet for Støtte til BEREC (BEREC-kontoret) for regnskabsåret 2022</w:t>
      </w:r>
      <w:r w:rsidR="00BF32AA" w:rsidRPr="00D70ED5">
        <w:t xml:space="preserve"> (2023</w:t>
      </w:r>
      <w:r w:rsidRPr="00D70ED5">
        <w:t>/2141(DEC))</w:t>
      </w:r>
    </w:p>
    <w:p w14:paraId="286DC119" w14:textId="77777777" w:rsidR="00CA1E46" w:rsidRPr="00D70ED5" w:rsidRDefault="00CA1E46" w:rsidP="00CA1E46">
      <w:pPr>
        <w:pStyle w:val="EPComma"/>
      </w:pPr>
      <w:r w:rsidRPr="00D70ED5">
        <w:rPr>
          <w:i/>
        </w:rPr>
        <w:t>Europa-Parlamentet,</w:t>
      </w:r>
    </w:p>
    <w:p w14:paraId="1595B70C" w14:textId="77777777" w:rsidR="00CA1E46" w:rsidRPr="00D70ED5" w:rsidRDefault="00CA1E46" w:rsidP="00CA1E46">
      <w:pPr>
        <w:pStyle w:val="NormalHanging12a"/>
      </w:pPr>
      <w:r w:rsidRPr="00D70ED5">
        <w:t>–</w:t>
      </w:r>
      <w:r w:rsidRPr="00D70ED5">
        <w:tab/>
        <w:t>der henviser til det endelige årsregnskab for Agenturet for Støtte til BEREC (BEREC-kontoret) for regnskabsåret 2022,</w:t>
      </w:r>
    </w:p>
    <w:p w14:paraId="2B9C0E78" w14:textId="77777777" w:rsidR="00CA1E46" w:rsidRPr="00D70ED5" w:rsidRDefault="00CA1E46" w:rsidP="00CA1E46">
      <w:pPr>
        <w:pStyle w:val="NormalHanging12a"/>
      </w:pPr>
      <w:r w:rsidRPr="00D70ED5">
        <w:t>–</w:t>
      </w:r>
      <w:r w:rsidRPr="00D70ED5">
        <w:tab/>
        <w:t>der henviser til Revisionsrettens årsberetning om EU-agenturerne for regnskabsåret 2022, med agenturernes svar</w:t>
      </w:r>
      <w:r w:rsidRPr="00D70ED5">
        <w:rPr>
          <w:rStyle w:val="FootnoteReference"/>
        </w:rPr>
        <w:footnoteReference w:id="6"/>
      </w:r>
      <w:r w:rsidRPr="00D70ED5">
        <w:t>,</w:t>
      </w:r>
    </w:p>
    <w:p w14:paraId="1CE3D388" w14:textId="77777777" w:rsidR="00CA1E46" w:rsidRPr="00D70ED5" w:rsidRDefault="00CA1E46" w:rsidP="00CA1E46">
      <w:pPr>
        <w:pStyle w:val="NormalHanging12a"/>
      </w:pPr>
      <w:r w:rsidRPr="00D70ED5">
        <w:t>–</w:t>
      </w:r>
      <w:r w:rsidRPr="00D70ED5">
        <w:tab/>
        <w:t>der henviser til Revisionsrettens erklæring</w:t>
      </w:r>
      <w:r w:rsidRPr="00D70ED5">
        <w:rPr>
          <w:rStyle w:val="FootnoteReference"/>
        </w:rPr>
        <w:footnoteReference w:id="7"/>
      </w:r>
      <w:r w:rsidRPr="00D70ED5">
        <w:t xml:space="preserve"> for regnskabsåret 2022 om regnskabernes rigtighed og de underliggende transaktioners lovlighed og formelle rigtighed, jf. artikel 287 i traktaten om Den Europæiske Unions funktionsmåde,</w:t>
      </w:r>
    </w:p>
    <w:p w14:paraId="6B36DC40" w14:textId="446103FF" w:rsidR="00CA1E46" w:rsidRPr="00D70ED5" w:rsidRDefault="00CA1E46" w:rsidP="00CA1E46">
      <w:pPr>
        <w:pStyle w:val="NormalHanging12a"/>
      </w:pPr>
      <w:r w:rsidRPr="00D70ED5">
        <w:t>–</w:t>
      </w:r>
      <w:r w:rsidRPr="00D70ED5">
        <w:tab/>
        <w:t>der henviser til Rådets henstilling af 22. februar 2024 om decharge til agenturet for gennemførelsen af budgettet for regnskabsåret 2022 (0</w:t>
      </w:r>
      <w:r w:rsidR="00BF32AA" w:rsidRPr="00D70ED5">
        <w:t>6180</w:t>
      </w:r>
      <w:r w:rsidRPr="00D70ED5">
        <w:t>/2024 – C9</w:t>
      </w:r>
      <w:r w:rsidRPr="00D70ED5">
        <w:noBreakHyphen/>
        <w:t>00</w:t>
      </w:r>
      <w:r w:rsidR="00BF32AA" w:rsidRPr="00D70ED5">
        <w:t>79</w:t>
      </w:r>
      <w:r w:rsidRPr="00D70ED5">
        <w:t>/2024),</w:t>
      </w:r>
    </w:p>
    <w:p w14:paraId="32AC66E8" w14:textId="77777777" w:rsidR="00CA1E46" w:rsidRPr="00D70ED5" w:rsidRDefault="00CA1E46" w:rsidP="00CA1E46">
      <w:pPr>
        <w:pStyle w:val="NormalHanging12a"/>
      </w:pPr>
      <w:r w:rsidRPr="00D70ED5">
        <w:t>–</w:t>
      </w:r>
      <w:r w:rsidRPr="00D70ED5">
        <w:tab/>
        <w:t>der henviser til artikel 319 i traktaten om Den Europæiske Unions funktionsmåde,</w:t>
      </w:r>
    </w:p>
    <w:p w14:paraId="1AF49C3D" w14:textId="77777777" w:rsidR="00CA1E46" w:rsidRPr="00D70ED5" w:rsidRDefault="00CA1E46" w:rsidP="00CA1E46">
      <w:pPr>
        <w:pStyle w:val="NormalHanging12a"/>
      </w:pPr>
      <w:r w:rsidRPr="00D70ED5">
        <w:t>–</w:t>
      </w:r>
      <w:r w:rsidRPr="00D70ED5">
        <w:tab/>
        <w:t xml:space="preserve">der henviser til Europa-Parlamentets og Rådets forordning (EU, </w:t>
      </w:r>
      <w:proofErr w:type="spellStart"/>
      <w:r w:rsidRPr="00D70ED5">
        <w:t>Euratom</w:t>
      </w:r>
      <w:proofErr w:type="spellEnd"/>
      <w:r w:rsidRPr="00D70ED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D70ED5">
        <w:t>Euratom</w:t>
      </w:r>
      <w:proofErr w:type="spellEnd"/>
      <w:r w:rsidRPr="00D70ED5">
        <w:t>) nr. 966/2012</w:t>
      </w:r>
      <w:r w:rsidRPr="00D70ED5">
        <w:rPr>
          <w:rStyle w:val="FootnoteReference"/>
        </w:rPr>
        <w:footnoteReference w:id="8"/>
      </w:r>
      <w:r w:rsidRPr="00D70ED5">
        <w:t>, særlig artikel 70,</w:t>
      </w:r>
    </w:p>
    <w:p w14:paraId="351A8E5A" w14:textId="77777777" w:rsidR="00CA1E46" w:rsidRPr="00D70ED5" w:rsidRDefault="00CA1E46" w:rsidP="00CA1E46">
      <w:pPr>
        <w:pStyle w:val="NormalHanging12a"/>
      </w:pPr>
      <w:r w:rsidRPr="00D70ED5">
        <w:t>–</w:t>
      </w:r>
      <w:r w:rsidRPr="00D70ED5">
        <w:tab/>
        <w:t>der henviser til Europa-Parlamentets og Rådets forordning (EU) 2018/1971 af 11. december 2018 om oprettelse af Sammenslutningen af Europæiske Tilsynsmyndigheder inden for Elektronisk Kommunikation (BEREC) og Agenturet for Støtte til BEREC (BEREC-kontoret), om ændring af forordning (EU) 2015/2120 og om ophævelse af forordning (EF) nr. 1211/2009</w:t>
      </w:r>
      <w:r w:rsidRPr="00D70ED5">
        <w:rPr>
          <w:rStyle w:val="FootnoteReference"/>
        </w:rPr>
        <w:footnoteReference w:id="9"/>
      </w:r>
      <w:r w:rsidRPr="00D70ED5">
        <w:t>, særlig artikel 28,</w:t>
      </w:r>
    </w:p>
    <w:p w14:paraId="56D3E364" w14:textId="77777777" w:rsidR="00CA1E46" w:rsidRPr="00D70ED5" w:rsidRDefault="00CA1E46" w:rsidP="00CA1E46">
      <w:pPr>
        <w:pStyle w:val="NormalHanging12a"/>
      </w:pPr>
      <w:r w:rsidRPr="00D70ED5">
        <w:t>–</w:t>
      </w:r>
      <w:r w:rsidRPr="00D70ED5">
        <w:tab/>
        <w:t xml:space="preserve">der henviser til Kommissionens delegerede forordning (EU) 2019/715 af 18. december 2018 om </w:t>
      </w:r>
      <w:proofErr w:type="spellStart"/>
      <w:r w:rsidRPr="00D70ED5">
        <w:t>rammefinansforordningen</w:t>
      </w:r>
      <w:proofErr w:type="spellEnd"/>
      <w:r w:rsidRPr="00D70ED5">
        <w:t xml:space="preserve"> for de organer, der er nedsat i henhold til TEUF og </w:t>
      </w:r>
      <w:proofErr w:type="spellStart"/>
      <w:r w:rsidRPr="00D70ED5">
        <w:t>Euratomtraktaten</w:t>
      </w:r>
      <w:proofErr w:type="spellEnd"/>
      <w:r w:rsidRPr="00D70ED5">
        <w:t xml:space="preserve"> og omhandlet i artikel 70 i Europa-Parlamentets og Rådets forordning (EU, </w:t>
      </w:r>
      <w:proofErr w:type="spellStart"/>
      <w:r w:rsidRPr="00D70ED5">
        <w:t>Euratom</w:t>
      </w:r>
      <w:proofErr w:type="spellEnd"/>
      <w:r w:rsidRPr="00D70ED5">
        <w:t>) 2018/1046</w:t>
      </w:r>
      <w:r w:rsidRPr="00D70ED5">
        <w:rPr>
          <w:rStyle w:val="FootnoteReference"/>
        </w:rPr>
        <w:footnoteReference w:id="10"/>
      </w:r>
      <w:r w:rsidRPr="00D70ED5">
        <w:t>, særlig artikel 105,</w:t>
      </w:r>
    </w:p>
    <w:p w14:paraId="19C76539" w14:textId="77777777" w:rsidR="00CA1E46" w:rsidRPr="00D70ED5" w:rsidRDefault="00CA1E46" w:rsidP="00CA1E46">
      <w:pPr>
        <w:pStyle w:val="NormalHanging12a"/>
      </w:pPr>
      <w:r w:rsidRPr="00D70ED5">
        <w:t>–</w:t>
      </w:r>
      <w:r w:rsidRPr="00D70ED5">
        <w:tab/>
        <w:t>der henviser til forretningsordenens artikel 100 og bilag V,</w:t>
      </w:r>
    </w:p>
    <w:p w14:paraId="1182F2C8" w14:textId="77777777" w:rsidR="00CA1E46" w:rsidRPr="00D70ED5" w:rsidRDefault="00CA1E46" w:rsidP="00CA1E46">
      <w:pPr>
        <w:pStyle w:val="NormalHanging12a"/>
      </w:pPr>
      <w:r w:rsidRPr="00D70ED5">
        <w:t>–</w:t>
      </w:r>
      <w:r w:rsidRPr="00D70ED5">
        <w:tab/>
        <w:t>der henviser til betænkning fra Budgetkontroludvalget (A9-0123/2024),</w:t>
      </w:r>
    </w:p>
    <w:p w14:paraId="67A8A989" w14:textId="77777777" w:rsidR="00CA1E46" w:rsidRPr="00D70ED5" w:rsidRDefault="00CA1E46" w:rsidP="00CA1E46">
      <w:pPr>
        <w:pStyle w:val="NormalHanging12a"/>
      </w:pPr>
      <w:r w:rsidRPr="00D70ED5">
        <w:t>1.</w:t>
      </w:r>
      <w:r w:rsidRPr="00D70ED5">
        <w:tab/>
        <w:t>godkender afslutningen af regnskaberne for Agenturet for Støtte til BEREC (BEREC-kontoret) for regnskabsåret 2022;</w:t>
      </w:r>
    </w:p>
    <w:p w14:paraId="4C7CE687" w14:textId="77777777" w:rsidR="00CA1E46" w:rsidRPr="00D70ED5" w:rsidRDefault="00CA1E46" w:rsidP="00CA1E46">
      <w:pPr>
        <w:pStyle w:val="NormalHanging12a"/>
      </w:pPr>
      <w:r w:rsidRPr="00D70ED5">
        <w:t>2.</w:t>
      </w:r>
      <w:r w:rsidRPr="00D70ED5">
        <w:tab/>
        <w:t xml:space="preserve">pålægger sin formand at sende denne afgørelse til direktøren for Agenturet for Støtte til BEREC (BEREC-kontoret), Rådet, Kommissionen og Revisionsretten og drage omsorg for, at den offentliggøres i </w:t>
      </w:r>
      <w:r w:rsidRPr="00D70ED5">
        <w:rPr>
          <w:i/>
        </w:rPr>
        <w:t>Den Europæiske Unions Tidende</w:t>
      </w:r>
      <w:r w:rsidRPr="00D70ED5">
        <w:t xml:space="preserve"> (L-udgaven).</w:t>
      </w:r>
    </w:p>
    <w:p w14:paraId="6EA4A940" w14:textId="77777777" w:rsidR="00CA1E46" w:rsidRPr="00D70ED5" w:rsidRDefault="00CA1E46" w:rsidP="00CA1E46"/>
    <w:p w14:paraId="3DFDDEC8" w14:textId="77777777" w:rsidR="00CA1E46" w:rsidRPr="00D70ED5" w:rsidRDefault="00CA1E46" w:rsidP="00CA1E46">
      <w:pPr>
        <w:pStyle w:val="PageHeading"/>
        <w:sectPr w:rsidR="00CA1E46" w:rsidRPr="00D70ED5" w:rsidSect="00722981">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F58731A" w14:textId="77777777" w:rsidR="00CA1E46" w:rsidRPr="00D70ED5" w:rsidRDefault="00CA1E46" w:rsidP="00BF32AA">
      <w:pPr>
        <w:pStyle w:val="ATHeading3"/>
      </w:pPr>
      <w:bookmarkStart w:id="10" w:name="_Toc161389303"/>
      <w:bookmarkStart w:id="11" w:name="_Toc161842648"/>
      <w:r w:rsidRPr="00D70ED5">
        <w:t xml:space="preserve">3. </w:t>
      </w:r>
      <w:bookmarkEnd w:id="10"/>
      <w:bookmarkEnd w:id="11"/>
      <w:r w:rsidR="00BF32AA" w:rsidRPr="00D70ED5">
        <w:t xml:space="preserve">Europa-Parlamentets beslutning af 11. april 2024 </w:t>
      </w:r>
      <w:r w:rsidRPr="00D70ED5">
        <w:t>med bemærkningerne, der er en integrerende del af afgørelsen om decharge for gennemførelsen af budgettet for Agenturet for Støtte til BEREC (BEREC-kontoret) for regnskabsåret 2022</w:t>
      </w:r>
      <w:r w:rsidR="00BF32AA" w:rsidRPr="00D70ED5">
        <w:t xml:space="preserve"> (2023</w:t>
      </w:r>
      <w:r w:rsidRPr="00D70ED5">
        <w:t>/2141(DEC))</w:t>
      </w:r>
    </w:p>
    <w:p w14:paraId="0F447B20" w14:textId="77777777" w:rsidR="00CA1E46" w:rsidRPr="00D70ED5" w:rsidRDefault="00CA1E46" w:rsidP="00CA1E46">
      <w:pPr>
        <w:pStyle w:val="EPComma"/>
      </w:pPr>
      <w:r w:rsidRPr="00D70ED5">
        <w:rPr>
          <w:i/>
        </w:rPr>
        <w:t>Europa-Parlamentet,</w:t>
      </w:r>
    </w:p>
    <w:p w14:paraId="51342376" w14:textId="4A41C99C" w:rsidR="00CA1E46" w:rsidRPr="00D70ED5" w:rsidRDefault="007E1C87" w:rsidP="00CA1E46">
      <w:pPr>
        <w:pStyle w:val="NormalHanging12a"/>
      </w:pPr>
      <w:r w:rsidRPr="00D70ED5">
        <w:t>–</w:t>
      </w:r>
      <w:r w:rsidRPr="00D70ED5">
        <w:tab/>
      </w:r>
      <w:bookmarkStart w:id="12" w:name="_GoBack"/>
      <w:bookmarkEnd w:id="12"/>
      <w:r w:rsidR="00CA1E46" w:rsidRPr="00D70ED5">
        <w:t>der henviser til sin afgørelse om decharge for gennemførelsen af budgettet for Agenturet for Støtte til BEREC (agenturet) for regnskabsåret 2022,</w:t>
      </w:r>
    </w:p>
    <w:p w14:paraId="58413F7B" w14:textId="77777777" w:rsidR="00CA1E46" w:rsidRPr="00D70ED5" w:rsidRDefault="00CA1E46" w:rsidP="00CA1E46">
      <w:pPr>
        <w:pStyle w:val="NormalHanging12a"/>
      </w:pPr>
      <w:r w:rsidRPr="00D70ED5">
        <w:t>–</w:t>
      </w:r>
      <w:r w:rsidRPr="00D70ED5">
        <w:tab/>
        <w:t>der henviser til forretningsordenens artikel 100 og bilag V,</w:t>
      </w:r>
    </w:p>
    <w:p w14:paraId="5A2D34D0" w14:textId="77777777" w:rsidR="00CA1E46" w:rsidRPr="00D70ED5" w:rsidRDefault="00CA1E46" w:rsidP="00CA1E46">
      <w:pPr>
        <w:pStyle w:val="NormalHanging12a"/>
      </w:pPr>
      <w:r w:rsidRPr="00D70ED5">
        <w:t>–</w:t>
      </w:r>
      <w:r w:rsidRPr="00D70ED5">
        <w:tab/>
        <w:t>der henviser til betænkning fra Budgetkontroludvalget (A9-0123/2024),</w:t>
      </w:r>
    </w:p>
    <w:p w14:paraId="134FF551" w14:textId="77777777" w:rsidR="00CA1E46" w:rsidRPr="00D70ED5" w:rsidRDefault="00CA1E46" w:rsidP="00CA1E46">
      <w:pPr>
        <w:pStyle w:val="NormalHanging12a"/>
        <w:rPr>
          <w:szCs w:val="24"/>
        </w:rPr>
      </w:pPr>
      <w:r w:rsidRPr="00D70ED5">
        <w:t>A.</w:t>
      </w:r>
      <w:r w:rsidRPr="00D70ED5">
        <w:tab/>
        <w:t>der henviser til, at det endelige budget for agenturet for regnskabsåret 2022 ifølge dets oversigt over indtægter og udgifter</w:t>
      </w:r>
      <w:r w:rsidRPr="00D70ED5">
        <w:rPr>
          <w:rFonts w:eastAsiaTheme="minorHAnsi"/>
          <w:szCs w:val="24"/>
          <w:vertAlign w:val="superscript"/>
          <w:lang w:eastAsia="en-US"/>
        </w:rPr>
        <w:footnoteReference w:id="11"/>
      </w:r>
      <w:r w:rsidRPr="00D70ED5">
        <w:t xml:space="preserve"> var på 7 428 456 EUR, hvilket svarer til en stigning på 1,19 % i forhold til 2021; der henviser til, at agenturets budget hovedsageligt stammer fra Unionens budget;</w:t>
      </w:r>
    </w:p>
    <w:p w14:paraId="7D82F186" w14:textId="77777777" w:rsidR="00CA1E46" w:rsidRPr="00D70ED5" w:rsidRDefault="00CA1E46" w:rsidP="00CA1E46">
      <w:pPr>
        <w:pStyle w:val="NormalHanging12a"/>
        <w:rPr>
          <w:szCs w:val="24"/>
        </w:rPr>
      </w:pPr>
      <w:r w:rsidRPr="00D70ED5">
        <w:t>B.</w:t>
      </w:r>
      <w:r w:rsidRPr="00D70ED5">
        <w:tab/>
        <w:t>der henviser til, at Revisionsretten i sin beretning om agenturets årsregnskab for regnskabsåret 2022 ("Revisionsrettens beretning") fastslår, at den har fået rimelig sikkerhed for, at agenturets årsregnskab er rigtigt, og at de underliggende transaktioner er lovlige og formelt rigtige;</w:t>
      </w:r>
    </w:p>
    <w:p w14:paraId="23789E5D" w14:textId="77777777" w:rsidR="00CA1E46" w:rsidRPr="00D70ED5" w:rsidRDefault="00CA1E46" w:rsidP="00CA1E46">
      <w:pPr>
        <w:pStyle w:val="NormalHanging12a"/>
        <w:rPr>
          <w:szCs w:val="24"/>
        </w:rPr>
      </w:pPr>
      <w:r w:rsidRPr="00D70ED5">
        <w:t>C.</w:t>
      </w:r>
      <w:r w:rsidRPr="00D70ED5">
        <w:tab/>
        <w:t>der henviser til, at der med hensyn til agenturets udbudssektor ikke blev indberettet nogen problemer, der nødvendiggjorde korrigerende foranstaltninger for 2022, og at der ikke er nogen igangværende eller udestående korrigerende foranstaltninger fra tidligere års revisioner og vurderinger;</w:t>
      </w:r>
    </w:p>
    <w:p w14:paraId="656012DA" w14:textId="77777777" w:rsidR="00CA1E46" w:rsidRPr="00D70ED5" w:rsidRDefault="00CA1E46" w:rsidP="00CA1E46">
      <w:pPr>
        <w:pStyle w:val="NormalHanging12a"/>
        <w:rPr>
          <w:szCs w:val="24"/>
        </w:rPr>
      </w:pPr>
      <w:r w:rsidRPr="00D70ED5">
        <w:t>D.</w:t>
      </w:r>
      <w:r w:rsidRPr="00D70ED5">
        <w:tab/>
        <w:t>der henviser til, at der med hensyn til agenturets interne kontrolsystemer ikke blev indberettet nogen problemer, der nødvendiggjorde korrigerende foranstaltninger for 2022, og at der heller ikke er igangværende eller udestående korrigerende foranstaltninger fra tidligere års revisioner og vurderinger;</w:t>
      </w:r>
    </w:p>
    <w:p w14:paraId="31C01076" w14:textId="77777777" w:rsidR="00CA1E46" w:rsidRPr="00D70ED5" w:rsidRDefault="00CA1E46" w:rsidP="00CA1E46">
      <w:pPr>
        <w:pStyle w:val="NormalHanging12a"/>
        <w:tabs>
          <w:tab w:val="left" w:pos="1718"/>
        </w:tabs>
        <w:rPr>
          <w:b/>
          <w:i/>
          <w:szCs w:val="24"/>
        </w:rPr>
      </w:pPr>
      <w:r w:rsidRPr="00D70ED5">
        <w:rPr>
          <w:b/>
          <w:i/>
        </w:rPr>
        <w:t>Budgetmæssig og økonomisk forvaltning</w:t>
      </w:r>
    </w:p>
    <w:p w14:paraId="30443B7C" w14:textId="77777777" w:rsidR="00CA1E46" w:rsidRPr="00D70ED5" w:rsidRDefault="00CA1E46" w:rsidP="00CA1E46">
      <w:pPr>
        <w:spacing w:after="240"/>
        <w:ind w:left="567" w:hanging="567"/>
        <w:rPr>
          <w:sz w:val="22"/>
          <w:szCs w:val="22"/>
        </w:rPr>
      </w:pPr>
      <w:r w:rsidRPr="00D70ED5">
        <w:t>1.</w:t>
      </w:r>
      <w:r w:rsidRPr="00D70ED5">
        <w:tab/>
        <w:t>bemærker med tilfredshed, at budgetovervågningsindsatsen i regnskabsåret 2022 resulterede i en budgetgennemførelsesgrad på 99,99 % for forpligtelsesbevillingerne i det endeligt vedtagne budget for året, hvilket svarer til en stigning på 0,02 % i forhold til 2021; glæder sig over, at budgetgennemførelsesgraden ligger inden for den af bestyrelsen fastsatte tærskel på over 95 %;</w:t>
      </w:r>
      <w:r w:rsidRPr="00D70ED5">
        <w:rPr>
          <w:sz w:val="22"/>
        </w:rPr>
        <w:t xml:space="preserve"> </w:t>
      </w:r>
      <w:r w:rsidRPr="00D70ED5">
        <w:t>bemærker, at udnyttelsesgraden for betalingsbevillinger i det pågældende år var 82,78 %, svarende til en stigning på 13,44 % i forhold til 2021;</w:t>
      </w:r>
    </w:p>
    <w:p w14:paraId="44AADBDD" w14:textId="77777777" w:rsidR="00CA1E46" w:rsidRPr="00D70ED5" w:rsidRDefault="00CA1E46" w:rsidP="00CA1E46">
      <w:pPr>
        <w:pStyle w:val="Normal12Hanging"/>
        <w:rPr>
          <w:b/>
          <w:i/>
          <w:szCs w:val="24"/>
        </w:rPr>
      </w:pPr>
      <w:r w:rsidRPr="00D70ED5">
        <w:rPr>
          <w:b/>
          <w:i/>
        </w:rPr>
        <w:t>Performance</w:t>
      </w:r>
    </w:p>
    <w:p w14:paraId="69C182A0" w14:textId="77777777" w:rsidR="00CA1E46" w:rsidRPr="00D70ED5" w:rsidRDefault="00CA1E46" w:rsidP="00CA1E46">
      <w:pPr>
        <w:pStyle w:val="NormalHanging12a"/>
      </w:pPr>
      <w:r w:rsidRPr="00D70ED5">
        <w:t>2.</w:t>
      </w:r>
      <w:r w:rsidRPr="00D70ED5">
        <w:tab/>
        <w:t>bemærker, at agenturet anvender centrale resultatindikatorer (</w:t>
      </w:r>
      <w:proofErr w:type="spellStart"/>
      <w:r w:rsidRPr="00D70ED5">
        <w:t>KPI'er</w:t>
      </w:r>
      <w:proofErr w:type="spellEnd"/>
      <w:r w:rsidRPr="00D70ED5">
        <w:t xml:space="preserve">) til at vurdere de resultater, der er opnået med hensyn til dets mål, herunder vedrørende støtte til arbejdsgrupper, kommunikationsaktiviteter, centraliseret finansiering og indkøb og forvaltning af menneskelige ressourcer; bemærker, at de fleste mål er blevet nået, men henstiller, at der tages fat på de </w:t>
      </w:r>
      <w:proofErr w:type="spellStart"/>
      <w:r w:rsidRPr="00D70ED5">
        <w:t>KPI'er</w:t>
      </w:r>
      <w:proofErr w:type="spellEnd"/>
      <w:r w:rsidRPr="00D70ED5">
        <w:t>, som fortsat ikke er opfyldt, eller som skrider langsommere frem end forventet (f.eks. forbedring af godtgørelsesprocessen ved hjælp af den forbedrede mødeportal (AGM), som er et værktøj til kontraktunderskrivelse til støtte for udviklingen af "</w:t>
      </w:r>
      <w:proofErr w:type="spellStart"/>
      <w:r w:rsidRPr="00D70ED5">
        <w:t>BEREC's</w:t>
      </w:r>
      <w:proofErr w:type="spellEnd"/>
      <w:r w:rsidRPr="00D70ED5">
        <w:t xml:space="preserve"> IKT-strategi 2022-2025"; henstiller, at agenturet regelmæssigt finjusterer </w:t>
      </w:r>
      <w:proofErr w:type="spellStart"/>
      <w:r w:rsidRPr="00D70ED5">
        <w:t>KPI'erne</w:t>
      </w:r>
      <w:proofErr w:type="spellEnd"/>
      <w:r w:rsidRPr="00D70ED5">
        <w:t xml:space="preserve"> for at optimere sine resultater;</w:t>
      </w:r>
    </w:p>
    <w:p w14:paraId="3FBD300F" w14:textId="77777777" w:rsidR="00CA1E46" w:rsidRPr="00D70ED5" w:rsidRDefault="00CA1E46" w:rsidP="00CA1E46">
      <w:pPr>
        <w:pStyle w:val="Normal12Hanging"/>
      </w:pPr>
      <w:r w:rsidRPr="00D70ED5">
        <w:t>3.</w:t>
      </w:r>
      <w:r w:rsidRPr="00D70ED5">
        <w:tab/>
        <w:t xml:space="preserve">glæder sig over, at agenturet fortsatte med at yde administrativ og professionel støtte af høj kvalitet til </w:t>
      </w:r>
      <w:proofErr w:type="spellStart"/>
      <w:r w:rsidRPr="00D70ED5">
        <w:t>BEREC's</w:t>
      </w:r>
      <w:proofErr w:type="spellEnd"/>
      <w:r w:rsidRPr="00D70ED5">
        <w:t xml:space="preserve"> repræsentantskab, </w:t>
      </w:r>
      <w:proofErr w:type="spellStart"/>
      <w:r w:rsidRPr="00D70ED5">
        <w:t>BEREC's</w:t>
      </w:r>
      <w:proofErr w:type="spellEnd"/>
      <w:r w:rsidRPr="00D70ED5">
        <w:t xml:space="preserve"> kontaktnetværk, de offentlige </w:t>
      </w:r>
      <w:proofErr w:type="spellStart"/>
      <w:r w:rsidRPr="00D70ED5">
        <w:t>debriefinger</w:t>
      </w:r>
      <w:proofErr w:type="spellEnd"/>
      <w:r w:rsidRPr="00D70ED5">
        <w:t xml:space="preserve">, </w:t>
      </w:r>
      <w:proofErr w:type="spellStart"/>
      <w:r w:rsidRPr="00D70ED5">
        <w:t>BEREC's</w:t>
      </w:r>
      <w:proofErr w:type="spellEnd"/>
      <w:r w:rsidRPr="00D70ED5">
        <w:t xml:space="preserve"> arbejdsgrupper, herunder ad hoc-arbejdsgrupperne og BEREC-kontorets rådgivende gruppe;</w:t>
      </w:r>
    </w:p>
    <w:p w14:paraId="57E9738F" w14:textId="77777777" w:rsidR="00CA1E46" w:rsidRPr="00D70ED5" w:rsidRDefault="00CA1E46" w:rsidP="00CA1E46">
      <w:pPr>
        <w:pStyle w:val="NormalHanging12a"/>
      </w:pPr>
      <w:r w:rsidRPr="00D70ED5">
        <w:t>4.</w:t>
      </w:r>
      <w:r w:rsidRPr="00D70ED5">
        <w:tab/>
        <w:t>glæder sig over, at den ukrainske nationale tilsynsmyndighed inden for telekommunikation (NCEC) er blevet medlem af agenturet uden stemmeret;</w:t>
      </w:r>
    </w:p>
    <w:p w14:paraId="3203130F" w14:textId="77777777" w:rsidR="00CA1E46" w:rsidRPr="00D70ED5" w:rsidRDefault="00CA1E46" w:rsidP="00CA1E46">
      <w:pPr>
        <w:pStyle w:val="Normal12Hanging"/>
        <w:rPr>
          <w:b/>
          <w:i/>
          <w:szCs w:val="24"/>
        </w:rPr>
      </w:pPr>
      <w:r w:rsidRPr="00D70ED5">
        <w:rPr>
          <w:b/>
          <w:i/>
        </w:rPr>
        <w:t>Effektivitet og gevinster</w:t>
      </w:r>
    </w:p>
    <w:p w14:paraId="3AFF05AF" w14:textId="77777777" w:rsidR="00CA1E46" w:rsidRPr="00D70ED5" w:rsidRDefault="00CA1E46" w:rsidP="00CA1E46">
      <w:pPr>
        <w:pStyle w:val="Normal12Hanging"/>
        <w:rPr>
          <w:szCs w:val="24"/>
        </w:rPr>
      </w:pPr>
      <w:r w:rsidRPr="00D70ED5">
        <w:t>5.</w:t>
      </w:r>
      <w:r w:rsidRPr="00D70ED5">
        <w:tab/>
        <w:t>bemærker, at foranstaltningerne til opnåelse af effektivitetsgevinster i 2022 var rettet mod følgende hovedområder: centralisering af visse funktioner, indkøb, effektivitetsgevinster opnået gennem øget brug af Kommissionens IT-applikationer eller indførelse af nye og anvendelse af eksterne ressourcer for at kompensere for manglende menneskelige ressourcer eller til opgaver af teknisk og supplerende karakter;</w:t>
      </w:r>
    </w:p>
    <w:p w14:paraId="6489DF3E" w14:textId="77777777" w:rsidR="00CA1E46" w:rsidRPr="00D70ED5" w:rsidRDefault="00CA1E46" w:rsidP="00CA1E46">
      <w:pPr>
        <w:pStyle w:val="Normal12Hanging"/>
        <w:rPr>
          <w:szCs w:val="24"/>
        </w:rPr>
      </w:pPr>
      <w:r w:rsidRPr="00D70ED5">
        <w:t>6.</w:t>
      </w:r>
      <w:r w:rsidRPr="00D70ED5">
        <w:tab/>
        <w:t xml:space="preserve">bemærker, at agenturet på udbudsområdet i 2022 fortsatte med at anvende </w:t>
      </w:r>
      <w:proofErr w:type="spellStart"/>
      <w:r w:rsidRPr="00D70ED5">
        <w:t>interinstitutionelle</w:t>
      </w:r>
      <w:proofErr w:type="spellEnd"/>
      <w:r w:rsidRPr="00D70ED5">
        <w:t xml:space="preserve"> udbudsprocedurer og tilsluttede sig syv </w:t>
      </w:r>
      <w:proofErr w:type="spellStart"/>
      <w:r w:rsidRPr="00D70ED5">
        <w:t>interinstitutionelle</w:t>
      </w:r>
      <w:proofErr w:type="spellEnd"/>
      <w:r w:rsidRPr="00D70ED5">
        <w:t xml:space="preserve"> udbudsprocedurer, hvilket resulterede i indgåelsen af seks rammekontrakter i rapporteringsperioden;</w:t>
      </w:r>
    </w:p>
    <w:p w14:paraId="1846311B" w14:textId="77777777" w:rsidR="00CA1E46" w:rsidRPr="00D70ED5" w:rsidRDefault="00CA1E46" w:rsidP="00CA1E46">
      <w:pPr>
        <w:pStyle w:val="Normal12Hanging"/>
        <w:rPr>
          <w:szCs w:val="24"/>
        </w:rPr>
      </w:pPr>
      <w:r w:rsidRPr="00D70ED5">
        <w:t>7.</w:t>
      </w:r>
      <w:r w:rsidRPr="00D70ED5">
        <w:tab/>
        <w:t>glæder sig over de effektivitetsgevinster, der er opnået gennem øget brug eller indførelse af yderligere IT-applikationer fra Kommissionen; bemærker navnlig, at agenturet i 2022 fuldt ud havde taget i brug og aktivt anvendte alle grundlæggende Sysper2-moduler, f.eks. identitetsstyring, organisationsforvaltning, forvaltning af personoplysninger, arbejdsvilkår, talentforvaltning og dokumentforvaltning, og tre fra det valgfrie sæt moduler, f.eks. flekstid, telearbejde og individuelle rettigheder;</w:t>
      </w:r>
    </w:p>
    <w:p w14:paraId="57D69BA5" w14:textId="77777777" w:rsidR="00CA1E46" w:rsidRPr="00D70ED5" w:rsidRDefault="00CA1E46" w:rsidP="00CA1E46">
      <w:pPr>
        <w:pStyle w:val="NormalHanging12a"/>
      </w:pPr>
      <w:r w:rsidRPr="00D70ED5">
        <w:t>8.</w:t>
      </w:r>
      <w:r w:rsidRPr="00D70ED5">
        <w:tab/>
        <w:t xml:space="preserve">bemærker, at agenturet siden oprettelsen har haft mangel på menneskelige ressourcer til visse stillinger; noterer sig, at agenturet kompenserer for visse kapacitetsbegrænsninger og, hvor det er muligt, prioriterer anvendelsen af tjenester, der tilbydes af Kommissionen og andre EU-agenturer, som en primær løsning; bemærker, at denne tilgang omfatter udnyttelse af de tjenester, der leveres af Kommissionens Kontor for Forvaltning og Fastsættelse af Individuelle Rettigheder (PMO) og IT-Beredskabsenheden for Unionens institutioner, organer og agenturer (CERT-EU) til IT- og sikkerhedstjenesten; glæder sig over, at agenturet har et meget vellykket samarbejde med Den Europæiske Unions Kontor for Intellektuel Ejendomsret på IT-området, hvilket omfatter </w:t>
      </w:r>
      <w:proofErr w:type="spellStart"/>
      <w:r w:rsidRPr="00D70ED5">
        <w:t>hosting</w:t>
      </w:r>
      <w:proofErr w:type="spellEnd"/>
      <w:r w:rsidRPr="00D70ED5">
        <w:t>, IT-udvikling, katastrofeberedskab, udvikling af den nye udformning af agenturets websted og andre IT-tjenester;</w:t>
      </w:r>
    </w:p>
    <w:p w14:paraId="5F1DE3AE" w14:textId="77777777" w:rsidR="00CA1E46" w:rsidRPr="00D70ED5" w:rsidRDefault="00CA1E46" w:rsidP="00CA1E46">
      <w:pPr>
        <w:pStyle w:val="NormalHanging12a"/>
      </w:pPr>
      <w:r w:rsidRPr="00D70ED5">
        <w:t>9.</w:t>
      </w:r>
      <w:r w:rsidRPr="00D70ED5">
        <w:tab/>
        <w:t xml:space="preserve">minder om vigtigheden af at øge agenturets digitalisering med hensyn til interne operationer og forvaltning, men også med henblik på at fremskynde digitaliseringen af procedurerne; understreger nødvendigheden af, at agenturet fortsat er proaktivt i denne henseende med henblik på at undgå en digital kløft mellem agenturerne; gør imidlertid opmærksom på behovet for at træffe alle de nødvendige forholdsregler for at undgå enhver risiko med hensyn til onlinesikkerheden af de behandlede oplysninger og insisterer på, at det er nødvendigt at bekæmpe </w:t>
      </w:r>
      <w:proofErr w:type="spellStart"/>
      <w:r w:rsidRPr="00D70ED5">
        <w:t>cyberangreb</w:t>
      </w:r>
      <w:proofErr w:type="spellEnd"/>
      <w:r w:rsidRPr="00D70ED5">
        <w:t xml:space="preserve"> eller forsøg på infiltration, der navnlig stammer fra Rusland eller Kina;</w:t>
      </w:r>
    </w:p>
    <w:p w14:paraId="18B462C7" w14:textId="77777777" w:rsidR="00CA1E46" w:rsidRPr="00D70ED5" w:rsidRDefault="00CA1E46" w:rsidP="00CA1E46">
      <w:pPr>
        <w:pStyle w:val="Normal12Hanging"/>
        <w:rPr>
          <w:b/>
          <w:i/>
          <w:szCs w:val="24"/>
        </w:rPr>
      </w:pPr>
      <w:r w:rsidRPr="00D70ED5">
        <w:rPr>
          <w:b/>
          <w:i/>
        </w:rPr>
        <w:t>Personalepolitik</w:t>
      </w:r>
    </w:p>
    <w:p w14:paraId="5B3E3A97" w14:textId="77777777" w:rsidR="00CA1E46" w:rsidRPr="00D70ED5" w:rsidRDefault="00CA1E46" w:rsidP="00CA1E46">
      <w:pPr>
        <w:spacing w:after="240"/>
        <w:ind w:left="567" w:hanging="567"/>
        <w:rPr>
          <w:rFonts w:eastAsia="Calibri"/>
          <w:szCs w:val="24"/>
        </w:rPr>
      </w:pPr>
      <w:r w:rsidRPr="00D70ED5">
        <w:t>10.</w:t>
      </w:r>
      <w:r w:rsidRPr="00D70ED5">
        <w:tab/>
        <w:t>bemærker, at stillingsfortegnelsen pr. 31. december 2022 bestod af 16 midlertidigt ansatte, som var godkendt i henhold til Unionens budget (det samme antal godkendte stillinger som i 2021); bemærker, at der derudover arbejdede 19 kontraktansatte, otte udstationerede nationale eksperter og ti vikarer og konsulenter for agenturet i 2022;</w:t>
      </w:r>
    </w:p>
    <w:p w14:paraId="7D5AABF0" w14:textId="77777777" w:rsidR="00CA1E46" w:rsidRPr="00D70ED5" w:rsidRDefault="00CA1E46" w:rsidP="00CA1E46">
      <w:pPr>
        <w:pStyle w:val="NormalHanging12a"/>
      </w:pPr>
      <w:r w:rsidRPr="00D70ED5">
        <w:t>11.</w:t>
      </w:r>
      <w:r w:rsidRPr="00D70ED5">
        <w:tab/>
        <w:t>glæder sig over agenturets bestræbelser på at tilpasse sin drift til principperne i den fælles erklæring fra Europa-Parlamentet, Rådet for Den Europæiske Union og Europa-Kommissionen af 19. juli 2012 om decentraliserede agenturer, herunder den forventede kritiske mindstestørrelse;</w:t>
      </w:r>
    </w:p>
    <w:p w14:paraId="1A830469" w14:textId="77777777" w:rsidR="00CA1E46" w:rsidRPr="00D70ED5" w:rsidRDefault="00CA1E46" w:rsidP="00CA1E46">
      <w:pPr>
        <w:pStyle w:val="NormalHanging12a"/>
      </w:pPr>
      <w:r w:rsidRPr="00D70ED5">
        <w:t>12.</w:t>
      </w:r>
      <w:r w:rsidRPr="00D70ED5">
        <w:tab/>
        <w:t>bemærker, at den største udfordring i forbindelse med personalepolitikken var den store personaleudskiftning, som i 2022 steg til 16,3 % sammenlignet med 4,6 % i 2021 og 5,4 % i 2020; noterer sig, at den kraftige stigning i personaleudskiftningen især påvirkede administrations- og økonomiafdelingen; bemærker, at agenturet for at besætte de stillinger, der bliver ledige, og for at sikre personale med de nye kompetencer, der var nødvendige for agenturet og dets administration i 2022, iværksatte udvælgelsesprocedurer med henblik på at besætte fem ledige stillinger (én midlertidigt ansat og fire kontraktansatte), for hvilke det ikke havde passende reservelister, mens det for de resterende tre stillinger, der blev ledige, sikrede en hurtig ansættelse fra sine aktive reservelister; anmoder imidlertid agenturet om at analysere årsagerne til den store personaleudskiftning og tage de nødvendige skridt til at undgå den i fremtiden og rapportere tilbage til dechargemyndigheden;</w:t>
      </w:r>
    </w:p>
    <w:p w14:paraId="2F4CEB1D" w14:textId="77777777" w:rsidR="00CA1E46" w:rsidRPr="00D70ED5" w:rsidRDefault="00CA1E46" w:rsidP="00CA1E46">
      <w:pPr>
        <w:spacing w:after="240"/>
        <w:ind w:left="567" w:hanging="567"/>
        <w:rPr>
          <w:rFonts w:eastAsia="Calibri"/>
          <w:szCs w:val="24"/>
        </w:rPr>
      </w:pPr>
      <w:r w:rsidRPr="00D70ED5">
        <w:t>13.</w:t>
      </w:r>
      <w:r w:rsidRPr="00D70ED5">
        <w:tab/>
        <w:t>roser agenturets initiativer til at forbedre personalets forhold mellem arbejdsliv og privatliv, herunder juridisk rådgivning i private anliggender, finansiel støtte til børnehaver, studiegebyrer til internationale skoler, sprogkurser, momsfrie varer til udstationerede nationale eksperter, et introduktionsprogram for nytilkomne og bistand til familiemedlemmer, der bosætter sig i Letland, i visse tilfælde i samarbejde med de lettiske myndigheder;</w:t>
      </w:r>
    </w:p>
    <w:p w14:paraId="34E48F81" w14:textId="77777777" w:rsidR="00CA1E46" w:rsidRPr="00D70ED5" w:rsidRDefault="00CA1E46" w:rsidP="00CA1E46">
      <w:pPr>
        <w:pStyle w:val="NormalHanging12a"/>
      </w:pPr>
      <w:r w:rsidRPr="00D70ED5">
        <w:t>14.</w:t>
      </w:r>
      <w:r w:rsidRPr="00D70ED5">
        <w:tab/>
        <w:t>noterer sig, at der i 2022 såvel som i 2021 samlet set blev opnået kønsbalance blandt personalet med 52 % kvinder og 48 % mænd; insisterer på, at bestræbelserne på at opretholde en rimelig kønsbalance blandt agenturets personale skal opretholdes; anerkender, at agenturet kun har tre mellemlederstillinger, og at der også blev opnået en acceptabel kønsbalance på mellemlederniveau med én kvinde og to mænd;</w:t>
      </w:r>
    </w:p>
    <w:p w14:paraId="3F6204C8" w14:textId="77777777" w:rsidR="00CA1E46" w:rsidRPr="00D70ED5" w:rsidRDefault="00CA1E46" w:rsidP="00CA1E46">
      <w:pPr>
        <w:pStyle w:val="NormalHanging12a"/>
      </w:pPr>
      <w:r w:rsidRPr="00D70ED5">
        <w:t>15.</w:t>
      </w:r>
      <w:r w:rsidRPr="00D70ED5">
        <w:tab/>
        <w:t xml:space="preserve">bemærker, at agenturet har en politik for beskyttelse af personers værdighed og forebyggelse af psykisk og seksuel chikane, og at agenturet deltager i agenturernes </w:t>
      </w:r>
      <w:proofErr w:type="spellStart"/>
      <w:r w:rsidRPr="00D70ED5">
        <w:t>taskforce</w:t>
      </w:r>
      <w:proofErr w:type="spellEnd"/>
      <w:r w:rsidRPr="00D70ED5">
        <w:t xml:space="preserve"> af fortrolige rådgivere; ser frem til at modtage deres rapport og anbefalinger; bemærker, at der ikke blev indberettet tilfælde af chikane i 2022, og opfordrer agenturet til at fortsætte og udvikle arbejdet med også at forebygge tilfælde i fremtiden;</w:t>
      </w:r>
    </w:p>
    <w:p w14:paraId="2E5E39FC" w14:textId="77777777" w:rsidR="00CA1E46" w:rsidRPr="00D70ED5" w:rsidRDefault="00CA1E46" w:rsidP="00CA1E46">
      <w:pPr>
        <w:pStyle w:val="NormalHanging12a"/>
      </w:pPr>
      <w:r w:rsidRPr="00D70ED5">
        <w:t>16.</w:t>
      </w:r>
      <w:r w:rsidRPr="00D70ED5">
        <w:tab/>
        <w:t>beklager, at agenturet endnu ikke har vedtaget chartret om mangfoldighed og inklusion, som har til formål at fremme ligebehandling og lige muligheder uanset køn, race, hudfarve, etnisk eller social oprindelse, genetiske anlæg, sprog, religion eller tro, politiske eller andre anskuelser, tilhørsforhold til et nationalt mindretal, formueforhold, fødsel, handicap, alder eller seksuel orientering; minder om, at et af chartrets mål er at nå målet om, at mindst 40 % af det underrepræsenterede køn på mellemlederniveau skal nås på kort til mellemlang sigt; noterer sig agenturets svar på det standardiserede spørgeskema om decharge; mener, at et ulige antal i både senior- og mellemlederstillingskategorien ikke er til hinder for vedtagelsen af chartret; opfordrer agenturet til at vedtage chartret om mangfoldighed og inklusion og til at deltage aktivt i initiativer, der fremmer mangfoldighed og inklusion på arbejdspladsen;</w:t>
      </w:r>
    </w:p>
    <w:p w14:paraId="6FE33D67" w14:textId="77777777" w:rsidR="00CA1E46" w:rsidRPr="00D70ED5" w:rsidRDefault="00CA1E46" w:rsidP="00CA1E46">
      <w:pPr>
        <w:pStyle w:val="NormalHanging12a"/>
      </w:pPr>
      <w:r w:rsidRPr="00D70ED5">
        <w:t>17.</w:t>
      </w:r>
      <w:r w:rsidRPr="00D70ED5">
        <w:tab/>
        <w:t>glæder sig over, at agenturet fortsatte sit praktikprogram i 2022; bemærker, at i alt syv praktikanter sluttede sig til agenturet, og at 15 praktikanter deltog i agenturets praktikprogram;</w:t>
      </w:r>
    </w:p>
    <w:p w14:paraId="7BB795D8" w14:textId="77777777" w:rsidR="00CA1E46" w:rsidRPr="00D70ED5" w:rsidRDefault="00CA1E46" w:rsidP="00CA1E46">
      <w:pPr>
        <w:spacing w:after="240"/>
        <w:ind w:left="567" w:hanging="567"/>
        <w:rPr>
          <w:rFonts w:eastAsia="Calibri"/>
          <w:b/>
          <w:i/>
          <w:szCs w:val="24"/>
        </w:rPr>
      </w:pPr>
      <w:r w:rsidRPr="00D70ED5">
        <w:rPr>
          <w:b/>
          <w:i/>
        </w:rPr>
        <w:t>Forebyggelse og håndtering af interessekonflikter samt gennemsigtighed</w:t>
      </w:r>
    </w:p>
    <w:p w14:paraId="4CFC825E" w14:textId="77777777" w:rsidR="00CA1E46" w:rsidRPr="00D70ED5" w:rsidRDefault="00CA1E46" w:rsidP="00CA1E46">
      <w:pPr>
        <w:spacing w:after="240"/>
        <w:ind w:left="567" w:hanging="567"/>
        <w:rPr>
          <w:szCs w:val="24"/>
        </w:rPr>
      </w:pPr>
      <w:r w:rsidRPr="00D70ED5">
        <w:t>18.</w:t>
      </w:r>
      <w:r w:rsidRPr="00D70ED5">
        <w:tab/>
        <w:t>bemærker, at agenturet på sit websted offentliggør alle CV'er og erklæringer om interessekonflikter fra sine bestyrelsesmedlemmer;</w:t>
      </w:r>
    </w:p>
    <w:p w14:paraId="0E223694" w14:textId="77777777" w:rsidR="00CA1E46" w:rsidRPr="00D70ED5" w:rsidRDefault="00CA1E46" w:rsidP="00CA1E46">
      <w:pPr>
        <w:spacing w:after="240"/>
        <w:ind w:left="567" w:hanging="567"/>
        <w:rPr>
          <w:szCs w:val="24"/>
        </w:rPr>
      </w:pPr>
      <w:r w:rsidRPr="00D70ED5">
        <w:t>19.</w:t>
      </w:r>
      <w:r w:rsidRPr="00D70ED5">
        <w:tab/>
        <w:t>noterer sig, at vedtægtsomfattet personale, udstationerede nationale eksperter, praktikanter og vikarer, inden de påbegynder deres hverv i agenturet, skal indgive en interesseerklæring, som derefter gennemgås af ansættelsesmyndigheden eller direktøren, inden de godkendes; bemærker endvidere, at personalet regelmæssigt skal ajourføre denne erklæring under ansættelsen for at håndtere eventuelle ad hoc-interessekonflikter og proaktivt skal informere agenturet om eksterne aktiviteter, erhvervsmæssig virksomhed under personlig orlov, bevarelse af gaver, ægtefællebeskæftigelse og potentielle konflikter i forbindelse med offentliggørelse eller taler; bemærker, at vedtægtsomfattet personale og praktikanter ved udtræden af tjenesten skal oplyse agenturet om deres planlagte fremtidige professionelle forpligtelser inden for en nærmere angivet tidsramme efter fratrædelse;</w:t>
      </w:r>
    </w:p>
    <w:p w14:paraId="51948ADB" w14:textId="77777777" w:rsidR="00CA1E46" w:rsidRPr="00D70ED5" w:rsidRDefault="00CA1E46" w:rsidP="00CA1E46">
      <w:pPr>
        <w:spacing w:after="240"/>
        <w:ind w:left="567" w:hanging="567"/>
        <w:rPr>
          <w:szCs w:val="24"/>
        </w:rPr>
      </w:pPr>
      <w:r w:rsidRPr="00D70ED5">
        <w:t>20.</w:t>
      </w:r>
      <w:r w:rsidRPr="00D70ED5">
        <w:tab/>
        <w:t xml:space="preserve">noterer sig, at agenturets direktør vedtog et notat om håndtering af medarbejdernes interessekonflikter i forbindelse med udvælgelse og ansættelse, hvori det kræves, at alle faglige/personlige forbindelser med ansøgere angives, uanset om denne forbindelse udgør en interessekonflikt eller ej; bemærker endvidere, at de ansatte også bør angive, om de kan opretholde upartiskhed eller ej; bemærker, at udvælgelseskomitéens medlemmer, når ansøgerens navne er offentliggjort, skal indgive en erklæring om interessekonflikter i overensstemmelse med ovennævnte notat samt med retningslinjerne for forebyggelse og håndtering af interessekonflikter vedrørende medarbejdere, der er involveret i agenturets udvælgelses-, ansættelses- eller </w:t>
      </w:r>
      <w:proofErr w:type="spellStart"/>
      <w:r w:rsidRPr="00D70ED5">
        <w:t>omklassificeringsprocedurer</w:t>
      </w:r>
      <w:proofErr w:type="spellEnd"/>
      <w:r w:rsidRPr="00D70ED5">
        <w:t>;</w:t>
      </w:r>
    </w:p>
    <w:p w14:paraId="4A9FCB26" w14:textId="77777777" w:rsidR="00CA1E46" w:rsidRPr="00D70ED5" w:rsidRDefault="00CA1E46" w:rsidP="00CA1E46">
      <w:pPr>
        <w:spacing w:after="240"/>
        <w:ind w:left="567" w:hanging="567"/>
        <w:rPr>
          <w:szCs w:val="24"/>
        </w:rPr>
      </w:pPr>
      <w:r w:rsidRPr="00D70ED5">
        <w:t>21.</w:t>
      </w:r>
      <w:r w:rsidRPr="00D70ED5">
        <w:tab/>
        <w:t xml:space="preserve">bemærker, at bestyrelsen vedtog agenturets strategi for bekæmpelse af svig 2023-2025, der har til formål at forbedre afsløringen, sanktioneringen og forebyggelsen af svig og modvirke alle andre ulovlige aktiviteter, der kan påvirke dets finansielle interesser; glæder sig over, at agenturet havde taget de etiske moduler i </w:t>
      </w:r>
      <w:proofErr w:type="spellStart"/>
      <w:r w:rsidRPr="00D70ED5">
        <w:t>Sysper</w:t>
      </w:r>
      <w:proofErr w:type="spellEnd"/>
      <w:r w:rsidRPr="00D70ED5">
        <w:t xml:space="preserve"> i brug, hvilket omfatter erklæringen om interessekonflikter, erklæringen om gaver eller gratis forplejning, offentliggørelseserklæringen, anmodningen om tilladelse til eksterne aktiviteter, anmodningen om ekstern aktivitet under tjenestefrihed af personlige årsager og ægtefællens erklæring om beskæftigelse;</w:t>
      </w:r>
    </w:p>
    <w:p w14:paraId="6F41579B" w14:textId="77777777" w:rsidR="00CA1E46" w:rsidRPr="00D70ED5" w:rsidRDefault="00CA1E46" w:rsidP="00CA1E46">
      <w:pPr>
        <w:pStyle w:val="NormalHanging12a"/>
      </w:pPr>
      <w:r w:rsidRPr="00D70ED5">
        <w:t>22.</w:t>
      </w:r>
      <w:r w:rsidRPr="00D70ED5">
        <w:tab/>
        <w:t>minder om vigtigheden af, at agenturet udvikler større synlighed i medierne, på internettet og på de sociale medier for at udbrede kendskabet til dets arbejde til borgerne;</w:t>
      </w:r>
    </w:p>
    <w:p w14:paraId="38CAB73E" w14:textId="77777777" w:rsidR="00CA1E46" w:rsidRPr="00D70ED5" w:rsidRDefault="00CA1E46" w:rsidP="00CA1E46">
      <w:pPr>
        <w:spacing w:after="240"/>
        <w:ind w:left="567" w:hanging="567"/>
        <w:rPr>
          <w:b/>
          <w:i/>
          <w:szCs w:val="24"/>
        </w:rPr>
      </w:pPr>
      <w:r w:rsidRPr="00D70ED5">
        <w:rPr>
          <w:b/>
          <w:i/>
        </w:rPr>
        <w:t>Øvrige bemærkninger</w:t>
      </w:r>
    </w:p>
    <w:p w14:paraId="53E48895" w14:textId="77777777" w:rsidR="00CA1E46" w:rsidRPr="00D70ED5" w:rsidRDefault="00CA1E46" w:rsidP="00CA1E46">
      <w:pPr>
        <w:spacing w:after="240"/>
        <w:ind w:left="567" w:hanging="567"/>
        <w:rPr>
          <w:b/>
          <w:i/>
          <w:szCs w:val="24"/>
        </w:rPr>
      </w:pPr>
      <w:r w:rsidRPr="00D70ED5">
        <w:t>23.</w:t>
      </w:r>
      <w:r w:rsidRPr="00D70ED5">
        <w:tab/>
        <w:t>bemærker, at agenturet i februar 2022 begyndte at anvende Kommissionens værktøj til forvaltning af offentlige udbud (PPMT), som yderligere har strømlinet dets procedurer for offentlige indkøb og sikrer anvendelsen af Kommissionens seneste skabeloner og bedste praksis i hvert trin i processen;</w:t>
      </w:r>
    </w:p>
    <w:p w14:paraId="0158ABC7" w14:textId="77777777" w:rsidR="00CA1E46" w:rsidRPr="00D70ED5" w:rsidRDefault="00CA1E46" w:rsidP="00CA1E46">
      <w:pPr>
        <w:spacing w:after="240"/>
        <w:ind w:left="567" w:hanging="567"/>
        <w:rPr>
          <w:szCs w:val="24"/>
        </w:rPr>
      </w:pPr>
      <w:r w:rsidRPr="00D70ED5">
        <w:t>24.</w:t>
      </w:r>
      <w:r w:rsidRPr="00D70ED5">
        <w:tab/>
        <w:t xml:space="preserve">anerkender, at agenturet for at øge </w:t>
      </w:r>
      <w:proofErr w:type="spellStart"/>
      <w:r w:rsidRPr="00D70ED5">
        <w:t>cybersikkerheden</w:t>
      </w:r>
      <w:proofErr w:type="spellEnd"/>
      <w:r w:rsidRPr="00D70ED5">
        <w:t xml:space="preserve"> og beskyttelsen af de digitale registre, det er i besiddelse af, gør brug af </w:t>
      </w:r>
      <w:proofErr w:type="spellStart"/>
      <w:r w:rsidRPr="00D70ED5">
        <w:t>tofaktorgodkendelse</w:t>
      </w:r>
      <w:proofErr w:type="spellEnd"/>
      <w:r w:rsidRPr="00D70ED5">
        <w:t>, firewalls, automatiske backup, anvendt kryptering (hvor det er relevant/muligt) og regelmæssige genoprettelsestest af virksomhedskritiske systemer; bemærker endvidere, at agenturet desuden anvender softwarebaseret beskyttelse til slutbrugerenheder såsom bærbare computere og mobiltelefoner og de IKT-sikkerhedstjenester, der leveres af CERT-EU;</w:t>
      </w:r>
    </w:p>
    <w:p w14:paraId="41C29722" w14:textId="77777777" w:rsidR="00CA1E46" w:rsidRPr="00D70ED5" w:rsidRDefault="00CA1E46" w:rsidP="00CA1E46">
      <w:pPr>
        <w:pStyle w:val="NormalHanging12a"/>
      </w:pPr>
      <w:r w:rsidRPr="00D70ED5">
        <w:t>25.</w:t>
      </w:r>
      <w:r w:rsidRPr="00D70ED5">
        <w:tab/>
        <w:t xml:space="preserve">glæder sig over agenturets bestræbelser på at prioritere den nye lovgivning om foranstaltninger vedrørende </w:t>
      </w:r>
      <w:proofErr w:type="spellStart"/>
      <w:r w:rsidRPr="00D70ED5">
        <w:t>cybersikkerhed</w:t>
      </w:r>
      <w:proofErr w:type="spellEnd"/>
      <w:r w:rsidRPr="00D70ED5">
        <w:t xml:space="preserve"> i Unionens institutioner, organer, kontorer og agenturer; bemærker med bekymring den potentielle uforholdsmæssigt store byrde ved </w:t>
      </w:r>
      <w:proofErr w:type="spellStart"/>
      <w:r w:rsidRPr="00D70ED5">
        <w:t>cybersikkerhedsforordningen</w:t>
      </w:r>
      <w:proofErr w:type="spellEnd"/>
      <w:r w:rsidRPr="00D70ED5">
        <w:t xml:space="preserve"> for små agenturer såsom BEREC-kontoret, som eventuelt kan bringe overholdelsen i fare; opfordrer Kommissionen til at tage hensyn til dette i næste års programmeringscyklusser;</w:t>
      </w:r>
    </w:p>
    <w:p w14:paraId="612CC2C6" w14:textId="77777777" w:rsidR="00CA1E46" w:rsidRPr="00D70ED5" w:rsidRDefault="00CA1E46" w:rsidP="00CA1E46">
      <w:pPr>
        <w:spacing w:after="240"/>
        <w:ind w:left="567" w:hanging="567"/>
        <w:rPr>
          <w:rFonts w:eastAsia="Calibri"/>
          <w:szCs w:val="24"/>
        </w:rPr>
      </w:pPr>
      <w:r w:rsidRPr="00D70ED5">
        <w:t>26.</w:t>
      </w:r>
      <w:r w:rsidRPr="00D70ED5">
        <w:tab/>
        <w:t>glæder sig over, at agenturets bestyrelse har fastsat EMAS-certificeringen som et mål for de næste tre år; er klar over, at agenturet har påbegyndt sin interne forberedelse af certificeringen, som omfatter yderligere ajourføringer af agenturets beregning af CO</w:t>
      </w:r>
      <w:r w:rsidRPr="00D70ED5">
        <w:rPr>
          <w:vertAlign w:val="subscript"/>
        </w:rPr>
        <w:t>2</w:t>
      </w:r>
      <w:r w:rsidRPr="00D70ED5">
        <w:t>-fodaftryk og deltagelse i EU's netværk for den grønne omstilling;</w:t>
      </w:r>
    </w:p>
    <w:p w14:paraId="0D391FEB" w14:textId="77777777" w:rsidR="00CA1E46" w:rsidRPr="00D70ED5" w:rsidRDefault="00CA1E46" w:rsidP="00CA1E46">
      <w:pPr>
        <w:pStyle w:val="NormalHanging12a"/>
      </w:pPr>
      <w:r w:rsidRPr="00D70ED5">
        <w:t>27.</w:t>
      </w:r>
      <w:r w:rsidRPr="00D70ED5">
        <w:tab/>
        <w:t xml:space="preserve">glæder sig over og udtrykker tilfredshed med den ukrainske nationale tilsynsmyndigheds deltagelse i agenturets daglige drift; roser agenturet og dets medlemmer for at etablere en samarbejdsramme for at tackle </w:t>
      </w:r>
      <w:proofErr w:type="spellStart"/>
      <w:r w:rsidRPr="00D70ED5">
        <w:t>konnektivitetsudfordringer</w:t>
      </w:r>
      <w:proofErr w:type="spellEnd"/>
      <w:r w:rsidRPr="00D70ED5">
        <w:t xml:space="preserve"> og bane vejen for en harmonisering af Ukraines lovgivning om elektronisk kommunikation med de europæiske rammebestemmelser for telekommunikation; glæder sig endvidere over, at der på grundlag af data indsamlet af agenturet fra EU-operatører og ukrainske operatører om de anvendte foranstaltninger for detailhandel blev vedtaget en fælles erklæring, som etablerede en stabil ramme for at hjælpe mennesker, der flygter fra krigen i Ukraine, med at fortsætte med at være i forbindelse med deres familier og venner, der er forblevet i Ukraine, og bevare adgangen til oplysninger;</w:t>
      </w:r>
    </w:p>
    <w:p w14:paraId="638A22C1" w14:textId="77777777" w:rsidR="00CA1E46" w:rsidRPr="00D70ED5" w:rsidRDefault="00CA1E46" w:rsidP="00CA1E46">
      <w:pPr>
        <w:pStyle w:val="NormalHanging12a"/>
      </w:pPr>
      <w:r w:rsidRPr="00D70ED5">
        <w:t>28.</w:t>
      </w:r>
      <w:r w:rsidRPr="00D70ED5">
        <w:tab/>
        <w:t xml:space="preserve">roser agenturets bestræbelser i 2022 på at øge offentlighedens bevidsthed om dets mandat og arbejde i Letland gennem mindre kommunikationsinitiativer som f.eks. at være vært for besøg af studerende fra Riga </w:t>
      </w:r>
      <w:proofErr w:type="spellStart"/>
      <w:r w:rsidRPr="00D70ED5">
        <w:t>Stradiņš</w:t>
      </w:r>
      <w:proofErr w:type="spellEnd"/>
      <w:r w:rsidRPr="00D70ED5">
        <w:t xml:space="preserve"> </w:t>
      </w:r>
      <w:proofErr w:type="spellStart"/>
      <w:r w:rsidRPr="00D70ED5">
        <w:t>University</w:t>
      </w:r>
      <w:proofErr w:type="spellEnd"/>
      <w:r w:rsidRPr="00D70ED5">
        <w:t xml:space="preserve">, fremme af et partnerskab, der øger deres forståelse af EU-agenturer, navnlig i Letland, ved at deltage i </w:t>
      </w:r>
      <w:proofErr w:type="spellStart"/>
      <w:r w:rsidRPr="00D70ED5">
        <w:t>livestream</w:t>
      </w:r>
      <w:proofErr w:type="spellEnd"/>
      <w:r w:rsidRPr="00D70ED5">
        <w:t>-arrangementet for at fejre Europadagen i Letland, som arrangeres af Europa-Kommissionens repræsentation i landet, og andre arrangementer; opfordrer agenturet til fortsat at arbejde på at øge agenturets synlighed, navnlig i værtsmedlemsstaten;</w:t>
      </w:r>
    </w:p>
    <w:p w14:paraId="456442A5" w14:textId="77777777" w:rsidR="00CA1E46" w:rsidRPr="00D70ED5" w:rsidRDefault="00CA1E46" w:rsidP="00CA1E46">
      <w:pPr>
        <w:pStyle w:val="NormalHanging12a"/>
      </w:pPr>
      <w:r w:rsidRPr="00D70ED5">
        <w:t>29.</w:t>
      </w:r>
      <w:r w:rsidRPr="00D70ED5">
        <w:tab/>
        <w:t>glæder sig over, at Parlamentets og Kommissionens lokale kontorer i Riga og agenturet har tilsluttet sig bestræbelserne på at samarbejde om at oprette et fælles Europahus, som vil være "hjemstedet" for alle EU-institutioner og agenturet i Letland;</w:t>
      </w:r>
    </w:p>
    <w:p w14:paraId="325D8970" w14:textId="77777777" w:rsidR="00CA1E46" w:rsidRPr="00D70ED5" w:rsidRDefault="00CA1E46" w:rsidP="00CA1E46">
      <w:pPr>
        <w:pStyle w:val="NormalCenter12a"/>
      </w:pPr>
      <w:r w:rsidRPr="00D70ED5">
        <w:t>°</w:t>
      </w:r>
    </w:p>
    <w:p w14:paraId="496E4AD4" w14:textId="77777777" w:rsidR="00CA1E46" w:rsidRPr="00D70ED5" w:rsidRDefault="00CA1E46" w:rsidP="00CA1E46">
      <w:pPr>
        <w:pStyle w:val="NormalCenter12a"/>
      </w:pPr>
      <w:r w:rsidRPr="00D70ED5">
        <w:t>°</w:t>
      </w:r>
      <w:r w:rsidRPr="00D70ED5">
        <w:tab/>
        <w:t>°</w:t>
      </w:r>
    </w:p>
    <w:p w14:paraId="27398940" w14:textId="58E318CA" w:rsidR="00CA1E46" w:rsidRPr="00D70ED5" w:rsidRDefault="00CA1E46" w:rsidP="00CA1E46">
      <w:pPr>
        <w:pStyle w:val="NormalHanging12a"/>
      </w:pPr>
      <w:r w:rsidRPr="00D70ED5">
        <w:t>30.</w:t>
      </w:r>
      <w:r w:rsidRPr="00D70ED5">
        <w:tab/>
        <w:t xml:space="preserve">henviser med hensyn til de øvrige bemærkninger, der ledsager dechargeafgørelsen, og som er af horisontal karakter, til sin beslutning af </w:t>
      </w:r>
      <w:r w:rsidR="00BF32AA" w:rsidRPr="00D70ED5">
        <w:t>11. april 2024</w:t>
      </w:r>
      <w:r w:rsidRPr="00D70ED5">
        <w:rPr>
          <w:vertAlign w:val="superscript"/>
        </w:rPr>
        <w:footnoteReference w:id="12"/>
      </w:r>
      <w:r w:rsidRPr="00D70ED5">
        <w:t xml:space="preserve"> om agenturernes resultater, økonomiske forvaltning og kontrol.</w:t>
      </w:r>
    </w:p>
    <w:sectPr w:rsidR="00CA1E46" w:rsidRPr="00D70ED5" w:rsidSect="0072298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9E5DB9" w14:textId="77777777" w:rsidR="0020747C" w:rsidRPr="00722981" w:rsidRDefault="0020747C">
      <w:r w:rsidRPr="00722981">
        <w:separator/>
      </w:r>
    </w:p>
  </w:endnote>
  <w:endnote w:type="continuationSeparator" w:id="0">
    <w:p w14:paraId="0C8A98FB" w14:textId="77777777" w:rsidR="0020747C" w:rsidRPr="00722981" w:rsidRDefault="0020747C">
      <w:r w:rsidRPr="007229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CAE3C" w14:textId="77777777" w:rsidR="00CA1E46" w:rsidRPr="00722981" w:rsidRDefault="00CA1E46" w:rsidP="00951456">
    <w:pPr>
      <w:pStyle w:val="EPFooter"/>
    </w:pPr>
    <w:r w:rsidRPr="00722981">
      <w:t>PE</w:t>
    </w:r>
    <w:r w:rsidRPr="00722981">
      <w:rPr>
        <w:rStyle w:val="HideTWBExt"/>
      </w:rPr>
      <w:t>&lt;</w:t>
    </w:r>
    <w:proofErr w:type="spellStart"/>
    <w:r w:rsidRPr="00722981">
      <w:rPr>
        <w:rStyle w:val="HideTWBExt"/>
      </w:rPr>
      <w:t>NoPE</w:t>
    </w:r>
    <w:proofErr w:type="spellEnd"/>
    <w:r w:rsidRPr="00722981">
      <w:rPr>
        <w:rStyle w:val="HideTWBExt"/>
      </w:rPr>
      <w:t>&gt;</w:t>
    </w:r>
    <w:r w:rsidRPr="00722981">
      <w:t>753.507</w:t>
    </w:r>
    <w:r w:rsidRPr="00722981">
      <w:rPr>
        <w:rStyle w:val="HideTWBExt"/>
      </w:rPr>
      <w:t>&lt;/</w:t>
    </w:r>
    <w:proofErr w:type="spellStart"/>
    <w:r w:rsidRPr="00722981">
      <w:rPr>
        <w:rStyle w:val="HideTWBExt"/>
      </w:rPr>
      <w:t>NoPE</w:t>
    </w:r>
    <w:proofErr w:type="spellEnd"/>
    <w:r w:rsidRPr="00722981">
      <w:rPr>
        <w:rStyle w:val="HideTWBExt"/>
      </w:rPr>
      <w:t>&gt;&lt;Version&gt;</w:t>
    </w:r>
    <w:r w:rsidRPr="00722981">
      <w:t>v02-00</w:t>
    </w:r>
    <w:r w:rsidRPr="00722981">
      <w:rPr>
        <w:rStyle w:val="HideTWBExt"/>
      </w:rPr>
      <w:t>&lt;/Version&gt;</w:t>
    </w:r>
    <w:r w:rsidRPr="00722981">
      <w:tab/>
    </w:r>
    <w:r w:rsidRPr="00722981">
      <w:fldChar w:fldCharType="begin"/>
    </w:r>
    <w:r w:rsidRPr="00722981">
      <w:instrText xml:space="preserve"> PAGE  \* MERGEFORMAT </w:instrText>
    </w:r>
    <w:r w:rsidRPr="00722981">
      <w:fldChar w:fldCharType="separate"/>
    </w:r>
    <w:r w:rsidRPr="00722981">
      <w:rPr>
        <w:noProof/>
      </w:rPr>
      <w:t>4</w:t>
    </w:r>
    <w:r w:rsidRPr="00722981">
      <w:fldChar w:fldCharType="end"/>
    </w:r>
    <w:r w:rsidRPr="00722981">
      <w:t>/</w:t>
    </w:r>
    <w:fldSimple w:instr=" NUMPAGES  \* MERGEFORMAT ">
      <w:r w:rsidRPr="00722981">
        <w:rPr>
          <w:noProof/>
        </w:rPr>
        <w:t>4</w:t>
      </w:r>
    </w:fldSimple>
    <w:r w:rsidRPr="00722981">
      <w:tab/>
    </w:r>
    <w:r w:rsidRPr="00722981">
      <w:rPr>
        <w:rStyle w:val="HideTWBExt"/>
      </w:rPr>
      <w:t>&lt;PathFdR&gt;</w:t>
    </w:r>
    <w:r w:rsidRPr="00722981">
      <w:t>RR\1299071DA.docx</w:t>
    </w:r>
    <w:r w:rsidRPr="00722981">
      <w:rPr>
        <w:rStyle w:val="HideTWBExt"/>
      </w:rPr>
      <w:t>&lt;/</w:t>
    </w:r>
    <w:proofErr w:type="spellStart"/>
    <w:r w:rsidRPr="00722981">
      <w:rPr>
        <w:rStyle w:val="HideTWBExt"/>
      </w:rPr>
      <w:t>PathFdR</w:t>
    </w:r>
    <w:proofErr w:type="spellEnd"/>
    <w:r w:rsidRPr="00722981">
      <w:rPr>
        <w:rStyle w:val="HideTWBExt"/>
      </w:rPr>
      <w:t>&gt;</w:t>
    </w:r>
  </w:p>
  <w:p w14:paraId="3DF4E58D" w14:textId="77777777" w:rsidR="00CA1E46" w:rsidRPr="00722981" w:rsidRDefault="00CA1E46" w:rsidP="00951456">
    <w:pPr>
      <w:pStyle w:val="EPFooter2"/>
    </w:pPr>
    <w:r w:rsidRPr="0072298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34D59" w14:textId="77777777" w:rsidR="00CA1E46" w:rsidRPr="00722981" w:rsidRDefault="00CA1E46" w:rsidP="00951456">
    <w:pPr>
      <w:pStyle w:val="EPFooter"/>
    </w:pPr>
    <w:r w:rsidRPr="00722981">
      <w:rPr>
        <w:rStyle w:val="HideTWBExt"/>
      </w:rPr>
      <w:t>&lt;PathFdR&gt;</w:t>
    </w:r>
    <w:r w:rsidRPr="00722981">
      <w:t>RR\1299071DA.docx</w:t>
    </w:r>
    <w:r w:rsidRPr="00722981">
      <w:rPr>
        <w:rStyle w:val="HideTWBExt"/>
      </w:rPr>
      <w:t>&lt;/</w:t>
    </w:r>
    <w:proofErr w:type="spellStart"/>
    <w:r w:rsidRPr="00722981">
      <w:rPr>
        <w:rStyle w:val="HideTWBExt"/>
      </w:rPr>
      <w:t>PathFdR</w:t>
    </w:r>
    <w:proofErr w:type="spellEnd"/>
    <w:r w:rsidRPr="00722981">
      <w:rPr>
        <w:rStyle w:val="HideTWBExt"/>
      </w:rPr>
      <w:t>&gt;</w:t>
    </w:r>
    <w:r w:rsidRPr="00722981">
      <w:tab/>
    </w:r>
    <w:r w:rsidRPr="00722981">
      <w:tab/>
      <w:t>PE</w:t>
    </w:r>
    <w:r w:rsidRPr="00722981">
      <w:rPr>
        <w:rStyle w:val="HideTWBExt"/>
      </w:rPr>
      <w:t>&lt;</w:t>
    </w:r>
    <w:proofErr w:type="spellStart"/>
    <w:r w:rsidRPr="00722981">
      <w:rPr>
        <w:rStyle w:val="HideTWBExt"/>
      </w:rPr>
      <w:t>NoPE</w:t>
    </w:r>
    <w:proofErr w:type="spellEnd"/>
    <w:r w:rsidRPr="00722981">
      <w:rPr>
        <w:rStyle w:val="HideTWBExt"/>
      </w:rPr>
      <w:t>&gt;</w:t>
    </w:r>
    <w:r w:rsidRPr="00722981">
      <w:t>753.507</w:t>
    </w:r>
    <w:r w:rsidRPr="00722981">
      <w:rPr>
        <w:rStyle w:val="HideTWBExt"/>
      </w:rPr>
      <w:t>&lt;/</w:t>
    </w:r>
    <w:proofErr w:type="spellStart"/>
    <w:r w:rsidRPr="00722981">
      <w:rPr>
        <w:rStyle w:val="HideTWBExt"/>
      </w:rPr>
      <w:t>NoPE</w:t>
    </w:r>
    <w:proofErr w:type="spellEnd"/>
    <w:r w:rsidRPr="00722981">
      <w:rPr>
        <w:rStyle w:val="HideTWBExt"/>
      </w:rPr>
      <w:t>&gt;&lt;Version&gt;</w:t>
    </w:r>
    <w:r w:rsidRPr="00722981">
      <w:t>v02-00</w:t>
    </w:r>
    <w:r w:rsidRPr="00722981">
      <w:rPr>
        <w:rStyle w:val="HideTWBExt"/>
      </w:rPr>
      <w:t>&lt;/Version&gt;</w:t>
    </w:r>
  </w:p>
  <w:p w14:paraId="7B7B3B73" w14:textId="77777777" w:rsidR="00CA1E46" w:rsidRPr="00722981" w:rsidRDefault="00CA1E46" w:rsidP="00951456">
    <w:pPr>
      <w:pStyle w:val="EPFooter2"/>
    </w:pPr>
    <w:r w:rsidRPr="00722981">
      <w:t>DA</w:t>
    </w:r>
    <w:r w:rsidRPr="00722981">
      <w:tab/>
    </w:r>
    <w:r w:rsidRPr="00722981">
      <w:rPr>
        <w:b w:val="0"/>
        <w:i/>
        <w:color w:val="C0C0C0"/>
        <w:sz w:val="22"/>
      </w:rPr>
      <w:t>Forenet i mangfoldighed</w:t>
    </w:r>
    <w:r w:rsidRPr="0072298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2A1F8" w14:textId="77777777" w:rsidR="00064002" w:rsidRPr="0072298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D5013" w14:textId="77777777" w:rsidR="00064002" w:rsidRPr="0072298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F6518" w14:textId="77777777" w:rsidR="00064002" w:rsidRPr="007229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77E0A" w14:textId="77777777" w:rsidR="0020747C" w:rsidRPr="00722981" w:rsidRDefault="0020747C">
      <w:r w:rsidRPr="00722981">
        <w:separator/>
      </w:r>
    </w:p>
  </w:footnote>
  <w:footnote w:type="continuationSeparator" w:id="0">
    <w:p w14:paraId="7EE8E190" w14:textId="77777777" w:rsidR="0020747C" w:rsidRPr="00722981" w:rsidRDefault="0020747C">
      <w:r w:rsidRPr="00722981">
        <w:continuationSeparator/>
      </w:r>
    </w:p>
  </w:footnote>
  <w:footnote w:id="1">
    <w:p w14:paraId="091E420A" w14:textId="77777777" w:rsidR="00CA1E46" w:rsidRPr="00D70ED5" w:rsidRDefault="00CA1E46" w:rsidP="00722981">
      <w:pPr>
        <w:pStyle w:val="FootnoteText"/>
        <w:ind w:left="567" w:hanging="567"/>
        <w:rPr>
          <w:sz w:val="24"/>
        </w:rPr>
      </w:pPr>
      <w:r w:rsidRPr="00722981">
        <w:rPr>
          <w:rStyle w:val="FootnoteReference"/>
          <w:sz w:val="24"/>
          <w:lang w:val="da-DK"/>
        </w:rPr>
        <w:footnoteRef/>
      </w:r>
      <w:r w:rsidR="00722981" w:rsidRPr="00D70ED5">
        <w:rPr>
          <w:sz w:val="24"/>
        </w:rPr>
        <w:t xml:space="preserve"> </w:t>
      </w:r>
      <w:r w:rsidR="00722981" w:rsidRPr="00D70ED5">
        <w:rPr>
          <w:sz w:val="24"/>
        </w:rPr>
        <w:tab/>
      </w:r>
      <w:r w:rsidRPr="00D70ED5">
        <w:rPr>
          <w:sz w:val="24"/>
        </w:rPr>
        <w:t>EUT C, C/2023/594, 27.10.2023.</w:t>
      </w:r>
    </w:p>
  </w:footnote>
  <w:footnote w:id="2">
    <w:p w14:paraId="68D83353" w14:textId="77777777" w:rsidR="00CA1E46" w:rsidRPr="00D70ED5" w:rsidRDefault="00CA1E46" w:rsidP="00722981">
      <w:pPr>
        <w:pStyle w:val="FootnoteText"/>
        <w:ind w:left="567" w:hanging="567"/>
        <w:rPr>
          <w:sz w:val="24"/>
        </w:rPr>
      </w:pPr>
      <w:r w:rsidRPr="00722981">
        <w:rPr>
          <w:rStyle w:val="FootnoteReference"/>
          <w:sz w:val="24"/>
          <w:lang w:val="da-DK"/>
        </w:rPr>
        <w:footnoteRef/>
      </w:r>
      <w:r w:rsidR="00722981" w:rsidRPr="00D70ED5">
        <w:rPr>
          <w:sz w:val="24"/>
        </w:rPr>
        <w:t xml:space="preserve"> </w:t>
      </w:r>
      <w:r w:rsidR="00722981" w:rsidRPr="00D70ED5">
        <w:rPr>
          <w:sz w:val="24"/>
        </w:rPr>
        <w:tab/>
      </w:r>
      <w:r w:rsidRPr="00D70ED5">
        <w:rPr>
          <w:sz w:val="24"/>
        </w:rPr>
        <w:t>EUT C, C/2023/112, 12.10.2023.</w:t>
      </w:r>
    </w:p>
  </w:footnote>
  <w:footnote w:id="3">
    <w:p w14:paraId="4935F21C" w14:textId="77777777" w:rsidR="00CA1E46" w:rsidRPr="00722981" w:rsidRDefault="00CA1E46" w:rsidP="00722981">
      <w:pPr>
        <w:pStyle w:val="FootnoteText"/>
        <w:ind w:left="567" w:hanging="567"/>
        <w:rPr>
          <w:sz w:val="24"/>
          <w:lang w:val="da-DK"/>
        </w:rPr>
      </w:pPr>
      <w:r w:rsidRPr="00722981">
        <w:rPr>
          <w:rStyle w:val="FootnoteReference"/>
          <w:sz w:val="24"/>
          <w:lang w:val="da-DK"/>
        </w:rPr>
        <w:footnoteRef/>
      </w:r>
      <w:r w:rsidR="00722981" w:rsidRPr="00722981">
        <w:rPr>
          <w:sz w:val="24"/>
          <w:lang w:val="da-DK"/>
        </w:rPr>
        <w:t xml:space="preserve"> </w:t>
      </w:r>
      <w:r w:rsidR="00722981" w:rsidRPr="00722981">
        <w:rPr>
          <w:sz w:val="24"/>
          <w:lang w:val="da-DK"/>
        </w:rPr>
        <w:tab/>
      </w:r>
      <w:r w:rsidRPr="00722981">
        <w:rPr>
          <w:sz w:val="24"/>
          <w:lang w:val="da-DK"/>
        </w:rPr>
        <w:t>EUT L 193 af 30.7.2018, s. 1.</w:t>
      </w:r>
    </w:p>
  </w:footnote>
  <w:footnote w:id="4">
    <w:p w14:paraId="3595F8C9" w14:textId="77777777" w:rsidR="00CA1E46" w:rsidRPr="00722981" w:rsidRDefault="00CA1E46" w:rsidP="00722981">
      <w:pPr>
        <w:pStyle w:val="FootnoteText"/>
        <w:ind w:left="567" w:hanging="567"/>
        <w:rPr>
          <w:sz w:val="24"/>
          <w:szCs w:val="24"/>
          <w:lang w:val="da-DK"/>
        </w:rPr>
      </w:pPr>
      <w:r w:rsidRPr="00722981">
        <w:rPr>
          <w:rStyle w:val="FootnoteReference"/>
          <w:sz w:val="24"/>
          <w:lang w:val="da-DK"/>
        </w:rPr>
        <w:footnoteRef/>
      </w:r>
      <w:r w:rsidR="00722981" w:rsidRPr="00722981">
        <w:rPr>
          <w:sz w:val="24"/>
          <w:lang w:val="da-DK"/>
        </w:rPr>
        <w:t xml:space="preserve"> </w:t>
      </w:r>
      <w:r w:rsidR="00722981" w:rsidRPr="00722981">
        <w:rPr>
          <w:sz w:val="24"/>
          <w:lang w:val="da-DK"/>
        </w:rPr>
        <w:tab/>
      </w:r>
      <w:r w:rsidRPr="00722981">
        <w:rPr>
          <w:sz w:val="24"/>
          <w:lang w:val="da-DK"/>
        </w:rPr>
        <w:t>EUT L 321 af 17.12.2018, s. 1.</w:t>
      </w:r>
    </w:p>
  </w:footnote>
  <w:footnote w:id="5">
    <w:p w14:paraId="5575FDFA" w14:textId="77777777" w:rsidR="00CA1E46" w:rsidRPr="00722981" w:rsidRDefault="00CA1E46" w:rsidP="00722981">
      <w:pPr>
        <w:pStyle w:val="FootnoteText"/>
        <w:ind w:left="567" w:hanging="567"/>
        <w:rPr>
          <w:sz w:val="24"/>
          <w:lang w:val="da-DK"/>
        </w:rPr>
      </w:pPr>
      <w:r w:rsidRPr="00722981">
        <w:rPr>
          <w:rStyle w:val="FootnoteReference"/>
          <w:sz w:val="24"/>
          <w:lang w:val="da-DK"/>
        </w:rPr>
        <w:footnoteRef/>
      </w:r>
      <w:r w:rsidR="00722981" w:rsidRPr="00722981">
        <w:rPr>
          <w:sz w:val="24"/>
          <w:lang w:val="da-DK"/>
        </w:rPr>
        <w:t xml:space="preserve"> </w:t>
      </w:r>
      <w:r w:rsidR="00722981" w:rsidRPr="00722981">
        <w:rPr>
          <w:sz w:val="24"/>
          <w:lang w:val="da-DK"/>
        </w:rPr>
        <w:tab/>
      </w:r>
      <w:r w:rsidRPr="00722981">
        <w:rPr>
          <w:sz w:val="24"/>
          <w:lang w:val="da-DK"/>
        </w:rPr>
        <w:t>EUT L 122 af 10.5.2019, s. 1.</w:t>
      </w:r>
    </w:p>
  </w:footnote>
  <w:footnote w:id="6">
    <w:p w14:paraId="2A9D3A2F" w14:textId="77777777" w:rsidR="00CA1E46" w:rsidRPr="00722981" w:rsidRDefault="00CA1E46" w:rsidP="00722981">
      <w:pPr>
        <w:pStyle w:val="FootnoteText"/>
        <w:ind w:left="567" w:hanging="567"/>
        <w:rPr>
          <w:sz w:val="24"/>
          <w:lang w:val="da-DK"/>
        </w:rPr>
      </w:pPr>
      <w:r w:rsidRPr="00722981">
        <w:rPr>
          <w:rStyle w:val="FootnoteReference"/>
          <w:sz w:val="24"/>
          <w:lang w:val="da-DK"/>
        </w:rPr>
        <w:footnoteRef/>
      </w:r>
      <w:r w:rsidR="00722981" w:rsidRPr="00722981">
        <w:rPr>
          <w:sz w:val="24"/>
          <w:lang w:val="da-DK"/>
        </w:rPr>
        <w:t xml:space="preserve"> </w:t>
      </w:r>
      <w:r w:rsidR="00722981" w:rsidRPr="00722981">
        <w:rPr>
          <w:sz w:val="24"/>
          <w:lang w:val="da-DK"/>
        </w:rPr>
        <w:tab/>
      </w:r>
      <w:r w:rsidRPr="00722981">
        <w:rPr>
          <w:sz w:val="24"/>
          <w:lang w:val="da-DK"/>
        </w:rPr>
        <w:t>EUT C, C/2023/594, 27.10.2023.</w:t>
      </w:r>
    </w:p>
  </w:footnote>
  <w:footnote w:id="7">
    <w:p w14:paraId="6CCDF929" w14:textId="77777777" w:rsidR="00CA1E46" w:rsidRPr="00D70ED5" w:rsidRDefault="00CA1E46" w:rsidP="00722981">
      <w:pPr>
        <w:pStyle w:val="FootnoteText"/>
        <w:ind w:left="567" w:hanging="567"/>
        <w:rPr>
          <w:sz w:val="24"/>
        </w:rPr>
      </w:pPr>
      <w:r w:rsidRPr="00722981">
        <w:rPr>
          <w:rStyle w:val="FootnoteReference"/>
          <w:sz w:val="24"/>
          <w:lang w:val="da-DK"/>
        </w:rPr>
        <w:footnoteRef/>
      </w:r>
      <w:r w:rsidR="00722981" w:rsidRPr="00D70ED5">
        <w:rPr>
          <w:sz w:val="24"/>
        </w:rPr>
        <w:t xml:space="preserve"> </w:t>
      </w:r>
      <w:r w:rsidR="00722981" w:rsidRPr="00D70ED5">
        <w:rPr>
          <w:sz w:val="24"/>
        </w:rPr>
        <w:tab/>
      </w:r>
      <w:r w:rsidRPr="00D70ED5">
        <w:rPr>
          <w:sz w:val="24"/>
        </w:rPr>
        <w:t>EUT C, C/2023/112, 12.10.2023.</w:t>
      </w:r>
    </w:p>
  </w:footnote>
  <w:footnote w:id="8">
    <w:p w14:paraId="34DC7CCD" w14:textId="77777777" w:rsidR="00CA1E46" w:rsidRPr="00D70ED5" w:rsidRDefault="00CA1E46" w:rsidP="00722981">
      <w:pPr>
        <w:pStyle w:val="FootnoteText"/>
        <w:ind w:left="567" w:hanging="567"/>
        <w:rPr>
          <w:sz w:val="24"/>
        </w:rPr>
      </w:pPr>
      <w:r w:rsidRPr="00722981">
        <w:rPr>
          <w:rStyle w:val="FootnoteReference"/>
          <w:sz w:val="24"/>
          <w:lang w:val="da-DK"/>
        </w:rPr>
        <w:footnoteRef/>
      </w:r>
      <w:r w:rsidR="00722981" w:rsidRPr="00D70ED5">
        <w:rPr>
          <w:sz w:val="24"/>
        </w:rPr>
        <w:t xml:space="preserve"> </w:t>
      </w:r>
      <w:r w:rsidR="00722981" w:rsidRPr="00D70ED5">
        <w:rPr>
          <w:sz w:val="24"/>
        </w:rPr>
        <w:tab/>
      </w:r>
      <w:r w:rsidRPr="00D70ED5">
        <w:rPr>
          <w:sz w:val="24"/>
        </w:rPr>
        <w:t xml:space="preserve">EUT L 193 </w:t>
      </w:r>
      <w:proofErr w:type="spellStart"/>
      <w:r w:rsidRPr="00D70ED5">
        <w:rPr>
          <w:sz w:val="24"/>
        </w:rPr>
        <w:t>af</w:t>
      </w:r>
      <w:proofErr w:type="spellEnd"/>
      <w:r w:rsidRPr="00D70ED5">
        <w:rPr>
          <w:sz w:val="24"/>
        </w:rPr>
        <w:t xml:space="preserve"> 30.7.2018, s. 1.</w:t>
      </w:r>
    </w:p>
  </w:footnote>
  <w:footnote w:id="9">
    <w:p w14:paraId="09AC9553" w14:textId="77777777" w:rsidR="00CA1E46" w:rsidRPr="00722981" w:rsidRDefault="00CA1E46" w:rsidP="00722981">
      <w:pPr>
        <w:pStyle w:val="FootnoteText"/>
        <w:ind w:left="567" w:hanging="567"/>
        <w:rPr>
          <w:sz w:val="24"/>
          <w:lang w:val="da-DK"/>
        </w:rPr>
      </w:pPr>
      <w:r w:rsidRPr="00722981">
        <w:rPr>
          <w:rStyle w:val="FootnoteReference"/>
          <w:sz w:val="24"/>
          <w:lang w:val="da-DK"/>
        </w:rPr>
        <w:footnoteRef/>
      </w:r>
      <w:r w:rsidR="00722981" w:rsidRPr="00722981">
        <w:rPr>
          <w:sz w:val="24"/>
          <w:lang w:val="da-DK"/>
        </w:rPr>
        <w:t xml:space="preserve"> </w:t>
      </w:r>
      <w:r w:rsidR="00722981" w:rsidRPr="00722981">
        <w:rPr>
          <w:sz w:val="24"/>
          <w:lang w:val="da-DK"/>
        </w:rPr>
        <w:tab/>
      </w:r>
      <w:r w:rsidRPr="00722981">
        <w:rPr>
          <w:sz w:val="24"/>
          <w:lang w:val="da-DK"/>
        </w:rPr>
        <w:t>EUT L 321 af 17.12.2018, s. 1.</w:t>
      </w:r>
    </w:p>
  </w:footnote>
  <w:footnote w:id="10">
    <w:p w14:paraId="3CE94441" w14:textId="77777777" w:rsidR="00CA1E46" w:rsidRPr="00722981" w:rsidRDefault="00CA1E46" w:rsidP="00722981">
      <w:pPr>
        <w:pStyle w:val="FootnoteText"/>
        <w:ind w:left="567" w:hanging="567"/>
        <w:rPr>
          <w:sz w:val="24"/>
          <w:szCs w:val="24"/>
          <w:lang w:val="da-DK"/>
        </w:rPr>
      </w:pPr>
      <w:r w:rsidRPr="00722981">
        <w:rPr>
          <w:rStyle w:val="FootnoteReference"/>
          <w:sz w:val="24"/>
          <w:lang w:val="da-DK"/>
        </w:rPr>
        <w:footnoteRef/>
      </w:r>
      <w:r w:rsidR="00722981" w:rsidRPr="00722981">
        <w:rPr>
          <w:sz w:val="24"/>
          <w:lang w:val="da-DK"/>
        </w:rPr>
        <w:t xml:space="preserve"> </w:t>
      </w:r>
      <w:r w:rsidR="00722981" w:rsidRPr="00722981">
        <w:rPr>
          <w:sz w:val="24"/>
          <w:lang w:val="da-DK"/>
        </w:rPr>
        <w:tab/>
      </w:r>
      <w:r w:rsidRPr="00722981">
        <w:rPr>
          <w:sz w:val="24"/>
          <w:lang w:val="da-DK"/>
        </w:rPr>
        <w:t>EUT L 122 af 10.5.2019, s. 1.</w:t>
      </w:r>
    </w:p>
  </w:footnote>
  <w:footnote w:id="11">
    <w:p w14:paraId="5BEC46CE" w14:textId="77777777" w:rsidR="00CA1E46" w:rsidRPr="00722981" w:rsidRDefault="00CA1E46" w:rsidP="00722981">
      <w:pPr>
        <w:pStyle w:val="FootnoteText"/>
        <w:ind w:left="567" w:hanging="567"/>
        <w:rPr>
          <w:sz w:val="24"/>
          <w:lang w:val="da-DK"/>
        </w:rPr>
      </w:pPr>
      <w:r w:rsidRPr="00722981">
        <w:rPr>
          <w:rStyle w:val="FootnoteReference"/>
          <w:sz w:val="24"/>
          <w:lang w:val="da-DK"/>
        </w:rPr>
        <w:footnoteRef/>
      </w:r>
      <w:r w:rsidR="00722981" w:rsidRPr="00722981">
        <w:rPr>
          <w:sz w:val="24"/>
          <w:lang w:val="da-DK"/>
        </w:rPr>
        <w:t xml:space="preserve"> </w:t>
      </w:r>
      <w:r w:rsidR="00722981" w:rsidRPr="00722981">
        <w:rPr>
          <w:sz w:val="24"/>
          <w:lang w:val="da-DK"/>
        </w:rPr>
        <w:tab/>
      </w:r>
      <w:r w:rsidRPr="00722981">
        <w:rPr>
          <w:sz w:val="24"/>
          <w:lang w:val="da-DK"/>
        </w:rPr>
        <w:t>EUT C 119 af 31.3.2023, s. 11.</w:t>
      </w:r>
    </w:p>
  </w:footnote>
  <w:footnote w:id="12">
    <w:p w14:paraId="12653AD5" w14:textId="5C5C9D42" w:rsidR="00CA1E46" w:rsidRPr="00722981" w:rsidRDefault="00CA1E46" w:rsidP="00722981">
      <w:pPr>
        <w:pStyle w:val="FootnoteText"/>
        <w:ind w:left="567" w:hanging="567"/>
        <w:rPr>
          <w:sz w:val="24"/>
          <w:szCs w:val="24"/>
          <w:lang w:val="da-DK"/>
        </w:rPr>
      </w:pPr>
      <w:r w:rsidRPr="00722981">
        <w:rPr>
          <w:rStyle w:val="FootnoteReference"/>
          <w:sz w:val="24"/>
          <w:szCs w:val="24"/>
          <w:lang w:val="da-DK"/>
        </w:rPr>
        <w:footnoteRef/>
      </w:r>
      <w:r w:rsidR="00722981" w:rsidRPr="00722981">
        <w:rPr>
          <w:sz w:val="24"/>
          <w:lang w:val="da-DK"/>
        </w:rPr>
        <w:t xml:space="preserve"> </w:t>
      </w:r>
      <w:r w:rsidR="00722981" w:rsidRPr="00722981">
        <w:rPr>
          <w:sz w:val="24"/>
          <w:lang w:val="da-DK"/>
        </w:rPr>
        <w:tab/>
      </w:r>
      <w:r w:rsidRPr="00722981">
        <w:rPr>
          <w:sz w:val="24"/>
          <w:lang w:val="da-DK"/>
        </w:rPr>
        <w:t>Vedtagne tekster, P9_</w:t>
      </w:r>
      <w:proofErr w:type="gramStart"/>
      <w:r w:rsidRPr="00722981">
        <w:rPr>
          <w:sz w:val="24"/>
          <w:lang w:val="da-DK"/>
        </w:rPr>
        <w:t>TA(</w:t>
      </w:r>
      <w:proofErr w:type="gramEnd"/>
      <w:r w:rsidRPr="00722981">
        <w:rPr>
          <w:sz w:val="24"/>
          <w:lang w:val="da-DK"/>
        </w:rPr>
        <w:t>2024)</w:t>
      </w:r>
      <w:r w:rsidR="00BC1103">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E49E4" w14:textId="77777777" w:rsidR="00064002" w:rsidRPr="007229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BB971" w14:textId="77777777" w:rsidR="00064002" w:rsidRPr="007229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692FA" w14:textId="77777777" w:rsidR="00064002" w:rsidRPr="007229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DA"/>
    <w:docVar w:name="dvnumam" w:val="0"/>
    <w:docVar w:name="dvpe" w:val="753.507"/>
    <w:docVar w:name="dvrapporteur" w:val="Ordfører: "/>
    <w:docVar w:name="dvtitre" w:val="1. Europa-Parlamentets afgørelse af 11. april 2024 om decharge for gennemførelsen af budgettet for Agenturet for Støtte til BEREC (BEREC-kontoret) for regnskabsåret 2022(2023/2141(DEC))"/>
  </w:docVars>
  <w:rsids>
    <w:rsidRoot w:val="0020747C"/>
    <w:rsid w:val="00002272"/>
    <w:rsid w:val="00064002"/>
    <w:rsid w:val="000677B9"/>
    <w:rsid w:val="000831BA"/>
    <w:rsid w:val="000A42CC"/>
    <w:rsid w:val="000E7DD9"/>
    <w:rsid w:val="0010095E"/>
    <w:rsid w:val="00125B37"/>
    <w:rsid w:val="00187494"/>
    <w:rsid w:val="001F32AE"/>
    <w:rsid w:val="0020747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2981"/>
    <w:rsid w:val="00731ADD"/>
    <w:rsid w:val="00734777"/>
    <w:rsid w:val="00747932"/>
    <w:rsid w:val="00751A4A"/>
    <w:rsid w:val="00756632"/>
    <w:rsid w:val="00762C74"/>
    <w:rsid w:val="00786EC0"/>
    <w:rsid w:val="007D1690"/>
    <w:rsid w:val="007E1C87"/>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103"/>
    <w:rsid w:val="00BD48FE"/>
    <w:rsid w:val="00BD7BD8"/>
    <w:rsid w:val="00BE6ADC"/>
    <w:rsid w:val="00BF32AA"/>
    <w:rsid w:val="00C05BFE"/>
    <w:rsid w:val="00C23CD4"/>
    <w:rsid w:val="00C61C0C"/>
    <w:rsid w:val="00C941CB"/>
    <w:rsid w:val="00CA1E46"/>
    <w:rsid w:val="00CC2357"/>
    <w:rsid w:val="00CF071A"/>
    <w:rsid w:val="00D058B8"/>
    <w:rsid w:val="00D56C11"/>
    <w:rsid w:val="00D70ED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2C484"/>
  <w15:chartTrackingRefBased/>
  <w15:docId w15:val="{A3CE1142-B9D9-4E5C-BA67-F6D117E8D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A1E4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A1E46"/>
    <w:pPr>
      <w:spacing w:before="480" w:after="240"/>
    </w:pPr>
  </w:style>
  <w:style w:type="paragraph" w:customStyle="1" w:styleId="PageHeading">
    <w:name w:val="PageHeading"/>
    <w:basedOn w:val="Normal"/>
    <w:rsid w:val="00CA1E46"/>
    <w:pPr>
      <w:keepNext/>
      <w:spacing w:after="480"/>
      <w:jc w:val="center"/>
    </w:pPr>
    <w:rPr>
      <w:rFonts w:ascii="Arial" w:hAnsi="Arial" w:cs="Arial"/>
      <w:b/>
    </w:rPr>
  </w:style>
  <w:style w:type="paragraph" w:customStyle="1" w:styleId="NormalBold">
    <w:name w:val="NormalBold"/>
    <w:basedOn w:val="Normal"/>
    <w:rsid w:val="00CA1E46"/>
    <w:rPr>
      <w:b/>
    </w:rPr>
  </w:style>
  <w:style w:type="paragraph" w:customStyle="1" w:styleId="NormalHanging12a">
    <w:name w:val="NormalHanging12a"/>
    <w:basedOn w:val="Normal"/>
    <w:link w:val="NormalHanging12aChar"/>
    <w:rsid w:val="00CA1E46"/>
    <w:pPr>
      <w:spacing w:after="240"/>
      <w:ind w:left="567" w:hanging="567"/>
    </w:pPr>
  </w:style>
  <w:style w:type="paragraph" w:customStyle="1" w:styleId="NormalCenter12a">
    <w:name w:val="NormalCenter12a"/>
    <w:basedOn w:val="Normal"/>
    <w:rsid w:val="00CA1E46"/>
    <w:pPr>
      <w:spacing w:after="240"/>
      <w:jc w:val="center"/>
    </w:pPr>
  </w:style>
  <w:style w:type="paragraph" w:styleId="Header">
    <w:name w:val="header"/>
    <w:basedOn w:val="Normal"/>
    <w:link w:val="HeaderChar"/>
    <w:rsid w:val="00CA1E46"/>
    <w:pPr>
      <w:tabs>
        <w:tab w:val="center" w:pos="4513"/>
        <w:tab w:val="right" w:pos="9026"/>
      </w:tabs>
    </w:pPr>
  </w:style>
  <w:style w:type="character" w:customStyle="1" w:styleId="HeaderChar">
    <w:name w:val="Header Char"/>
    <w:basedOn w:val="DefaultParagraphFont"/>
    <w:link w:val="Header"/>
    <w:rsid w:val="00CA1E46"/>
    <w:rPr>
      <w:sz w:val="24"/>
      <w:lang w:val="da-DK"/>
    </w:rPr>
  </w:style>
  <w:style w:type="paragraph" w:customStyle="1" w:styleId="EPFooter">
    <w:name w:val="EPFooter"/>
    <w:basedOn w:val="Normal"/>
    <w:rsid w:val="00CA1E46"/>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CA1E46"/>
    <w:rPr>
      <w:sz w:val="24"/>
      <w:lang w:val="da-DK"/>
    </w:rPr>
  </w:style>
  <w:style w:type="paragraph" w:customStyle="1" w:styleId="Normal12Hanging">
    <w:name w:val="Normal12Hanging"/>
    <w:basedOn w:val="Normal"/>
    <w:rsid w:val="00CA1E46"/>
    <w:pPr>
      <w:spacing w:after="240"/>
      <w:ind w:left="567" w:hanging="567"/>
    </w:pPr>
  </w:style>
  <w:style w:type="paragraph" w:styleId="Footer">
    <w:name w:val="footer"/>
    <w:basedOn w:val="Normal"/>
    <w:link w:val="FooterChar"/>
    <w:rsid w:val="00BF32AA"/>
    <w:pPr>
      <w:tabs>
        <w:tab w:val="center" w:pos="4513"/>
        <w:tab w:val="right" w:pos="9026"/>
      </w:tabs>
    </w:pPr>
  </w:style>
  <w:style w:type="character" w:customStyle="1" w:styleId="FooterChar">
    <w:name w:val="Footer Char"/>
    <w:basedOn w:val="DefaultParagraphFont"/>
    <w:link w:val="Footer"/>
    <w:rsid w:val="00BF32AA"/>
    <w:rPr>
      <w:sz w:val="24"/>
      <w:lang w:val="da-DK"/>
    </w:rPr>
  </w:style>
  <w:style w:type="character" w:styleId="CommentReference">
    <w:name w:val="annotation reference"/>
    <w:basedOn w:val="DefaultParagraphFont"/>
    <w:rsid w:val="00BF32AA"/>
    <w:rPr>
      <w:sz w:val="16"/>
      <w:szCs w:val="16"/>
    </w:rPr>
  </w:style>
  <w:style w:type="paragraph" w:styleId="CommentText">
    <w:name w:val="annotation text"/>
    <w:basedOn w:val="Normal"/>
    <w:link w:val="CommentTextChar"/>
    <w:rsid w:val="00BF32AA"/>
    <w:rPr>
      <w:sz w:val="20"/>
    </w:rPr>
  </w:style>
  <w:style w:type="character" w:customStyle="1" w:styleId="CommentTextChar">
    <w:name w:val="Comment Text Char"/>
    <w:basedOn w:val="DefaultParagraphFont"/>
    <w:link w:val="CommentText"/>
    <w:rsid w:val="00BF32AA"/>
    <w:rPr>
      <w:lang w:val="da-DK"/>
    </w:rPr>
  </w:style>
  <w:style w:type="paragraph" w:styleId="CommentSubject">
    <w:name w:val="annotation subject"/>
    <w:basedOn w:val="CommentText"/>
    <w:next w:val="CommentText"/>
    <w:link w:val="CommentSubjectChar"/>
    <w:rsid w:val="00BF32AA"/>
    <w:rPr>
      <w:b/>
      <w:bCs/>
    </w:rPr>
  </w:style>
  <w:style w:type="character" w:customStyle="1" w:styleId="CommentSubjectChar">
    <w:name w:val="Comment Subject Char"/>
    <w:basedOn w:val="CommentTextChar"/>
    <w:link w:val="CommentSubject"/>
    <w:rsid w:val="00BF32AA"/>
    <w:rPr>
      <w:b/>
      <w:bCs/>
      <w:lang w:val="da-DK"/>
    </w:rPr>
  </w:style>
  <w:style w:type="paragraph" w:styleId="BalloonText">
    <w:name w:val="Balloon Text"/>
    <w:basedOn w:val="Normal"/>
    <w:link w:val="BalloonTextChar"/>
    <w:rsid w:val="00BF32AA"/>
    <w:rPr>
      <w:rFonts w:ascii="Segoe UI" w:hAnsi="Segoe UI" w:cs="Segoe UI"/>
      <w:sz w:val="18"/>
      <w:szCs w:val="18"/>
    </w:rPr>
  </w:style>
  <w:style w:type="character" w:customStyle="1" w:styleId="BalloonTextChar">
    <w:name w:val="Balloon Text Char"/>
    <w:basedOn w:val="DefaultParagraphFont"/>
    <w:link w:val="BalloonText"/>
    <w:rsid w:val="00BF32A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991EC-5D3C-4179-AAAF-C8C569624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2933</Words>
  <Characters>18951</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2024-05-21T14:27:00Z</dcterms:created>
  <dcterms:modified xsi:type="dcterms:W3CDTF">2024-05-21T14:27:00Z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P9_TA(2024)0266_</vt:lpwstr>
  </property>
  <property fmtid="{D5CDD505-2E9C-101B-9397-08002B2CF9AE}" pid="4" name="&lt;Type&gt;">
    <vt:lpwstr>RR</vt:lpwstr>
  </property>
</Properties>
</file>