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1EAF" w:rsidTr="0010095E">
        <w:trPr>
          <w:trHeight w:hRule="exact" w:val="1418"/>
        </w:trPr>
        <w:tc>
          <w:tcPr>
            <w:tcW w:w="6804" w:type="dxa"/>
            <w:shd w:val="clear" w:color="auto" w:fill="auto"/>
            <w:vAlign w:val="center"/>
          </w:tcPr>
          <w:p w:rsidR="00751A4A" w:rsidRPr="00D11EAF" w:rsidRDefault="008D4C03" w:rsidP="0010095E">
            <w:pPr>
              <w:pStyle w:val="EPName"/>
            </w:pPr>
            <w:r w:rsidRPr="00D11EAF">
              <w:t>Ευρωπαϊκό Κοινοβούλιο</w:t>
            </w:r>
          </w:p>
          <w:p w:rsidR="00751A4A" w:rsidRPr="00D11EAF" w:rsidRDefault="00817416" w:rsidP="00756632">
            <w:pPr>
              <w:pStyle w:val="EPTerm"/>
              <w:rPr>
                <w:rStyle w:val="HideTWBExt"/>
                <w:noProof w:val="0"/>
                <w:vanish w:val="0"/>
                <w:color w:val="auto"/>
              </w:rPr>
            </w:pPr>
            <w:r w:rsidRPr="00D11EAF">
              <w:t>2019-2024</w:t>
            </w:r>
          </w:p>
        </w:tc>
        <w:tc>
          <w:tcPr>
            <w:tcW w:w="2268" w:type="dxa"/>
            <w:shd w:val="clear" w:color="auto" w:fill="auto"/>
          </w:tcPr>
          <w:p w:rsidR="00751A4A" w:rsidRPr="00D11EAF" w:rsidRDefault="00187494" w:rsidP="0010095E">
            <w:pPr>
              <w:pStyle w:val="EPLogo"/>
            </w:pPr>
            <w:r w:rsidRPr="00D11EA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1EAF" w:rsidRDefault="00D058B8" w:rsidP="004C5D52">
      <w:pPr>
        <w:pStyle w:val="LineTop"/>
      </w:pPr>
    </w:p>
    <w:p w:rsidR="00680577" w:rsidRPr="00D11EAF" w:rsidRDefault="008D4C03" w:rsidP="00680577">
      <w:pPr>
        <w:pStyle w:val="EPBodyTA1"/>
      </w:pPr>
      <w:r w:rsidRPr="00D11EAF">
        <w:t>ΚΕΙΜΕΝΑ ΠΟΥ ΕΓΚΡΙΘΗΚΑΝ</w:t>
      </w:r>
    </w:p>
    <w:p w:rsidR="00D058B8" w:rsidRPr="00D11EAF" w:rsidRDefault="00D058B8" w:rsidP="00D058B8">
      <w:pPr>
        <w:pStyle w:val="LineBottom"/>
      </w:pPr>
    </w:p>
    <w:p w:rsidR="008D4C03" w:rsidRPr="00D11EAF" w:rsidRDefault="008D4C03" w:rsidP="008D4C03">
      <w:pPr>
        <w:pStyle w:val="ATHeading1"/>
      </w:pPr>
      <w:bookmarkStart w:id="0" w:name="TANumber"/>
      <w:r w:rsidRPr="00D11EAF">
        <w:t>P9_TA(2024)</w:t>
      </w:r>
      <w:bookmarkEnd w:id="0"/>
      <w:r w:rsidR="00BC0C48" w:rsidRPr="00D11EAF">
        <w:t>0</w:t>
      </w:r>
      <w:r w:rsidR="00BC0C48">
        <w:t>266</w:t>
      </w:r>
    </w:p>
    <w:p w:rsidR="008D4C03" w:rsidRPr="00D11EAF" w:rsidRDefault="008D4C03" w:rsidP="008D4C03">
      <w:pPr>
        <w:pStyle w:val="ATHeading2"/>
      </w:pPr>
      <w:bookmarkStart w:id="1" w:name="title"/>
      <w:r w:rsidRPr="00D11EAF">
        <w:t>Απαλλαγή 2022: Οργανισμός για την Υποστήριξη του BEREC (Υπηρεσία του BEREC)</w:t>
      </w:r>
      <w:bookmarkEnd w:id="1"/>
    </w:p>
    <w:p w:rsidR="008D4C03" w:rsidRPr="00D11EAF" w:rsidRDefault="008D4C03" w:rsidP="008D4C03">
      <w:pPr>
        <w:rPr>
          <w:i/>
          <w:vanish/>
        </w:rPr>
      </w:pPr>
      <w:r w:rsidRPr="00D11EAF">
        <w:rPr>
          <w:i/>
        </w:rPr>
        <w:fldChar w:fldCharType="begin"/>
      </w:r>
      <w:r w:rsidRPr="00D11EAF">
        <w:rPr>
          <w:i/>
        </w:rPr>
        <w:instrText xml:space="preserve"> TC"(</w:instrText>
      </w:r>
      <w:bookmarkStart w:id="2" w:name="DocNumber"/>
      <w:r w:rsidRPr="00D11EAF">
        <w:rPr>
          <w:i/>
        </w:rPr>
        <w:instrText>A9-0123/2024</w:instrText>
      </w:r>
      <w:bookmarkEnd w:id="2"/>
      <w:r w:rsidRPr="00D11EAF">
        <w:rPr>
          <w:i/>
        </w:rPr>
        <w:instrText xml:space="preserve"> - Εισηγητής: </w:instrText>
      </w:r>
      <w:proofErr w:type="spellStart"/>
      <w:r w:rsidRPr="00D11EAF">
        <w:rPr>
          <w:i/>
        </w:rPr>
        <w:instrText>Petri</w:instrText>
      </w:r>
      <w:proofErr w:type="spellEnd"/>
      <w:r w:rsidRPr="00D11EAF">
        <w:rPr>
          <w:i/>
        </w:rPr>
        <w:instrText xml:space="preserve"> </w:instrText>
      </w:r>
      <w:proofErr w:type="spellStart"/>
      <w:r w:rsidRPr="00D11EAF">
        <w:rPr>
          <w:i/>
        </w:rPr>
        <w:instrText>Sarvamaa</w:instrText>
      </w:r>
      <w:proofErr w:type="spellEnd"/>
      <w:r w:rsidRPr="00D11EAF">
        <w:rPr>
          <w:i/>
        </w:rPr>
        <w:instrText xml:space="preserve">)"\l3 \n&gt; \* MERGEFORMAT </w:instrText>
      </w:r>
      <w:r w:rsidRPr="00D11EAF">
        <w:rPr>
          <w:i/>
        </w:rPr>
        <w:fldChar w:fldCharType="end"/>
      </w:r>
    </w:p>
    <w:p w:rsidR="008D4C03" w:rsidRPr="00D11EAF" w:rsidRDefault="008D4C03" w:rsidP="008D4C03">
      <w:pPr>
        <w:rPr>
          <w:vanish/>
        </w:rPr>
      </w:pPr>
      <w:bookmarkStart w:id="3" w:name="Commission"/>
      <w:r w:rsidRPr="00D11EAF">
        <w:rPr>
          <w:vanish/>
        </w:rPr>
        <w:t>Επιτροπή Ελέγχου του Προϋπολογισμού</w:t>
      </w:r>
      <w:bookmarkEnd w:id="3"/>
    </w:p>
    <w:p w:rsidR="008D4C03" w:rsidRPr="00D11EAF" w:rsidRDefault="008D4C03" w:rsidP="008D4C03">
      <w:pPr>
        <w:rPr>
          <w:vanish/>
        </w:rPr>
      </w:pPr>
      <w:bookmarkStart w:id="4" w:name="PE"/>
      <w:r w:rsidRPr="00D11EAF">
        <w:rPr>
          <w:vanish/>
        </w:rPr>
        <w:t>PE753.507</w:t>
      </w:r>
      <w:bookmarkEnd w:id="4"/>
    </w:p>
    <w:p w:rsidR="008D4C03" w:rsidRPr="00D11EAF" w:rsidRDefault="001A23DF" w:rsidP="008D4C03">
      <w:pPr>
        <w:pStyle w:val="ATHeading3"/>
      </w:pPr>
      <w:bookmarkStart w:id="5" w:name="Sujet"/>
      <w:r>
        <w:t xml:space="preserve">1. </w:t>
      </w:r>
      <w:r w:rsidR="008D4C03" w:rsidRPr="00D11EAF">
        <w:t xml:space="preserve">Απόφαση του Ευρωπαϊκού Κοινοβουλίου </w:t>
      </w:r>
      <w:r w:rsidR="001F61B6">
        <w:t xml:space="preserve">της 11ης Απριλίου 2024 </w:t>
      </w:r>
      <w:r w:rsidR="008D4C03" w:rsidRPr="00D11EAF">
        <w:t>σχετικά με την απαλλαγή όσον αφορά την εκτέλεση του προϋπολογισμού του Οργανισμού για την υποστήριξη του BEREC (Υπηρεσία του BEREC) για το οικονομικό έτος 2022</w:t>
      </w:r>
      <w:bookmarkEnd w:id="5"/>
      <w:r w:rsidR="008D4C03" w:rsidRPr="00D11EAF">
        <w:t xml:space="preserve"> </w:t>
      </w:r>
      <w:bookmarkStart w:id="6" w:name="References"/>
      <w:r w:rsidR="008D4C03" w:rsidRPr="00D11EAF">
        <w:t>(2023/2141(DEC))</w:t>
      </w:r>
      <w:bookmarkEnd w:id="6"/>
    </w:p>
    <w:p w:rsidR="007C0EF0" w:rsidRPr="00D11EAF" w:rsidRDefault="007C0EF0" w:rsidP="007C0EF0">
      <w:pPr>
        <w:pStyle w:val="EPComma"/>
      </w:pPr>
      <w:bookmarkStart w:id="7" w:name="TextBodyBegin"/>
      <w:bookmarkEnd w:id="7"/>
      <w:r w:rsidRPr="00D11EAF">
        <w:t>Το Ευρωπαϊκό Κοινοβούλιο,</w:t>
      </w:r>
    </w:p>
    <w:p w:rsidR="007C0EF0" w:rsidRPr="00D11EAF" w:rsidRDefault="007C0EF0" w:rsidP="007C0EF0">
      <w:pPr>
        <w:pStyle w:val="NormalHanging12a"/>
      </w:pPr>
      <w:r w:rsidRPr="00D11EAF">
        <w:t>–</w:t>
      </w:r>
      <w:r w:rsidRPr="00D11EAF">
        <w:tab/>
        <w:t>έχοντας υπόψη τους οριστικούς ετήσιους λογαριασμούς του Οργανισμού για την υποστήριξη του BEREC (Υπηρεσία του BEREC) για το οικονομικό έτος 2022,</w:t>
      </w:r>
    </w:p>
    <w:p w:rsidR="007C0EF0" w:rsidRPr="00D11EAF" w:rsidRDefault="007C0EF0" w:rsidP="007C0EF0">
      <w:pPr>
        <w:pStyle w:val="NormalHanging12a"/>
      </w:pPr>
      <w:r w:rsidRPr="00D11EAF">
        <w:t>–</w:t>
      </w:r>
      <w:r w:rsidRPr="00D11EAF">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D11EAF">
        <w:rPr>
          <w:rStyle w:val="FootnoteReference"/>
        </w:rPr>
        <w:footnoteReference w:id="1"/>
      </w:r>
      <w:r w:rsidRPr="00D11EAF">
        <w:t>,</w:t>
      </w:r>
    </w:p>
    <w:p w:rsidR="007C0EF0" w:rsidRPr="00D11EAF" w:rsidRDefault="007C0EF0" w:rsidP="007C0EF0">
      <w:pPr>
        <w:pStyle w:val="NormalHanging12a"/>
      </w:pPr>
      <w:r w:rsidRPr="00D11EAF">
        <w:t>–</w:t>
      </w:r>
      <w:r w:rsidRPr="00D11EAF">
        <w:tab/>
        <w:t>έχοντας υπόψη τη δήλωση αξιοπιστίας</w:t>
      </w:r>
      <w:r w:rsidRPr="00D11EAF">
        <w:rPr>
          <w:rStyle w:val="FootnoteReference"/>
        </w:rPr>
        <w:footnoteReference w:id="2"/>
      </w:r>
      <w:r w:rsidRPr="00D11EAF">
        <w:t xml:space="preserve"> η οποία βεβαιώνει την ακρίβεια των λογαριασμών και τη νομιμότητα και κανονικότητα των σχετικών πράξεων, την οποία </w:t>
      </w:r>
      <w:proofErr w:type="spellStart"/>
      <w:r w:rsidRPr="00D11EAF">
        <w:t>ενεχείρισε</w:t>
      </w:r>
      <w:proofErr w:type="spellEnd"/>
      <w:r w:rsidRPr="00D11EAF">
        <w:t xml:space="preserve"> το Ελεγκτικό Συνέδριο για το οικονομικό έτος 2022, σύμφωνα με το άρθρο 287 της Συνθήκης για τη λειτουργία της Ευρωπαϊκής Ένωσης,</w:t>
      </w:r>
    </w:p>
    <w:p w:rsidR="007C0EF0" w:rsidRPr="00D11EAF" w:rsidRDefault="007C0EF0" w:rsidP="007C0EF0">
      <w:pPr>
        <w:pStyle w:val="NormalHanging12a"/>
      </w:pPr>
      <w:r w:rsidRPr="00D11EAF">
        <w:t>–</w:t>
      </w:r>
      <w:r w:rsidRPr="00D11EAF">
        <w:tab/>
        <w:t>έχοντας υπόψη τη σύσταση του Συμβουλίου, της 22ας Φεβρουαρίου 2024, σχετικά με την απαλλαγή του Οργανισμού όσον αφορά την εκτέλεση του προϋπολογισμού για το οικονομικό έτος 2022 (</w:t>
      </w:r>
      <w:r w:rsidR="001F61B6" w:rsidRPr="00D11EAF">
        <w:t>0</w:t>
      </w:r>
      <w:r w:rsidR="001F61B6">
        <w:t>6180</w:t>
      </w:r>
      <w:r w:rsidRPr="00D11EAF">
        <w:t>/2024 – C9-</w:t>
      </w:r>
      <w:r w:rsidR="001F61B6" w:rsidRPr="00D11EAF">
        <w:t>00</w:t>
      </w:r>
      <w:r w:rsidR="001F61B6">
        <w:t>79</w:t>
      </w:r>
      <w:r w:rsidRPr="00D11EAF">
        <w:t>/2024),</w:t>
      </w:r>
    </w:p>
    <w:p w:rsidR="007C0EF0" w:rsidRPr="00D11EAF" w:rsidRDefault="007C0EF0" w:rsidP="007C0EF0">
      <w:pPr>
        <w:pStyle w:val="NormalHanging12a"/>
      </w:pPr>
      <w:r w:rsidRPr="00D11EAF">
        <w:t>–</w:t>
      </w:r>
      <w:r w:rsidRPr="00D11EAF">
        <w:tab/>
        <w:t>έχοντας υπόψη το άρθρο 319 της Συνθήκης για τη λειτουργία της Ευρωπαϊκής Ένωσης,</w:t>
      </w:r>
    </w:p>
    <w:p w:rsidR="007C0EF0" w:rsidRPr="00D11EAF" w:rsidRDefault="007C0EF0" w:rsidP="007C0EF0">
      <w:pPr>
        <w:pStyle w:val="NormalHanging12a"/>
      </w:pPr>
      <w:r w:rsidRPr="00D11EAF">
        <w:t>–</w:t>
      </w:r>
      <w:r w:rsidRPr="00D11EAF">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D11EAF">
        <w:lastRenderedPageBreak/>
        <w:t>την κατάργηση του κανονισμού (ΕΕ, Ευρατόμ) αριθ. 966/2012</w:t>
      </w:r>
      <w:r w:rsidRPr="00D11EAF">
        <w:rPr>
          <w:rStyle w:val="FootnoteReference"/>
        </w:rPr>
        <w:footnoteReference w:id="3"/>
      </w:r>
      <w:r w:rsidRPr="00D11EAF">
        <w:t>, και ιδίως το άρθρο 70,</w:t>
      </w:r>
    </w:p>
    <w:p w:rsidR="007C0EF0" w:rsidRPr="00D11EAF" w:rsidRDefault="007C0EF0" w:rsidP="007C0EF0">
      <w:pPr>
        <w:pStyle w:val="NormalHanging12a"/>
      </w:pPr>
      <w:r w:rsidRPr="00D11EAF">
        <w:t>–</w:t>
      </w:r>
      <w:r w:rsidRPr="00D11EAF">
        <w:tab/>
        <w:t>έχοντας υπόψη τον κανονισμό (ΕΕ) 2018/1971 του Ευρωπαϊκού Κοινοβουλίου και του Συμβουλίου, της 11ης Δεκεμβρίου 2018, για την ίδρυση του Φορέα Ευρωπαϊκών Ρυθμιστικών Αρχών για τις Ηλεκτρονικές Επικοινωνίες (BEREC) και του Οργανισμού για την υποστήριξη του BEREC (Υπηρεσία του BEREC), την τροποποίηση του κανονισμού (ΕΕ) 2015/2120 και την κατάργηση του κανονισμού (ΕΚ) αριθ. 1211/2009</w:t>
      </w:r>
      <w:r w:rsidRPr="00D11EAF">
        <w:rPr>
          <w:rStyle w:val="FootnoteReference"/>
        </w:rPr>
        <w:footnoteReference w:id="4"/>
      </w:r>
      <w:r w:rsidRPr="00D11EAF">
        <w:t>, και ιδίως το άρθρο 28,</w:t>
      </w:r>
    </w:p>
    <w:p w:rsidR="007C0EF0" w:rsidRPr="00D11EAF" w:rsidRDefault="007C0EF0" w:rsidP="007C0EF0">
      <w:pPr>
        <w:pStyle w:val="NormalHanging12a"/>
      </w:pPr>
      <w:r w:rsidRPr="00D11EAF">
        <w:t>–</w:t>
      </w:r>
      <w:r w:rsidRPr="00D11EAF">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D11EAF">
        <w:rPr>
          <w:rStyle w:val="FootnoteReference"/>
        </w:rPr>
        <w:footnoteReference w:id="5"/>
      </w:r>
      <w:r w:rsidRPr="00D11EAF">
        <w:t>, και ιδίως το άρθρο 105,</w:t>
      </w:r>
    </w:p>
    <w:p w:rsidR="007C0EF0" w:rsidRPr="00D11EAF" w:rsidRDefault="007C0EF0" w:rsidP="007C0EF0">
      <w:pPr>
        <w:pStyle w:val="NormalHanging12a"/>
      </w:pPr>
      <w:r w:rsidRPr="00D11EAF">
        <w:t>–</w:t>
      </w:r>
      <w:r w:rsidRPr="00D11EAF">
        <w:tab/>
        <w:t>έχοντας υπόψη το άρθρο 100 και το παράρτημα V του Κανονισμού του,</w:t>
      </w:r>
    </w:p>
    <w:p w:rsidR="007C0EF0" w:rsidRPr="00D11EAF" w:rsidRDefault="007C0EF0" w:rsidP="007C0EF0">
      <w:pPr>
        <w:pStyle w:val="NormalHanging12a"/>
      </w:pPr>
      <w:r w:rsidRPr="00D11EAF">
        <w:t>–</w:t>
      </w:r>
      <w:r w:rsidRPr="00D11EAF">
        <w:tab/>
        <w:t>έχοντας υπόψη την έκθεση της Επιτροπής Ελέγχου του Προϋπολογισμού (A9-0123/2024),</w:t>
      </w:r>
    </w:p>
    <w:p w:rsidR="007C0EF0" w:rsidRPr="00D11EAF" w:rsidRDefault="007C0EF0" w:rsidP="007C0EF0">
      <w:pPr>
        <w:pStyle w:val="NormalHanging12a"/>
      </w:pPr>
      <w:r w:rsidRPr="00D11EAF">
        <w:t>1.</w:t>
      </w:r>
      <w:r w:rsidRPr="00D11EAF">
        <w:tab/>
        <w:t>χορηγεί απαλλαγή στον διευθυντή του Οργανισμού για την υποστήριξη του BEREC (Υπηρεσία του BEREC) όσον αφορά την εκτέλεση του προϋπολογισμού του Οργανισμού για το οικονομικό έτος 2022·</w:t>
      </w:r>
    </w:p>
    <w:p w:rsidR="007C0EF0" w:rsidRPr="00D11EAF" w:rsidRDefault="007C0EF0" w:rsidP="007C0EF0">
      <w:pPr>
        <w:pStyle w:val="NormalHanging12a"/>
      </w:pPr>
      <w:r w:rsidRPr="00D11EAF">
        <w:t>2.</w:t>
      </w:r>
      <w:r w:rsidRPr="00D11EAF">
        <w:tab/>
        <w:t>εκθέτει τις παρατηρήσεις του στο ψήφισμα που ακολουθεί·</w:t>
      </w:r>
    </w:p>
    <w:p w:rsidR="007C0EF0" w:rsidRPr="00D11EAF" w:rsidRDefault="007C0EF0" w:rsidP="007C0EF0">
      <w:pPr>
        <w:pStyle w:val="NormalHanging12a"/>
      </w:pPr>
      <w:r w:rsidRPr="00D11EAF">
        <w:t>3.</w:t>
      </w:r>
      <w:r w:rsidRPr="00D11EAF">
        <w:tab/>
        <w:t>αναθέτει στην Πρόεδρό του να διαβιβάσει την παρούσα απόφαση και το ψήφισμα που αποτελεί αναπόσπαστο μέρος της στον διευθυντή του Οργανισμού για την υποστήριξη του BEREC (Υπηρεσία του BEREC), στο Συμβούλιο, στην Επιτροπή και στο Ελεγκτικό Συνέδριο, και να μεριμνήσει για τη δημοσίευσή τους στην Επίσημη Εφημερίδα της Ευρωπαϊκής Ένωσης (σειρά L).</w:t>
      </w:r>
    </w:p>
    <w:p w:rsidR="007C0EF0" w:rsidRPr="00D11EAF" w:rsidRDefault="007C0EF0" w:rsidP="007C0EF0"/>
    <w:p w:rsidR="007C0EF0" w:rsidRPr="00D11EAF" w:rsidRDefault="007C0EF0" w:rsidP="007C0EF0">
      <w:pPr>
        <w:pStyle w:val="PageHeading"/>
        <w:sectPr w:rsidR="007C0EF0" w:rsidRPr="00D11EAF" w:rsidSect="00D11EA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C0EF0" w:rsidRPr="00D11EAF" w:rsidRDefault="001F61B6" w:rsidP="001F61B6">
      <w:pPr>
        <w:pStyle w:val="ATHeading3"/>
      </w:pPr>
      <w:r>
        <w:t xml:space="preserve">2. Απόφαση του Ευρωπαϊκού Κοινοβουλίου της 11 Απριλίου 2024 </w:t>
      </w:r>
      <w:r w:rsidR="007C0EF0" w:rsidRPr="00D11EAF">
        <w:t>σχετικά με το κλείσιμο των λογαριασμών του Οργανισμού για την υποστήριξη του BEREC (Υπηρεσία του BEREC) για το οικονομικό έτος 2022·(2023/2141(DEC))</w:t>
      </w:r>
    </w:p>
    <w:p w:rsidR="007C0EF0" w:rsidRPr="00D11EAF" w:rsidRDefault="007C0EF0" w:rsidP="007C0EF0">
      <w:pPr>
        <w:pStyle w:val="EPComma"/>
      </w:pPr>
      <w:r w:rsidRPr="00D11EAF">
        <w:t>Το Ευρωπαϊκό Κοινοβούλιο,</w:t>
      </w:r>
    </w:p>
    <w:p w:rsidR="007C0EF0" w:rsidRPr="00D11EAF" w:rsidRDefault="007C0EF0" w:rsidP="007C0EF0">
      <w:pPr>
        <w:pStyle w:val="NormalHanging12a"/>
      </w:pPr>
      <w:r w:rsidRPr="00D11EAF">
        <w:t>–</w:t>
      </w:r>
      <w:r w:rsidRPr="00D11EAF">
        <w:tab/>
        <w:t>έχοντας υπόψη τους οριστικούς ετήσιους λογαριασμούς του Οργανισμού για την υποστήριξη του BEREC (Υπηρεσία του BEREC) για το οικονομικό έτος 2022,</w:t>
      </w:r>
    </w:p>
    <w:p w:rsidR="007C0EF0" w:rsidRPr="00D11EAF" w:rsidRDefault="007C0EF0" w:rsidP="007C0EF0">
      <w:pPr>
        <w:pStyle w:val="NormalHanging12a"/>
      </w:pPr>
      <w:r w:rsidRPr="00D11EAF">
        <w:t>–</w:t>
      </w:r>
      <w:r w:rsidRPr="00D11EAF">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D11EAF">
        <w:rPr>
          <w:rStyle w:val="FootnoteReference"/>
        </w:rPr>
        <w:footnoteReference w:id="6"/>
      </w:r>
      <w:r w:rsidRPr="00D11EAF">
        <w:t>,</w:t>
      </w:r>
    </w:p>
    <w:p w:rsidR="007C0EF0" w:rsidRPr="00D11EAF" w:rsidRDefault="007C0EF0" w:rsidP="007C0EF0">
      <w:pPr>
        <w:pStyle w:val="NormalHanging12a"/>
      </w:pPr>
      <w:r w:rsidRPr="00D11EAF">
        <w:t>–</w:t>
      </w:r>
      <w:r w:rsidRPr="00D11EAF">
        <w:tab/>
        <w:t>έχοντας υπόψη τη δήλωση αξιοπιστίας</w:t>
      </w:r>
      <w:r w:rsidRPr="00D11EAF">
        <w:rPr>
          <w:rStyle w:val="FootnoteReference"/>
        </w:rPr>
        <w:footnoteReference w:id="7"/>
      </w:r>
      <w:r w:rsidRPr="00D11EAF">
        <w:t xml:space="preserve"> η οποία βεβαιώνει την ακρίβεια των λογαριασμών και τη νομιμότητα και κανονικότητα των σχετικών πράξεων, την οποία </w:t>
      </w:r>
      <w:proofErr w:type="spellStart"/>
      <w:r w:rsidRPr="00D11EAF">
        <w:t>ενεχείρισε</w:t>
      </w:r>
      <w:proofErr w:type="spellEnd"/>
      <w:r w:rsidRPr="00D11EAF">
        <w:t xml:space="preserve"> το Ελεγκτικό Συνέδριο για το οικονομικό έτος 2022, σύμφωνα με το άρθρο 287 της Συνθήκης για τη λειτουργία της Ευρωπαϊκής Ένωσης,</w:t>
      </w:r>
    </w:p>
    <w:p w:rsidR="007C0EF0" w:rsidRPr="00D11EAF" w:rsidRDefault="007C0EF0" w:rsidP="007C0EF0">
      <w:pPr>
        <w:pStyle w:val="NormalHanging12a"/>
      </w:pPr>
      <w:r w:rsidRPr="00D11EAF">
        <w:t>–</w:t>
      </w:r>
      <w:r w:rsidRPr="00D11EAF">
        <w:tab/>
        <w:t>έχοντας υπόψη τη σύσταση του Συμβουλίου, της 22ας Φεβρουαρίου 2024, σχετικά με την απαλλαγή του Οργανισμού όσον αφορά την εκτέλεση του προϋπολογισμού για το οικονομικό έτος 2022 (</w:t>
      </w:r>
      <w:r w:rsidR="001F61B6" w:rsidRPr="00D11EAF">
        <w:t>0</w:t>
      </w:r>
      <w:r w:rsidR="001F61B6">
        <w:t>6180</w:t>
      </w:r>
      <w:r w:rsidRPr="00D11EAF">
        <w:t>/2024 – C9-00</w:t>
      </w:r>
      <w:r w:rsidR="001F61B6">
        <w:t>79</w:t>
      </w:r>
      <w:r w:rsidRPr="00D11EAF">
        <w:t>/2024),</w:t>
      </w:r>
    </w:p>
    <w:p w:rsidR="007C0EF0" w:rsidRPr="00D11EAF" w:rsidRDefault="007C0EF0" w:rsidP="007C0EF0">
      <w:pPr>
        <w:pStyle w:val="NormalHanging12a"/>
      </w:pPr>
      <w:r w:rsidRPr="00D11EAF">
        <w:t>–</w:t>
      </w:r>
      <w:r w:rsidRPr="00D11EAF">
        <w:tab/>
        <w:t>έχοντας υπόψη το άρθρο 319 της Συνθήκης για τη λειτουργία της Ευρωπαϊκής Ένωσης,</w:t>
      </w:r>
    </w:p>
    <w:p w:rsidR="007C0EF0" w:rsidRPr="00D11EAF" w:rsidRDefault="007C0EF0" w:rsidP="007C0EF0">
      <w:pPr>
        <w:pStyle w:val="NormalHanging12a"/>
      </w:pPr>
      <w:r w:rsidRPr="00D11EAF">
        <w:t>–</w:t>
      </w:r>
      <w:r w:rsidRPr="00D11EAF">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11EAF">
        <w:rPr>
          <w:rStyle w:val="FootnoteReference"/>
        </w:rPr>
        <w:footnoteReference w:id="8"/>
      </w:r>
      <w:r w:rsidRPr="00D11EAF">
        <w:t>, και ιδίως το άρθρο 70,</w:t>
      </w:r>
    </w:p>
    <w:p w:rsidR="007C0EF0" w:rsidRPr="00D11EAF" w:rsidRDefault="007C0EF0" w:rsidP="007C0EF0">
      <w:pPr>
        <w:pStyle w:val="NormalHanging12a"/>
      </w:pPr>
      <w:r w:rsidRPr="00D11EAF">
        <w:t>–</w:t>
      </w:r>
      <w:r w:rsidRPr="00D11EAF">
        <w:tab/>
        <w:t>έχοντας υπόψη τον κανονισμό (ΕΕ) 2018/1971 του Ευρωπαϊκού Κοινοβουλίου και του Συμβουλίου, της 11ης Δεκεμβρίου 2018, για την ίδρυση του Φορέα Ευρωπαϊκών Ρυθμιστικών Αρχών για τις Ηλεκτρονικές Επικοινωνίες (BEREC) και του Οργανισμού για την υποστήριξη του BEREC (Υπηρεσία του BEREC), την τροποποίηση του κανονισμού (ΕΕ) 2015/2120 και την κατάργηση του κανονισμού (ΕΚ) αριθ. 1211/2009</w:t>
      </w:r>
      <w:r w:rsidRPr="00D11EAF">
        <w:rPr>
          <w:rStyle w:val="FootnoteReference"/>
        </w:rPr>
        <w:footnoteReference w:id="9"/>
      </w:r>
      <w:r w:rsidRPr="00D11EAF">
        <w:t>, και ιδίως το άρθρο 28,</w:t>
      </w:r>
    </w:p>
    <w:p w:rsidR="007C0EF0" w:rsidRPr="00D11EAF" w:rsidRDefault="007C0EF0" w:rsidP="007C0EF0">
      <w:pPr>
        <w:pStyle w:val="NormalHanging12a"/>
      </w:pPr>
      <w:r w:rsidRPr="00D11EAF">
        <w:t>–</w:t>
      </w:r>
      <w:r w:rsidRPr="00D11EAF">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D11EAF">
        <w:rPr>
          <w:rStyle w:val="FootnoteReference"/>
        </w:rPr>
        <w:footnoteReference w:id="10"/>
      </w:r>
      <w:r w:rsidRPr="00D11EAF">
        <w:t>, και ιδίως το άρθρο 105,</w:t>
      </w:r>
    </w:p>
    <w:p w:rsidR="007C0EF0" w:rsidRPr="00D11EAF" w:rsidRDefault="007C0EF0" w:rsidP="007C0EF0">
      <w:pPr>
        <w:pStyle w:val="NormalHanging12a"/>
      </w:pPr>
      <w:r w:rsidRPr="00D11EAF">
        <w:t>–</w:t>
      </w:r>
      <w:r w:rsidRPr="00D11EAF">
        <w:tab/>
        <w:t>έχοντας υπόψη το άρθρο 100 και το παράρτημα V του Κανονισμού του,</w:t>
      </w:r>
    </w:p>
    <w:p w:rsidR="007C0EF0" w:rsidRPr="00D11EAF" w:rsidRDefault="007C0EF0" w:rsidP="007C0EF0">
      <w:pPr>
        <w:pStyle w:val="NormalHanging12a"/>
      </w:pPr>
      <w:r w:rsidRPr="00D11EAF">
        <w:t>–</w:t>
      </w:r>
      <w:r w:rsidRPr="00D11EAF">
        <w:tab/>
        <w:t>έχοντας υπόψη την έκθεση της Επιτροπής Ελέγχου του Προϋπολογισμού (A9-0123/2024),</w:t>
      </w:r>
    </w:p>
    <w:p w:rsidR="007C0EF0" w:rsidRPr="00D11EAF" w:rsidRDefault="00BC0C48" w:rsidP="00BC0C48">
      <w:pPr>
        <w:pStyle w:val="NormalHanging12a"/>
        <w:ind w:hanging="570"/>
      </w:pPr>
      <w:r w:rsidRPr="00D11EAF">
        <w:t>1.</w:t>
      </w:r>
      <w:r w:rsidRPr="00D11EAF">
        <w:tab/>
      </w:r>
      <w:r w:rsidR="007C0EF0" w:rsidRPr="00D11EAF">
        <w:t>εγκρίνει το κλείσιμο των λογαριασμών του Οργανισμού για την υποστήριξη του BEREC (Υπηρεσία του BEREC) για το οικονομικό έτος 2022·</w:t>
      </w:r>
    </w:p>
    <w:p w:rsidR="007C0EF0" w:rsidRPr="00D11EAF" w:rsidRDefault="00BC0C48" w:rsidP="00BC0C48">
      <w:pPr>
        <w:pStyle w:val="NormalHanging12a"/>
        <w:ind w:hanging="570"/>
      </w:pPr>
      <w:r w:rsidRPr="00D11EAF">
        <w:t>2.</w:t>
      </w:r>
      <w:r w:rsidRPr="00D11EAF">
        <w:tab/>
      </w:r>
      <w:r w:rsidR="007C0EF0" w:rsidRPr="00D11EAF">
        <w:t>αναθέτει στην Πρόεδρό του να διαβιβάσει την παρούσα απόφαση στον διευθυντή του Οργανισμού για την υποστήριξη του BEREC (Υπηρεσία του BEREC), στο Συμβούλιο, στην Επιτροπή και στο Ελεγκτικό Συνέδριο, και να μεριμνήσει για τη δημοσίευσή της στην Επίσημη Εφημερίδα της Ευρωπαϊκής Ένωσης (σειρά L).</w:t>
      </w:r>
    </w:p>
    <w:p w:rsidR="007C0EF0" w:rsidRPr="00D11EAF" w:rsidRDefault="007C0EF0" w:rsidP="007C0EF0"/>
    <w:p w:rsidR="007C0EF0" w:rsidRPr="00D11EAF" w:rsidRDefault="007C0EF0" w:rsidP="007C0EF0">
      <w:pPr>
        <w:pStyle w:val="PageHeading"/>
        <w:sectPr w:rsidR="007C0EF0" w:rsidRPr="00D11EAF" w:rsidSect="00D11EAF">
          <w:footnotePr>
            <w:numRestart w:val="eachPage"/>
          </w:footnotePr>
          <w:endnotePr>
            <w:numFmt w:val="decimal"/>
          </w:endnotePr>
          <w:pgSz w:w="11906" w:h="16838" w:code="9"/>
          <w:pgMar w:top="1134" w:right="1418" w:bottom="1418" w:left="1418" w:header="567" w:footer="567" w:gutter="0"/>
          <w:cols w:space="720"/>
          <w:noEndnote/>
          <w:docGrid w:linePitch="326"/>
        </w:sectPr>
      </w:pPr>
    </w:p>
    <w:p w:rsidR="007C0EF0" w:rsidRPr="00D11EAF" w:rsidRDefault="001F61B6" w:rsidP="001F61B6">
      <w:pPr>
        <w:pStyle w:val="ATHeading3"/>
      </w:pPr>
      <w:r>
        <w:t xml:space="preserve">3. Ψήφισμα του Ευρωπαϊκού Κοινοβουλίου της 11ης Απριλίου 2024 </w:t>
      </w:r>
      <w:r w:rsidR="007C0EF0" w:rsidRPr="00D11EAF">
        <w:t>με τις παρατηρήσεις που αποτελούν αναπόσπαστο μέρος της απόφασης σχετικά με την απαλλαγή όσον αφορά την εκτέλεση του προϋπολογισμού του Οργανισμού για την υποστήριξη του BEREC (Υπηρεσία του BEREC) για το οικονομικό έτος 2022</w:t>
      </w:r>
      <w:r w:rsidR="001A23DF">
        <w:t xml:space="preserve"> </w:t>
      </w:r>
      <w:r w:rsidR="007C0EF0" w:rsidRPr="00D11EAF">
        <w:t>(2023/2141(DEC))</w:t>
      </w:r>
    </w:p>
    <w:p w:rsidR="007C0EF0" w:rsidRPr="00D11EAF" w:rsidRDefault="007C0EF0" w:rsidP="007C0EF0">
      <w:pPr>
        <w:pStyle w:val="EPComma"/>
      </w:pPr>
      <w:r w:rsidRPr="00D11EAF">
        <w:t>Το Ευρωπαϊκό Κοινοβούλιο,</w:t>
      </w:r>
    </w:p>
    <w:p w:rsidR="007C0EF0" w:rsidRPr="00D11EAF" w:rsidRDefault="007C0EF0" w:rsidP="007C0EF0">
      <w:pPr>
        <w:pStyle w:val="NormalHanging12a"/>
      </w:pPr>
      <w:r w:rsidRPr="00D11EAF">
        <w:t>–</w:t>
      </w:r>
      <w:r w:rsidRPr="00D11EAF">
        <w:tab/>
        <w:t>έχοντας υπόψη την απόφασή του σχετικά με την απαλλαγή όσον αφορά την εκτέλεση του προϋπολογισμού του Οργανισμού για την υποστήριξη του BEREC (ο Οργανισμός) για το οικονομικό έτος 2022,</w:t>
      </w:r>
    </w:p>
    <w:p w:rsidR="007C0EF0" w:rsidRPr="00D11EAF" w:rsidRDefault="007C0EF0" w:rsidP="007C0EF0">
      <w:pPr>
        <w:pStyle w:val="NormalHanging12a"/>
      </w:pPr>
      <w:r w:rsidRPr="00D11EAF">
        <w:t>–</w:t>
      </w:r>
      <w:r w:rsidRPr="00D11EAF">
        <w:tab/>
        <w:t>έχοντας υπόψη το άρθρο 100 και το παράρτημα V του Κανονισμού του,</w:t>
      </w:r>
    </w:p>
    <w:p w:rsidR="007C0EF0" w:rsidRPr="00D11EAF" w:rsidRDefault="007C0EF0" w:rsidP="007C0EF0">
      <w:pPr>
        <w:pStyle w:val="NormalHanging12a"/>
      </w:pPr>
      <w:r w:rsidRPr="00D11EAF">
        <w:t>–</w:t>
      </w:r>
      <w:r w:rsidRPr="00D11EAF">
        <w:tab/>
        <w:t>έχοντας υπόψη την έκθεση της Επιτροπής Ελέγχου του Προϋπολογισμού (A9-0123/2024),</w:t>
      </w:r>
    </w:p>
    <w:p w:rsidR="007C0EF0" w:rsidRPr="00D11EAF" w:rsidRDefault="007C0EF0" w:rsidP="007C0EF0">
      <w:pPr>
        <w:pStyle w:val="NormalHanging12a"/>
        <w:rPr>
          <w:szCs w:val="24"/>
        </w:rPr>
      </w:pPr>
      <w:r w:rsidRPr="00D11EAF">
        <w:t>Α.</w:t>
      </w:r>
      <w:r w:rsidRPr="00D11EAF">
        <w:tab/>
        <w:t>λαμβάνοντας υπόψη ότι, σύμφωνα με την κατάσταση εσόδων και δαπανών του</w:t>
      </w:r>
      <w:r w:rsidRPr="00D11EAF">
        <w:rPr>
          <w:rFonts w:eastAsiaTheme="minorHAnsi"/>
          <w:szCs w:val="24"/>
          <w:vertAlign w:val="superscript"/>
          <w:lang w:eastAsia="en-US"/>
        </w:rPr>
        <w:footnoteReference w:id="11"/>
      </w:r>
      <w:r w:rsidRPr="00D11EAF">
        <w:t>, ο οριστικός προϋπολογισμός του Οργανισμού για το οικονομικό έτος 2022 ανήλθε σε 24.827.843 EUR, ποσό που συνιστά αύξηση κατά 1,19% σε σύγκριση με το 2021· λαμβάνοντας υπόψη ότι ο προϋπολογισμός του Οργανισμού προέρχεται κυρίως από τον προϋπολογισμό της Ένωσης·</w:t>
      </w:r>
    </w:p>
    <w:p w:rsidR="007C0EF0" w:rsidRPr="00D11EAF" w:rsidRDefault="007C0EF0" w:rsidP="007C0EF0">
      <w:pPr>
        <w:pStyle w:val="NormalHanging12a"/>
        <w:rPr>
          <w:szCs w:val="24"/>
        </w:rPr>
      </w:pPr>
      <w:r w:rsidRPr="00D11EAF">
        <w:t>Β.</w:t>
      </w:r>
      <w:r w:rsidRPr="00D11EAF">
        <w:tab/>
        <w:t>λαμβάνοντας υπόψη ότι το Ελεγκτικό Συνέδριο, στην έκθεσή του για τους ετήσιους λογαριασμούς του Οργανισμού για το οικονομικό έτος 2022 («η έκθεση του Ελεγκτικού Συνεδρίου»), δηλώνει πως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7C0EF0" w:rsidRPr="00D11EAF" w:rsidRDefault="007C0EF0" w:rsidP="007C0EF0">
      <w:pPr>
        <w:pStyle w:val="NormalHanging12a"/>
        <w:rPr>
          <w:szCs w:val="24"/>
        </w:rPr>
      </w:pPr>
      <w:r w:rsidRPr="00D11EAF">
        <w:t>Γ.</w:t>
      </w:r>
      <w:r w:rsidRPr="00D11EAF">
        <w:tab/>
        <w:t>λαμβάνοντας υπόψη ότι, όσον αφορά τον τομέα των δημόσιων συμβάσεων του Οργανισμού, δεν αναφέρθηκαν ζητήματα που να απαιτούν διορθωτικές ενέργειες για το 2022, ούτε υπάρχουν εν εξελίξει ή εκκρεμή διορθωτικά μέτρα από ελέγχους και αξιολογήσεις προηγούμενων ετών·</w:t>
      </w:r>
    </w:p>
    <w:p w:rsidR="007C0EF0" w:rsidRPr="00D11EAF" w:rsidRDefault="007C0EF0" w:rsidP="007C0EF0">
      <w:pPr>
        <w:pStyle w:val="NormalHanging12a"/>
        <w:rPr>
          <w:szCs w:val="24"/>
        </w:rPr>
      </w:pPr>
      <w:r w:rsidRPr="00D11EAF">
        <w:t>Δ.</w:t>
      </w:r>
      <w:r w:rsidRPr="00D11EAF">
        <w:tab/>
        <w:t>λαμβάνοντας υπόψη ότι, όσον αφορά τα συστήματα εσωτερικού ελέγχου του Οργανισμού, δεν αναφέρθηκαν ζητήματα που να απαιτούν διορθωτικές ενέργειες για το 2022, ούτε υπάρχουν εν εξελίξει ή εκκρεμή διορθωτικά μέτρα από ελέγχους και αξιολογήσεις προηγούμενων ετών·</w:t>
      </w:r>
    </w:p>
    <w:p w:rsidR="007C0EF0" w:rsidRPr="00D11EAF" w:rsidRDefault="007C0EF0" w:rsidP="007C0EF0">
      <w:pPr>
        <w:pStyle w:val="NormalHanging12a"/>
        <w:tabs>
          <w:tab w:val="left" w:pos="1718"/>
        </w:tabs>
        <w:rPr>
          <w:b/>
          <w:i/>
          <w:szCs w:val="24"/>
        </w:rPr>
      </w:pPr>
      <w:r w:rsidRPr="00D11EAF">
        <w:rPr>
          <w:b/>
          <w:i/>
        </w:rPr>
        <w:t>Δημοσιονομική και χρηματοοικονομική διαχείριση</w:t>
      </w:r>
    </w:p>
    <w:p w:rsidR="007C0EF0" w:rsidRPr="00BC0C48" w:rsidRDefault="00BC0C48" w:rsidP="00BC0C48">
      <w:pPr>
        <w:spacing w:after="240"/>
        <w:ind w:left="567" w:hanging="570"/>
        <w:rPr>
          <w:sz w:val="22"/>
          <w:szCs w:val="22"/>
        </w:rPr>
      </w:pPr>
      <w:r w:rsidRPr="001F61B6">
        <w:rPr>
          <w:szCs w:val="22"/>
        </w:rPr>
        <w:t>1.</w:t>
      </w:r>
      <w:r w:rsidRPr="001F61B6">
        <w:rPr>
          <w:szCs w:val="22"/>
        </w:rPr>
        <w:tab/>
      </w:r>
      <w:r w:rsidR="007C0EF0" w:rsidRPr="00D11EAF">
        <w:t xml:space="preserve">σημειώνει με ικανοποίηση ότι οι προσπάθειες παρακολούθησης του προϋπολογισμού κατά τη διάρκεια του οικονομικού έτους 2022 είχαν ως αποτέλεσμα ποσοστό εκτέλεσης του προϋπολογισμού 99,99 % για τις πιστώσεις αναλήψεων υποχρεώσεων του τελικού </w:t>
      </w:r>
      <w:proofErr w:type="spellStart"/>
      <w:r w:rsidR="007C0EF0" w:rsidRPr="00D11EAF">
        <w:t>εγκριθέντος</w:t>
      </w:r>
      <w:proofErr w:type="spellEnd"/>
      <w:r w:rsidR="007C0EF0" w:rsidRPr="00D11EAF">
        <w:t xml:space="preserve"> προϋπολογισμού για το έτος, που συνιστά αύξηση κατά 0,02 % σε σύγκριση με το 2021· επικροτεί το γεγονός ότι το ποσοστό εκτέλεσης του προϋπολογισμού βρίσκεται εντός του ορίου άνω του 95 % που έχει καθοριστεί από το διοικητικό συμβούλιο·</w:t>
      </w:r>
      <w:r w:rsidR="007C0EF0" w:rsidRPr="00BC0C48">
        <w:rPr>
          <w:sz w:val="22"/>
        </w:rPr>
        <w:t xml:space="preserve"> </w:t>
      </w:r>
      <w:r w:rsidR="007C0EF0" w:rsidRPr="00D11EAF">
        <w:t>σημειώνει ότι το ποσοστό εκτέλεσης των πιστώσεων πληρωμών του τρέχοντος έτους ήταν 82,78 %, που συνιστά αύξηση κατά 13,44 % σε σύγκριση με το 2021·</w:t>
      </w:r>
    </w:p>
    <w:p w:rsidR="007C0EF0" w:rsidRPr="00D11EAF" w:rsidRDefault="007C0EF0" w:rsidP="007C0EF0">
      <w:pPr>
        <w:pStyle w:val="Normal12Hanging"/>
        <w:rPr>
          <w:b/>
          <w:i/>
          <w:szCs w:val="24"/>
        </w:rPr>
      </w:pPr>
      <w:r w:rsidRPr="00D11EAF">
        <w:rPr>
          <w:b/>
          <w:i/>
        </w:rPr>
        <w:t>Επιδόσεις</w:t>
      </w:r>
    </w:p>
    <w:p w:rsidR="007C0EF0" w:rsidRPr="00D11EAF" w:rsidRDefault="00BC0C48" w:rsidP="00BC0C48">
      <w:pPr>
        <w:pStyle w:val="NormalHanging12a"/>
        <w:ind w:hanging="570"/>
      </w:pPr>
      <w:r w:rsidRPr="00D11EAF">
        <w:t>2.</w:t>
      </w:r>
      <w:r w:rsidRPr="00D11EAF">
        <w:tab/>
      </w:r>
      <w:r w:rsidR="007C0EF0" w:rsidRPr="00D11EAF">
        <w:t>σημειώνει ότι ο Οργανισμός χρησιμοποιεί κύριους δείκτες επιδόσεων (ΚΔΕ) για την αξιολόγηση των αποτελεσμάτων που επιτεύχθηκαν σε σχέση με τους στόχους του, μεταξύ άλλων όσον αφορά τη στήριξη των ομάδων εργασίας, τις δραστηριότητες επικοινωνίας, την κεντρική χρηματοδότηση, τις δημόσιες συμβάσεις και τη διαχείριση ανθρώπινων πόρων· σημειώνει ότι οι περισσότεροι στόχοι έχουν επιτευχθεί, αλλά συνιστά να αντιμετωπιστούν οι ΚΔΕ που παραμένουν ανεκπλήρωτοι ή προχωρούν με βραδύτερο ρυθμό από τον αναμενόμενο (π.χ. βελτίωση της διαδικασίας επιστροφής εξόδων μέσω της προηγμένης πύλης για συνεδριάσεις (AGM), υπογραφή σύμβασης για την υποστήριξη της ανάπτυξης της «στρατηγικής ΤΠΕ του BEREC 2022-2025»)· συνιστά στον Οργανισμό να συντονίζει τους ΚΔΕ σε τακτική βάση, προκειμένου να βελτιστοποιήσει τις επιδόσεις του·</w:t>
      </w:r>
    </w:p>
    <w:p w:rsidR="007C0EF0" w:rsidRPr="00D11EAF" w:rsidRDefault="00BC0C48" w:rsidP="00BC0C48">
      <w:pPr>
        <w:pStyle w:val="Normal12Hanging"/>
        <w:ind w:hanging="570"/>
      </w:pPr>
      <w:r w:rsidRPr="00D11EAF">
        <w:t>3.</w:t>
      </w:r>
      <w:r w:rsidRPr="00D11EAF">
        <w:tab/>
      </w:r>
      <w:r w:rsidR="007C0EF0" w:rsidRPr="00D11EAF">
        <w:t>επικροτεί το γεγονός ότι ο Οργανισμός συνέχισε να παρέχει υψηλής ποιότητας διοικητική και επαγγελματική υποστήριξη στο ρυθμιστικό συμβούλιο του BEREC, το δίκτυο επαφών του BEREC, τις δημόσιες ενημερώσεις, και τις ομάδες εργασίας του BEREC, συμπεριλαμβανομένων των ad hoc ομάδων εργασίας και της συμβουλευτικής ομάδας της Υπηρεσίας του BEREC (BAG)·</w:t>
      </w:r>
    </w:p>
    <w:p w:rsidR="007C0EF0" w:rsidRPr="00D11EAF" w:rsidRDefault="00BC0C48" w:rsidP="00BC0C48">
      <w:pPr>
        <w:pStyle w:val="NormalHanging12a"/>
        <w:ind w:hanging="570"/>
      </w:pPr>
      <w:r w:rsidRPr="00D11EAF">
        <w:t>4.</w:t>
      </w:r>
      <w:r w:rsidRPr="00D11EAF">
        <w:tab/>
      </w:r>
      <w:r w:rsidR="007C0EF0" w:rsidRPr="00D11EAF">
        <w:t>εκφράζει ικανοποίηση για το γεγονός ότι η ρυθμιστική αρχή τηλεπικοινωνιών NCEC της Ουκρανίας συμπεριλήφθηκε στον Οργανισμό ως μέλος χωρίς δικαίωμα ψήφου·</w:t>
      </w:r>
    </w:p>
    <w:p w:rsidR="007C0EF0" w:rsidRPr="00D11EAF" w:rsidRDefault="007C0EF0" w:rsidP="007C0EF0">
      <w:pPr>
        <w:pStyle w:val="Normal12Hanging"/>
        <w:rPr>
          <w:b/>
          <w:i/>
          <w:szCs w:val="24"/>
        </w:rPr>
      </w:pPr>
      <w:r w:rsidRPr="00D11EAF">
        <w:rPr>
          <w:b/>
          <w:i/>
        </w:rPr>
        <w:t>Αποδοτικότητα και οφέλη</w:t>
      </w:r>
    </w:p>
    <w:p w:rsidR="007C0EF0" w:rsidRPr="00D11EAF" w:rsidRDefault="00BC0C48" w:rsidP="00BC0C48">
      <w:pPr>
        <w:pStyle w:val="Normal12Hanging"/>
        <w:ind w:hanging="570"/>
        <w:rPr>
          <w:szCs w:val="24"/>
        </w:rPr>
      </w:pPr>
      <w:r w:rsidRPr="00D11EAF">
        <w:rPr>
          <w:szCs w:val="24"/>
        </w:rPr>
        <w:t>5.</w:t>
      </w:r>
      <w:r w:rsidRPr="00D11EAF">
        <w:rPr>
          <w:szCs w:val="24"/>
        </w:rPr>
        <w:tab/>
      </w:r>
      <w:r w:rsidR="007C0EF0" w:rsidRPr="00D11EAF">
        <w:t>σημειώνει ότι οι δράσεις για τη βελτίωση της αποδοτικότητας το 2022 αφορούσαν τους ακόλουθους κύριους τομείς: συγκέντρωση ορισμένων λειτουργιών, δημόσιες συμβάσεις, βελτίωση της αποδοτικότητας με την αυξημένη χρήση εφαρμογών ΤΠ της Επιτροπής ή την εισαγωγή νέων, και χρήση εξωτερικών πόρων για την αντιστάθμιση της έλλειψης ικανότητας ανθρώπινου δυναμικού ή για καθήκοντα τεχνικού και βοηθητικού χαρακτήρα·</w:t>
      </w:r>
    </w:p>
    <w:p w:rsidR="007C0EF0" w:rsidRPr="00D11EAF" w:rsidRDefault="00BC0C48" w:rsidP="00BC0C48">
      <w:pPr>
        <w:pStyle w:val="Normal12Hanging"/>
        <w:ind w:hanging="570"/>
        <w:rPr>
          <w:szCs w:val="24"/>
        </w:rPr>
      </w:pPr>
      <w:r w:rsidRPr="00D11EAF">
        <w:rPr>
          <w:szCs w:val="24"/>
        </w:rPr>
        <w:t>6.</w:t>
      </w:r>
      <w:r w:rsidRPr="00D11EAF">
        <w:rPr>
          <w:szCs w:val="24"/>
        </w:rPr>
        <w:tab/>
      </w:r>
      <w:r w:rsidR="007C0EF0" w:rsidRPr="00D11EAF">
        <w:t>σημειώνει ότι στον τομέα των δημόσιων συμβάσεων το 2022 ο Οργανισμός συνέχισε να χρησιμοποιεί διοργανικές διαδικασίες σύναψης συμβάσεων και συμμετείχε σε επτά διοργανικές διαδικασίες σύναψης συμβάσεων, γεγονός που είχε ως αποτέλεσμα τη σύναψη έξι συμβάσεων-πλαισίου κατά την περίοδο αναφοράς·</w:t>
      </w:r>
    </w:p>
    <w:p w:rsidR="007C0EF0" w:rsidRPr="00D11EAF" w:rsidRDefault="00BC0C48" w:rsidP="00BC0C48">
      <w:pPr>
        <w:pStyle w:val="Normal12Hanging"/>
        <w:ind w:hanging="570"/>
        <w:rPr>
          <w:szCs w:val="24"/>
        </w:rPr>
      </w:pPr>
      <w:r w:rsidRPr="00D11EAF">
        <w:rPr>
          <w:szCs w:val="24"/>
        </w:rPr>
        <w:t>7.</w:t>
      </w:r>
      <w:r w:rsidRPr="00D11EAF">
        <w:rPr>
          <w:szCs w:val="24"/>
        </w:rPr>
        <w:tab/>
      </w:r>
      <w:r w:rsidR="007C0EF0" w:rsidRPr="00D11EAF">
        <w:t>επικροτεί τη βελτίωση της αποδοτικότητας που επιτυγχάνεται με την εντατικότερη χρήση ή την εισαγωγή πρόσθετων εφαρμογών ΤΠ της Επιτροπής· σημειώνει, ειδικότερα, ότι το 2022 ο Οργανισμός είχε χρησιμοποιήσει πλήρως και ενεργά όλες τις βασικές ενότητες του Sysper2, π.χ. διαχείριση ταυτότητας, διαχείριση οργανισμών, διαχείριση δεδομένων προσωπικού χαρακτήρα, συνθήκες εργασίας, διαχείριση ταλέντων και διαχείριση εγγράφων, και τρεις από τις προαιρετικές ενότητες, π.χ. ευέλικτο ωράριο εργασίας, τηλεργασία και ατομικά δικαιώματα·</w:t>
      </w:r>
    </w:p>
    <w:p w:rsidR="007C0EF0" w:rsidRPr="00D11EAF" w:rsidRDefault="00BC0C48" w:rsidP="00BC0C48">
      <w:pPr>
        <w:pStyle w:val="NormalHanging12a"/>
        <w:ind w:hanging="570"/>
      </w:pPr>
      <w:r w:rsidRPr="00D11EAF">
        <w:t>8.</w:t>
      </w:r>
      <w:r w:rsidRPr="00D11EAF">
        <w:tab/>
      </w:r>
      <w:r w:rsidR="007C0EF0" w:rsidRPr="00D11EAF">
        <w:t>σημειώνει ότι ο Οργανισμός λειτουργεί από τη σύστασή του με έλλειψη ανθρώπινων πόρων για ορισμένες θέσεις· σημειώνει ότι ο Οργανισμός αντισταθμίζει ορισμένους περιορισμούς ικανότητας, όπου είναι εφικτό, δίνοντας προτεραιότητα στη χρήση των υπηρεσιών που παρέχονται από την Επιτροπή και άλλους οργανισμούς της ΕΕ ως πρωταρχική λύση· παρατηρεί ότι η προσέγγιση αυτή περιλαμβάνει υπηρεσίες μόχλευσης που παρέχονται από το Γραφείο Διαχείρισης και Εκκαθάρισης των Ατομικών Δικαιωμάτων (PMO) της Επιτροπής και την ομάδα αντιμετώπισης έκτακτων αναγκών στην πληροφορική για τα θεσμικά όργανα και τους οργανισμούς της ΕΕ (CERT-ΕΕ) σε σχέση με τις υπηρεσίες ΤΠ και ασφάλειας· εκφράζει την ικανοποίησή του για το γεγονός ότι ο Οργανισμός έχει πολύ επιτυχημένη συνεργασία με το Γραφείο Διανοητικής Ιδιοκτησίας της Ευρωπαϊκής Ένωσης στον τομέα των ΤΠ, ο οποίος περιλαμβάνει τη φιλοξενία, την ανάπτυξη ΤΠ, την αποκατάσταση μετά από καταστροφή, την ανάπτυξη του νέου σχεδιασμού του δικτυακού τόπου του Οργανισμού και άλλες υπηρεσίες ΤΠ·</w:t>
      </w:r>
    </w:p>
    <w:p w:rsidR="007C0EF0" w:rsidRPr="00D11EAF" w:rsidRDefault="00BC0C48" w:rsidP="00BC0C48">
      <w:pPr>
        <w:pStyle w:val="NormalHanging12a"/>
        <w:ind w:hanging="570"/>
      </w:pPr>
      <w:r w:rsidRPr="00D11EAF">
        <w:t>9.</w:t>
      </w:r>
      <w:r w:rsidRPr="00D11EAF">
        <w:tab/>
      </w:r>
      <w:r w:rsidR="007C0EF0" w:rsidRPr="00D11EAF">
        <w:t xml:space="preserve">υπενθυμίζει ότι είναι σημαντικό να αυξηθεί η ψηφιοποίηση της Αρχής όσον αφορά την εσωτερική λειτουργία και διαχείριση, αλλά και προκειμένου να επιταχυνθεί η ψηφιοποίηση των διαδικασιών· τονίζει την ανάγκη να συνεχίσει ο Οργανισμός να είναι προορατικός εν προκειμένω, προκειμένου να αποφευχθεί το ψηφιακό χάσμα μεταξύ των οργανισμών· </w:t>
      </w:r>
      <w:proofErr w:type="spellStart"/>
      <w:r w:rsidR="007C0EF0" w:rsidRPr="00D11EAF">
        <w:t>εφιστά</w:t>
      </w:r>
      <w:proofErr w:type="spellEnd"/>
      <w:r w:rsidR="007C0EF0" w:rsidRPr="00D11EAF">
        <w:t>, ωστόσο, την προσοχή στην ανάγκη να ληφθούν όλα τα αναγκαία μέτρα ασφαλείας ώστε να αποφευχθεί κάθε κίνδυνος για τη διαδικτυακή ασφάλεια των πληροφοριών που υποβάλλονται σε επεξεργασία, επιμένει δε ότι είναι αναγκαίο να ενισχυθεί η αντιμετώπιση κυβερνοεπιθέσεων ή αποπειρών διείσδυσης που προέρχονται ιδιαίτερα από τη Ρωσία ή την Κίνα·</w:t>
      </w:r>
    </w:p>
    <w:p w:rsidR="007C0EF0" w:rsidRPr="00D11EAF" w:rsidRDefault="007C0EF0" w:rsidP="007C0EF0">
      <w:pPr>
        <w:pStyle w:val="Normal12Hanging"/>
        <w:rPr>
          <w:b/>
          <w:i/>
          <w:szCs w:val="24"/>
        </w:rPr>
      </w:pPr>
      <w:r w:rsidRPr="00D11EAF">
        <w:rPr>
          <w:b/>
          <w:i/>
        </w:rPr>
        <w:t>Πολιτική προσωπικού</w:t>
      </w:r>
    </w:p>
    <w:p w:rsidR="007C0EF0" w:rsidRPr="00BC0C48" w:rsidRDefault="00BC0C48" w:rsidP="00BC0C48">
      <w:pPr>
        <w:spacing w:after="240"/>
        <w:ind w:left="567" w:hanging="567"/>
        <w:rPr>
          <w:rFonts w:eastAsia="Calibri"/>
          <w:szCs w:val="24"/>
        </w:rPr>
      </w:pPr>
      <w:r w:rsidRPr="001F61B6">
        <w:rPr>
          <w:rFonts w:eastAsia="Calibri"/>
          <w:szCs w:val="24"/>
        </w:rPr>
        <w:t>10.</w:t>
      </w:r>
      <w:r w:rsidRPr="001F61B6">
        <w:rPr>
          <w:rFonts w:eastAsia="Calibri"/>
          <w:szCs w:val="24"/>
        </w:rPr>
        <w:tab/>
      </w:r>
      <w:r w:rsidR="007C0EF0" w:rsidRPr="00D11EAF">
        <w:t>σημειώνει ότι, στις 31 Δεκεμβρίου 2022, ο πίνακας προσωπικού περιλάμβανε 16 έκτακτους υπαλλήλους που είχαν εγκριθεί στο πλαίσιο του προϋπολογισμού της Ένωσης (ίδιος αριθμός εγκεκριμένων θέσεων με το 2021)· σημειώνει ότι, το 2022, επίσης εργάστηκαν για τον Οργανισμό 19 συμβασιούχοι υπάλληλοι, 8 αποσπασμένοι εθνικοί εμπειρογνώμονες και 10 προσωρινά εργαζόμενοι υπάλληλοι και σύμβουλοι·</w:t>
      </w:r>
    </w:p>
    <w:p w:rsidR="007C0EF0" w:rsidRPr="00D11EAF" w:rsidRDefault="00BC0C48" w:rsidP="00BC0C48">
      <w:pPr>
        <w:pStyle w:val="NormalHanging12a"/>
      </w:pPr>
      <w:r w:rsidRPr="00D11EAF">
        <w:t>11.</w:t>
      </w:r>
      <w:r w:rsidRPr="00D11EAF">
        <w:tab/>
      </w:r>
      <w:r w:rsidR="007C0EF0" w:rsidRPr="00D11EAF">
        <w:t>εκφράζει την ικανοποίησή του για τις προσπάθειες του Οργανισμού να ευθυγραμμίσει τη λειτουργία του με τις αρχές της κοινής δήλωσης του Ευρωπαϊκού Κοινοβουλίου, του Συμβουλίου και της Ευρωπαϊκής Επιτροπής, της 19 Ιουλίου 2012, σχετικά με τους αποκεντρωμένους οργανισμούς, συμπεριλαμβανομένου του αναμενόμενου ελάχιστου κρίσιμου μεγέθους·</w:t>
      </w:r>
    </w:p>
    <w:p w:rsidR="007C0EF0" w:rsidRPr="00D11EAF" w:rsidRDefault="00BC0C48" w:rsidP="00BC0C48">
      <w:pPr>
        <w:pStyle w:val="NormalHanging12a"/>
      </w:pPr>
      <w:r w:rsidRPr="00D11EAF">
        <w:t>12.</w:t>
      </w:r>
      <w:r w:rsidRPr="00D11EAF">
        <w:tab/>
      </w:r>
      <w:r w:rsidR="007C0EF0" w:rsidRPr="00D11EAF">
        <w:t>παρατηρεί ότι η κύρια πρόκληση στον τομέα της πολιτικής προσωπικού ήταν η υψηλή εναλλαγή προσωπικού, η οποία το 2022 ανήλθε σε 16,3 %, έναντι 4,6 % για το 2021 και 5,4 % το 2020· σημειώνει ότι η απότομη αύξηση της εναλλαγής προσωπικού επηρέασε ιδιαίτερα τη μονάδα Διοίκησης και Οικονομικών· σημειώνει ότι, για να πληρωθούν οι κενωθείσες θέσεις και να εξασφαλιστεί προσωπικό με τις νέες ικανότητες που απαιτούνται για τον Οργανισμό και τη διοίκησή του το 2022, ο Οργανισμός δρομολόγησε διαδικασίες επιλογής για την πλήρωση πέντε κενών θέσεων (μία για έκτακτους και τέσσερις για συμβασιούχους υπαλλήλους) για τις οποίες δεν διέθετε κατάλληλους πίνακες επιτυχόντων, ενώ για τις υπόλοιπες τρεις κενωθείσες θέσεις, ο Οργανισμός εξασφάλισε ταχείες προσλήψεις από τους ενεργούς πίνακες επιτυχόντων· ζητεί, ωστόσο, από τον Οργανισμό να αναλύσει τους λόγους της μεγάλης εναλλαγής προσωπικού και να προβεί στις απαραίτητες ενέργειες για να την αποφύγει στο μέλλον, και να υποβάλει έκθεση στην αρμόδια για την απαλλαγή αρχή·</w:t>
      </w:r>
    </w:p>
    <w:p w:rsidR="007C0EF0" w:rsidRPr="00BC0C48" w:rsidRDefault="00BC0C48" w:rsidP="00BC0C48">
      <w:pPr>
        <w:spacing w:after="240"/>
        <w:ind w:left="567" w:hanging="567"/>
        <w:rPr>
          <w:rFonts w:eastAsia="Calibri"/>
          <w:szCs w:val="24"/>
        </w:rPr>
      </w:pPr>
      <w:r w:rsidRPr="001F61B6">
        <w:rPr>
          <w:rFonts w:eastAsia="Calibri"/>
          <w:szCs w:val="24"/>
        </w:rPr>
        <w:t>13.</w:t>
      </w:r>
      <w:r w:rsidRPr="001F61B6">
        <w:rPr>
          <w:rFonts w:eastAsia="Calibri"/>
          <w:szCs w:val="24"/>
        </w:rPr>
        <w:tab/>
      </w:r>
      <w:r w:rsidR="007C0EF0" w:rsidRPr="00D11EAF">
        <w:t xml:space="preserve">επαινεί τις πρωτοβουλίες του Οργανισμού για τη βελτίωση των συνθηκών επαγγελματικής και προσωπικής ζωής των μελών του προσωπικού, μεταξύ άλλων με την παροχή νομικών συμβουλών για ιδιωτικά θέματα, οικονομικής στήριξης για νηπιαγωγεία, διδάκτρων για διεθνή σχολεία, μαθημάτων γλωσσών, αγαθών απαλλαγμένων από τον ΦΠΑ για τους αποσπασμένους εθνικούς εμπειρογνώμονες, προγράμματος εισαγωγής για </w:t>
      </w:r>
      <w:proofErr w:type="spellStart"/>
      <w:r w:rsidR="007C0EF0" w:rsidRPr="00D11EAF">
        <w:t>νεοαφιχθέντες</w:t>
      </w:r>
      <w:proofErr w:type="spellEnd"/>
      <w:r w:rsidR="007C0EF0" w:rsidRPr="00D11EAF">
        <w:t xml:space="preserve">, και βοήθειας για τα μέλη της οικογένειας που εγκαθίστανται στη Λετονία, ορισμένες φορές σε συνεργασία με τις </w:t>
      </w:r>
      <w:proofErr w:type="spellStart"/>
      <w:r w:rsidR="007C0EF0" w:rsidRPr="00D11EAF">
        <w:t>λετονικές</w:t>
      </w:r>
      <w:proofErr w:type="spellEnd"/>
      <w:r w:rsidR="007C0EF0" w:rsidRPr="00D11EAF">
        <w:t xml:space="preserve"> αρχές·</w:t>
      </w:r>
    </w:p>
    <w:p w:rsidR="007C0EF0" w:rsidRPr="00D11EAF" w:rsidRDefault="00BC0C48" w:rsidP="00BC0C48">
      <w:pPr>
        <w:pStyle w:val="NormalHanging12a"/>
      </w:pPr>
      <w:r w:rsidRPr="00D11EAF">
        <w:t>14.</w:t>
      </w:r>
      <w:r w:rsidRPr="00D11EAF">
        <w:tab/>
      </w:r>
      <w:r w:rsidR="007C0EF0" w:rsidRPr="00D11EAF">
        <w:t>επιδοκιμάζει το γεγονός ότι το 2022 και το 2021 επιτεύχθηκε συνολικά ισόρροπη εκπροσώπηση των φύλων στο προσωπικό (52 % γυναίκες και 48 % άνδρες)· επιμένει ότι πρέπει να ενταθούν οι προσπάθειες για τη διατήρηση μιας εύλογης ισόρροπης εκπροσώπησης των φύλων στο προσωπικό του Οργανισμού· αναγνωρίζει ότι ο Οργανισμός διαθέτει μόνο τρεις θέσεις μεσαίων διοικητικών στελεχών, και ότι επίσης επιτεύχθηκε αποδεκτά ισόρροπη εκπροσώπηση των φύλων στις εν λόγω θέσεις (μία γυναίκα και δύο άνδρες)·</w:t>
      </w:r>
    </w:p>
    <w:p w:rsidR="007C0EF0" w:rsidRPr="00D11EAF" w:rsidRDefault="00BC0C48" w:rsidP="00BC0C48">
      <w:pPr>
        <w:pStyle w:val="NormalHanging12a"/>
      </w:pPr>
      <w:r w:rsidRPr="00D11EAF">
        <w:t>15.</w:t>
      </w:r>
      <w:r w:rsidRPr="00D11EAF">
        <w:tab/>
      </w:r>
      <w:r w:rsidR="007C0EF0" w:rsidRPr="00D11EAF">
        <w:t>σημειώνει ότι ο Οργανισμός εφαρμόζει πολιτική για την προστασία της αξιοπρέπειας του ατόμου και την πρόληψη της ψυχολογικής και σεξουαλικής παρενόχλησης, ενώ συμμετέχει και στη διυπηρεσιακή ειδική ομάδα εμπιστευτικών συμβούλων· προσβλέπει στην παραλαβή της έκθεσης και των συστάσεών τους· σημειώνει ότι δεν υπήρξαν αναφορές περιστατικών παρενόχλησης το 2022 και ενθαρρύνει τον Οργανισμό να συνεχίσει τις καλές επιδόσεις του στο εν λόγω ζήτημα και να λάβει μέτρα για την πρόληψη τέτοιων περιστατικών και στο μέλλον·</w:t>
      </w:r>
    </w:p>
    <w:p w:rsidR="007C0EF0" w:rsidRPr="00D11EAF" w:rsidRDefault="00BC0C48" w:rsidP="00BC0C48">
      <w:pPr>
        <w:pStyle w:val="NormalHanging12a"/>
      </w:pPr>
      <w:r w:rsidRPr="00D11EAF">
        <w:t>16.</w:t>
      </w:r>
      <w:r w:rsidRPr="00D11EAF">
        <w:tab/>
      </w:r>
      <w:r w:rsidR="007C0EF0" w:rsidRPr="00D11EAF">
        <w:t xml:space="preserve">εκφράζει τη λύπη του διότι ο Οργανισμός δεν έχει εγκρίνει τον «Χάρτη για την πολυμορφία και την ένταξη», ο οποίος αποσκοπεί στην προαγωγή της ίσης μεταχείρισης και των ίσων ευκαιριών, ανεξαρτήτως φύλου, φυλής, χρώματος, </w:t>
      </w:r>
      <w:proofErr w:type="spellStart"/>
      <w:r w:rsidR="007C0EF0" w:rsidRPr="00D11EAF">
        <w:t>εθνοτικής</w:t>
      </w:r>
      <w:proofErr w:type="spellEnd"/>
      <w:r w:rsidR="007C0EF0" w:rsidRPr="00D11EAF">
        <w:t xml:space="preserve">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περιουσίας, γέννησης, αναπηρίας, ηλικίας ή σεξουαλικού προσανατολισμού· υπενθυμίζει ότι ένας από τους στόχους του Χάρτη είναι η επίτευξη του στόχου να πληρωθεί από το </w:t>
      </w:r>
      <w:proofErr w:type="spellStart"/>
      <w:r w:rsidR="007C0EF0" w:rsidRPr="00D11EAF">
        <w:t>υποεκπροσωπούμενο</w:t>
      </w:r>
      <w:proofErr w:type="spellEnd"/>
      <w:r w:rsidR="007C0EF0" w:rsidRPr="00D11EAF">
        <w:t xml:space="preserve"> φύλο τουλάχιστον το 40 % των θέσεων μεσαίων διοικητικών στελεχών σε βραχυπρόθεσμη έως μεσοπρόθεσμη βάση· σημειώνει την απάντηση του Οργανισμού στο τυποποιημένο ερωτηματολόγιο απαλλαγής· θεωρεί ότι η ύπαρξη μονού αριθμού θέσεων τόσο για τα ανώτερα διευθυντικά στελέχη όσο και για τα μεσαία διοικητικά στελέχη δεν εμποδίζει την έγκριση του Χάρτη· ενθαρρύνει τον Οργανισμό να εγκρίνει τον «Χάρτη για την πολυμορφία και την ένταξη» και να συμμετάσχει ενεργά σε πρωτοβουλίες που προάγουν την πολυμορφία και την ένταξη στον χώρο εργασίας·</w:t>
      </w:r>
    </w:p>
    <w:p w:rsidR="007C0EF0" w:rsidRPr="00D11EAF" w:rsidRDefault="00BC0C48" w:rsidP="00BC0C48">
      <w:pPr>
        <w:pStyle w:val="NormalHanging12a"/>
      </w:pPr>
      <w:r w:rsidRPr="00D11EAF">
        <w:t>17.</w:t>
      </w:r>
      <w:r w:rsidRPr="00D11EAF">
        <w:tab/>
      </w:r>
      <w:r w:rsidR="007C0EF0" w:rsidRPr="00D11EAF">
        <w:t>εκφράζει την ικανοποίησή του για το γεγονός ότι ο Οργανισμός συνέχισε το πρόγραμμα πρακτικής άσκησης κατά τη διάρκεια του 2022· σημειώνει ότι συνολικά εντάχθηκαν στον Οργανισμό 7 ασκούμενοι ενώ στο πρόγραμμα πρακτικής άσκησης του Οργανισμού πήραν μέρος 15 ασκούμενοι·</w:t>
      </w:r>
    </w:p>
    <w:p w:rsidR="007C0EF0" w:rsidRPr="00D11EAF" w:rsidRDefault="007C0EF0" w:rsidP="007C0EF0">
      <w:pPr>
        <w:spacing w:after="240"/>
        <w:ind w:left="567" w:hanging="567"/>
        <w:rPr>
          <w:rFonts w:eastAsia="Calibri"/>
          <w:b/>
          <w:i/>
          <w:szCs w:val="24"/>
        </w:rPr>
      </w:pPr>
      <w:r w:rsidRPr="00D11EAF">
        <w:rPr>
          <w:b/>
          <w:i/>
        </w:rPr>
        <w:t>Πρόληψη και διαχείριση συγκρούσεων συμφερόντων και διαφάνεια</w:t>
      </w:r>
    </w:p>
    <w:p w:rsidR="007C0EF0" w:rsidRPr="00BC0C48" w:rsidRDefault="00BC0C48" w:rsidP="00BC0C48">
      <w:pPr>
        <w:spacing w:after="240"/>
        <w:ind w:left="567" w:hanging="573"/>
        <w:rPr>
          <w:szCs w:val="24"/>
        </w:rPr>
      </w:pPr>
      <w:r w:rsidRPr="001F61B6">
        <w:rPr>
          <w:szCs w:val="24"/>
        </w:rPr>
        <w:t>18.</w:t>
      </w:r>
      <w:r w:rsidRPr="001F61B6">
        <w:rPr>
          <w:szCs w:val="24"/>
        </w:rPr>
        <w:tab/>
      </w:r>
      <w:r w:rsidR="007C0EF0" w:rsidRPr="00D11EAF">
        <w:t>σημειώνει ότι ο Οργανισμός δημοσιεύει στον ιστότοπό του τα βιογραφικά σημειώματα και τις δηλώσεις σύγκρουσης συμφερόντων των μελών του διοικητικού συμβουλίου του·</w:t>
      </w:r>
    </w:p>
    <w:p w:rsidR="007C0EF0" w:rsidRPr="00BC0C48" w:rsidRDefault="00BC0C48" w:rsidP="00BC0C48">
      <w:pPr>
        <w:spacing w:after="240"/>
        <w:ind w:left="567" w:hanging="573"/>
        <w:rPr>
          <w:szCs w:val="24"/>
        </w:rPr>
      </w:pPr>
      <w:r w:rsidRPr="001F61B6">
        <w:rPr>
          <w:szCs w:val="24"/>
        </w:rPr>
        <w:t>19.</w:t>
      </w:r>
      <w:r w:rsidRPr="001F61B6">
        <w:rPr>
          <w:szCs w:val="24"/>
        </w:rPr>
        <w:tab/>
      </w:r>
      <w:r w:rsidR="007C0EF0" w:rsidRPr="00D11EAF">
        <w:t>σημειώνει ότι, πριν από την ανάληψη των καθηκόντων τους στον Οργανισμό, το μόνιμο και λοιπό προσωπικό, οι αποσπασμένοι εθνικοί εμπειρογνώμονες, οι ασκούμενοι και οι προσωρινά απασχολούμενοι υποχρεούνται να υποβάλουν δήλωση συμφερόντων, η οποία στη συνέχεια εξετάζεται από την αρμόδια για τους διορισμούς αρχή ή τον διευθυντή πριν από την έγκριση των καθηκόντων τους· σημειώνει ακόμη ότι το προσωπικό πρέπει να επικαιροποιεί τακτικά την εν λόγω δήλωση κατά τη διάρκεια της απασχόλησής του, ώστε να αντιμετωπίζει τυχόν ad hoc καταστάσεις σύγκρουσης συμφερόντων, πρέπει δε να ενημερώνει προορατικά τον Οργανισμό για τυχόν εξωτερικές δραστηριότητες, επαγγελματικές επιχειρήσεις κατά τη διάρκεια προσωπικής άδειας, διατήρηση δωρεών, συζυγική απασχόληση και δυνητικές συγκρούσεις μέσω δημοσιεύσεων ή ομιλιών· σημειώνει ότι, μετά τη λήξη των καθηκόντων τους, το μόνιμο και λοιπό προσωπικό και οι ασκούμενοι υποχρεούνται να γνωστοποιούν στον Οργανισμό τις προγραμματισμένες μελλοντικές επαγγελματικές τους δεσμεύσεις εντός συγκεκριμένου χρονικού πλαισίου μετά την έξοδο από την υπηρεσία·</w:t>
      </w:r>
    </w:p>
    <w:p w:rsidR="007C0EF0" w:rsidRPr="00BC0C48" w:rsidRDefault="00BC0C48" w:rsidP="00BC0C48">
      <w:pPr>
        <w:spacing w:after="240"/>
        <w:ind w:left="567" w:hanging="573"/>
        <w:rPr>
          <w:szCs w:val="24"/>
        </w:rPr>
      </w:pPr>
      <w:r w:rsidRPr="001F61B6">
        <w:rPr>
          <w:szCs w:val="24"/>
        </w:rPr>
        <w:t>20.</w:t>
      </w:r>
      <w:r w:rsidRPr="001F61B6">
        <w:rPr>
          <w:szCs w:val="24"/>
        </w:rPr>
        <w:tab/>
      </w:r>
      <w:r w:rsidR="007C0EF0" w:rsidRPr="00D11EAF">
        <w:t>σημειώνει ότι ο διευθυντής του Οργανισμού ενέκρινε σημείωμα για τη διαχείριση των συγκρούσεων συμφερόντων των μελών του προσωπικού κατά την επιλογή και πρόσληψη, το οποίο απαιτεί να δηλώνονται τυχόν επαγγελματικές/προσωπικές σχέσεις με τους αιτούντες, ανεξάρτητα από το αν η σχέση αυτή συνιστά σύγκρουση συμφερόντων ή όχι· σημειώνει ακόμη ότι τα μέλη του προσωπικού θα πρέπει επίσης να δηλώνουν εάν μπορούν να διατηρήσουν την αμεροληψία τους ή όχι· σημειώνει ότι, μόλις γνωστοποιηθούν τα ονόματα των αιτούντων, τα μέλη της επιτροπής επιλογής πρέπει να υποβάλουν δήλωση δεοντολογίας σύμφωνα με το προαναφερθέν σημείωμα, καθώς και με τις κατευθυντήριες γραμμές για την πρόληψη και τη διαχείριση συγκρούσεων συμφερόντων όσον αφορά τα μέλη του προσωπικού που συμμετέχουν στις διαδικασίες επιλογής, πρόσληψης ή ανακατάταξης στον Οργανισμό·</w:t>
      </w:r>
    </w:p>
    <w:p w:rsidR="007C0EF0" w:rsidRPr="00BC0C48" w:rsidRDefault="00BC0C48" w:rsidP="00BC0C48">
      <w:pPr>
        <w:spacing w:after="240"/>
        <w:ind w:left="567" w:hanging="573"/>
        <w:rPr>
          <w:szCs w:val="24"/>
        </w:rPr>
      </w:pPr>
      <w:r w:rsidRPr="001F61B6">
        <w:rPr>
          <w:szCs w:val="24"/>
        </w:rPr>
        <w:t>21.</w:t>
      </w:r>
      <w:r w:rsidRPr="001F61B6">
        <w:rPr>
          <w:szCs w:val="24"/>
        </w:rPr>
        <w:tab/>
      </w:r>
      <w:r w:rsidR="007C0EF0" w:rsidRPr="00D11EAF">
        <w:t xml:space="preserve">σημειώνει ότι το διοικητικό συμβούλιο ενέκρινε τη στρατηγική του Οργανισμού για την καταπολέμηση της απάτης 2023-2025, η οποία αποσκοπεί στη βελτίωση του εντοπισμού, της επιβολής κυρώσεων και της πρόληψης της απάτης και στην αντιμετώπιση κάθε άλλης παράνομης δραστηριότητας που ενδέχεται να επηρεάσει τα οικονομικά του συμφέροντα· επικροτεί το γεγονός ότι ο Οργανισμός ανέπτυξε τις ενότητες δεοντολογίας στο </w:t>
      </w:r>
      <w:proofErr w:type="spellStart"/>
      <w:r w:rsidR="007C0EF0" w:rsidRPr="00D11EAF">
        <w:t>Sysper</w:t>
      </w:r>
      <w:proofErr w:type="spellEnd"/>
      <w:r w:rsidR="007C0EF0" w:rsidRPr="00D11EAF">
        <w:t>, οι οποίες καλύπτουν τη δήλωση σύγκρουσης συμφερόντων, τη δήλωση δωρεάς ή φιλοξενίας, τη δήλωση δημοσίευσης, το αίτημα για έγκριση εξωτερικής δραστηριότητας, το αίτημα για εξωτερική δραστηριότητα κατά τη διάρκεια άδειας για προσωπικούς λόγους, και τη δήλωση συζυγικής απασχόλησης·</w:t>
      </w:r>
    </w:p>
    <w:p w:rsidR="007C0EF0" w:rsidRPr="00D11EAF" w:rsidRDefault="00BC0C48" w:rsidP="00BC0C48">
      <w:pPr>
        <w:pStyle w:val="NormalHanging12a"/>
        <w:ind w:hanging="573"/>
      </w:pPr>
      <w:r w:rsidRPr="00D11EAF">
        <w:t>22.</w:t>
      </w:r>
      <w:r w:rsidRPr="00D11EAF">
        <w:tab/>
      </w:r>
      <w:r w:rsidR="007C0EF0" w:rsidRPr="00D11EAF">
        <w:t>υπενθυμίζει ότι είναι σημαντικό να αναπτύξει ο Οργανισμός μεγαλύτερη προβολή στα μέσα ενημέρωσης και στο Διαδίκτυο και στα μέσα κοινωνικής δικτύωσης, προκειμένου να προβάλει το έργο του στους πολίτες·</w:t>
      </w:r>
    </w:p>
    <w:p w:rsidR="007C0EF0" w:rsidRPr="00D11EAF" w:rsidRDefault="007C0EF0" w:rsidP="007C0EF0">
      <w:pPr>
        <w:spacing w:after="240"/>
        <w:ind w:left="567" w:hanging="567"/>
        <w:rPr>
          <w:b/>
          <w:i/>
          <w:szCs w:val="24"/>
        </w:rPr>
      </w:pPr>
      <w:r w:rsidRPr="00D11EAF">
        <w:rPr>
          <w:b/>
          <w:i/>
        </w:rPr>
        <w:t>Λοιπ</w:t>
      </w:r>
      <w:r w:rsidR="00BC0C48">
        <w:rPr>
          <w:b/>
          <w:i/>
        </w:rPr>
        <w:t>ές παρατηρήσεις</w:t>
      </w:r>
    </w:p>
    <w:p w:rsidR="007C0EF0" w:rsidRPr="00BC0C48" w:rsidRDefault="00BC0C48" w:rsidP="00BC0C48">
      <w:pPr>
        <w:spacing w:after="240"/>
        <w:ind w:left="567" w:hanging="573"/>
        <w:rPr>
          <w:b/>
          <w:i/>
          <w:szCs w:val="24"/>
        </w:rPr>
      </w:pPr>
      <w:r w:rsidRPr="001F61B6">
        <w:rPr>
          <w:szCs w:val="24"/>
        </w:rPr>
        <w:t>23.</w:t>
      </w:r>
      <w:r w:rsidRPr="001F61B6">
        <w:rPr>
          <w:szCs w:val="24"/>
        </w:rPr>
        <w:tab/>
      </w:r>
      <w:r w:rsidR="007C0EF0" w:rsidRPr="00D11EAF">
        <w:t xml:space="preserve">σημειώνει ότι, από τον Φεβρουάριο του 2022, ο Οργανισμός άρχισε να χρησιμοποιεί το εργαλείο διαχείρισης δημόσιων συμβάσεων της Επιτροπής (PPMT), το οποίο έχει </w:t>
      </w:r>
      <w:proofErr w:type="spellStart"/>
      <w:r w:rsidR="007C0EF0" w:rsidRPr="00D11EAF">
        <w:t>εξορθολογίσει</w:t>
      </w:r>
      <w:proofErr w:type="spellEnd"/>
      <w:r w:rsidR="007C0EF0" w:rsidRPr="00D11EAF">
        <w:t xml:space="preserve"> περαιτέρω τις διαδικασίες σύναψης δημόσιων συμβάσεων και διασφαλίζει τη χρήση των πλέον πρόσφατων υποδειγμάτων και βέλτιστων πρακτικών της Επιτροπής σε κάθε στάδιο της διαδικασίας·</w:t>
      </w:r>
    </w:p>
    <w:p w:rsidR="007C0EF0" w:rsidRPr="00BC0C48" w:rsidRDefault="00BC0C48" w:rsidP="00BC0C48">
      <w:pPr>
        <w:spacing w:after="240"/>
        <w:ind w:left="567" w:hanging="573"/>
        <w:rPr>
          <w:szCs w:val="24"/>
        </w:rPr>
      </w:pPr>
      <w:r w:rsidRPr="001F61B6">
        <w:rPr>
          <w:szCs w:val="24"/>
        </w:rPr>
        <w:t>24.</w:t>
      </w:r>
      <w:r w:rsidRPr="001F61B6">
        <w:rPr>
          <w:szCs w:val="24"/>
        </w:rPr>
        <w:tab/>
      </w:r>
      <w:r w:rsidR="007C0EF0" w:rsidRPr="00D11EAF">
        <w:t xml:space="preserve">αναγνωρίζει ότι, προκειμένου να ενισχυθούν η κυβερνοασφάλεια και η προστασία των ψηφιακών αρχείων που έχει στην κατοχή του, ο Οργανισμός κάνει χρήση </w:t>
      </w:r>
      <w:proofErr w:type="spellStart"/>
      <w:r w:rsidR="007C0EF0" w:rsidRPr="00D11EAF">
        <w:t>διπαραγοντικού</w:t>
      </w:r>
      <w:proofErr w:type="spellEnd"/>
      <w:r w:rsidR="007C0EF0" w:rsidRPr="00D11EAF">
        <w:t xml:space="preserve"> ελέγχου γνησιότητας, τειχών προστασίας διαδικτυακών εφαρμογών, αυτοματοποιημένων αντιγράφων ασφαλείας, εφαρμοσμένης κρυπτογράφησης (κατά περίπτωση/κατά το δυνατόν) και τακτικών δοκιμών ανάκτησης κρίσιμων για τις επιχειρήσεις συστημάτων· σημειώνει ακόμη ότι ο Οργανισμός χρησιμοποιεί προστασία βάσει λογισμικού για συσκευές τελικού χρήστη, όπως φορητούς υπολογιστές και κινητά τηλέφωνα, και τις υπηρεσίες ασφάλειας ΤΠΕ που παρέχει η CERT-ΕΕ·</w:t>
      </w:r>
    </w:p>
    <w:p w:rsidR="007C0EF0" w:rsidRPr="00D11EAF" w:rsidRDefault="00BC0C48" w:rsidP="00BC0C48">
      <w:pPr>
        <w:pStyle w:val="NormalHanging12a"/>
        <w:ind w:hanging="573"/>
      </w:pPr>
      <w:r w:rsidRPr="00D11EAF">
        <w:t>25.</w:t>
      </w:r>
      <w:r w:rsidRPr="00D11EAF">
        <w:tab/>
      </w:r>
      <w:r w:rsidR="007C0EF0" w:rsidRPr="00D11EAF">
        <w:t>εκφράζει την ικανοποίησή του για τις προσπάθειες του Οργανισμού να αντιμετωπίσει κατά προτεραιότητα τη νέα νομοθεσία που θεσπίζει μέτρα για την κυβερνοασφάλεια στα θεσμικά και λοιπά όργανα και οργανισμούς της Ένωσης· σημειώνει με ανησυχία την πιθανή δυσανάλογη επιβάρυνση του κανονισμού για την κυβερνοασφάλεια σε οργανισμούς μικρού μεγέθους, όπως η Υπηρεσία του BEREC, η οποία ενδέχεται να θέσει σε κίνδυνο τη συμμόρφωση· καλεί την Επιτροπή να λάβει υπόψη το γεγονός αυτό στους κύκλους προγραμματισμού των επόμενων ετών·</w:t>
      </w:r>
    </w:p>
    <w:p w:rsidR="007C0EF0" w:rsidRPr="00BC0C48" w:rsidRDefault="00BC0C48" w:rsidP="00BC0C48">
      <w:pPr>
        <w:spacing w:after="240"/>
        <w:ind w:left="567" w:hanging="573"/>
        <w:rPr>
          <w:rFonts w:eastAsia="Calibri"/>
          <w:szCs w:val="24"/>
        </w:rPr>
      </w:pPr>
      <w:r w:rsidRPr="001F61B6">
        <w:rPr>
          <w:rFonts w:eastAsia="Calibri"/>
          <w:szCs w:val="24"/>
        </w:rPr>
        <w:t>26.</w:t>
      </w:r>
      <w:r w:rsidRPr="001F61B6">
        <w:rPr>
          <w:rFonts w:eastAsia="Calibri"/>
          <w:szCs w:val="24"/>
        </w:rPr>
        <w:tab/>
      </w:r>
      <w:r w:rsidR="007C0EF0" w:rsidRPr="00D11EAF">
        <w:t>επικροτεί το γεγονός ότι το διοικητικό συμβούλιο του Οργανισμού έχει θέσει ως στόχο την πιστοποίηση EMAS για τα επόμενα 3 έτη· γνωρίζει ότι ο Οργανισμός έχει ξεκινήσει εσωτερική προετοιμασία για την πιστοποίηση, η οποία περιλαμβάνει περαιτέρω επικαιροποιήσεις σχετικά με τον υπολογισμό του αποτυπώματος άνθρακα του Οργανισμού, συμμετοχή στη διαδικασία αδελφοποίησης του δικτύου οικολογικού προσανατολισμού του δικτύου των οργανισμών της ΕΕ κ.λπ.·</w:t>
      </w:r>
    </w:p>
    <w:p w:rsidR="007C0EF0" w:rsidRPr="00D11EAF" w:rsidRDefault="00BC0C48" w:rsidP="00BC0C48">
      <w:pPr>
        <w:pStyle w:val="NormalHanging12a"/>
        <w:ind w:hanging="573"/>
      </w:pPr>
      <w:r w:rsidRPr="00D11EAF">
        <w:t>27.</w:t>
      </w:r>
      <w:r w:rsidRPr="00D11EAF">
        <w:tab/>
      </w:r>
      <w:r w:rsidR="007C0EF0" w:rsidRPr="00D11EAF">
        <w:t>επικροτεί τη συμμετοχή της ουκρανικής εθνικής ρυθμιστικής αρχής στην καθημερινή λειτουργία του Οργανισμού· εξαίρει τον Οργανισμό και τα μέλη του για τη θέσπιση ενός πλαισίου συνεργασίας για την αντιμετώπιση των προκλήσεων συνδεσιμότητας και την προετοιμασία του εδάφους για την εναρμόνιση των ουκρανικών κανονισμών για τις ηλεκτρονικές επικοινωνίες με το ευρωπαϊκό πλαίσιο για τις τηλεπικοινωνίες· εκτιμά ακόμη το γεγονός ότι, με βάση τα δεδομένα που συνέλεξε ο Οργανισμός από ενωσιακούς και ουκρανικούς φορείς εκμετάλλευσης σχετικά με τα εφαρμοζόμενα μέτρα λιανικής, συμφωνήθηκε κοινή δήλωση, με την οποία θεσπίστηκε σταθερό πλαίσιο για να βοηθηθούν τα άτομα που προσπαθούν να ξεφύγουν από τον πόλεμο στην Ουκρανία να παραμείνουν συνδεδεμένα με τις οικογένειες και τους φίλους τους στην πατρίδα τους και να διατηρήσουν την πρόσβαση σε πληροφορίες·</w:t>
      </w:r>
    </w:p>
    <w:p w:rsidR="007C0EF0" w:rsidRPr="00D11EAF" w:rsidRDefault="00BC0C48" w:rsidP="00BC0C48">
      <w:pPr>
        <w:pStyle w:val="NormalHanging12a"/>
        <w:ind w:hanging="573"/>
      </w:pPr>
      <w:r w:rsidRPr="00D11EAF">
        <w:t>28.</w:t>
      </w:r>
      <w:r w:rsidRPr="00D11EAF">
        <w:tab/>
      </w:r>
      <w:r w:rsidR="007C0EF0" w:rsidRPr="00D11EAF">
        <w:t xml:space="preserve">επαινεί τις προσπάθειες του Οργανισμού το 2022 να αυξήσει την ενημέρωση του κοινού σχετικά με την εντολή και το έργο του στη Λετονία χάρη σε επικοινωνιακές πρωτοβουλίες μικρής κλίμακας, όπως για παράδειγμα η φιλοξενία επισκέψεων φοιτητών από το πανεπιστήμιο </w:t>
      </w:r>
      <w:proofErr w:type="spellStart"/>
      <w:r w:rsidR="007C0EF0" w:rsidRPr="00D11EAF">
        <w:t>Stradins</w:t>
      </w:r>
      <w:proofErr w:type="spellEnd"/>
      <w:r w:rsidR="007C0EF0" w:rsidRPr="00D11EAF">
        <w:t xml:space="preserve"> της Ρίγας, η προώθηση εταιρικής σχέσης που να βελτιώνει την κατανόησή τους όσον αφορά τους οργανισμούς της ΕΕ, ιδίως στη Λετονία, και η συμμετοχή στη ζωντανή εκδήλωση για τον εορτασμό της Ημέρας της Ευρώπης στη Λετονία, η οποία διοργανώθηκε από την Αντιπροσωπεία της Επιτροπής στην εν λόγω χώρα και σε άλλες εκδηλώσεις· καλεί τον Οργανισμό να συνεχίσει να επιδιώκει την ενίσχυση της προβολής του Οργανισμού, ιδίως στο κράτος μέλος υποδοχής·</w:t>
      </w:r>
    </w:p>
    <w:p w:rsidR="007C0EF0" w:rsidRPr="00D11EAF" w:rsidRDefault="00BC0C48" w:rsidP="00BC0C48">
      <w:pPr>
        <w:pStyle w:val="NormalHanging12a"/>
        <w:ind w:hanging="573"/>
      </w:pPr>
      <w:r w:rsidRPr="00D11EAF">
        <w:t>29.</w:t>
      </w:r>
      <w:r w:rsidRPr="00D11EAF">
        <w:tab/>
      </w:r>
      <w:r w:rsidR="007C0EF0" w:rsidRPr="00D11EAF">
        <w:t>εκφράζει την ικανοποίησή του για το γεγονός ότι τα τοπικά γραφεία του Κοινοβουλίου και της Επιτροπής στη Ρίγα και ο Οργανισμός έχουν συμμετάσχει στις προσπάθειές τους να συνεργαστούν για τη δημιουργία ενός κοινού Σπιτιού της Ευρώπης, το οποίο θα είναι το «σπίτι» όλων των θεσμικών οργάνων της ΕΕ και του Οργανισμού στη Λετονία·</w:t>
      </w:r>
    </w:p>
    <w:p w:rsidR="007C0EF0" w:rsidRPr="00D11EAF" w:rsidRDefault="007C0EF0" w:rsidP="007C0EF0">
      <w:pPr>
        <w:pStyle w:val="NormalCenter12a"/>
      </w:pPr>
      <w:r w:rsidRPr="00D11EAF">
        <w:t>°</w:t>
      </w:r>
    </w:p>
    <w:p w:rsidR="007C0EF0" w:rsidRPr="00D11EAF" w:rsidRDefault="007C0EF0" w:rsidP="007C0EF0">
      <w:pPr>
        <w:pStyle w:val="NormalCenter12a"/>
      </w:pPr>
      <w:r w:rsidRPr="00D11EAF">
        <w:t>°</w:t>
      </w:r>
      <w:r w:rsidRPr="00D11EAF">
        <w:tab/>
        <w:t>°</w:t>
      </w:r>
    </w:p>
    <w:p w:rsidR="007C0EF0" w:rsidRPr="00D11EAF" w:rsidRDefault="00BC0C48" w:rsidP="00BC0C48">
      <w:pPr>
        <w:pStyle w:val="NormalHanging12a"/>
        <w:ind w:hanging="570"/>
      </w:pPr>
      <w:r w:rsidRPr="00D11EAF">
        <w:t>30.</w:t>
      </w:r>
      <w:r w:rsidRPr="00D11EAF">
        <w:tab/>
      </w:r>
      <w:r w:rsidR="007C0EF0" w:rsidRPr="00D11EAF">
        <w:t xml:space="preserve">παραπέμπει, όσον αφορά άλλες παρατηρήσεις οριζόντιου χαρακτήρα που συνοδεύουν την απόφαση απαλλαγής, στο ψήφισμά του της </w:t>
      </w:r>
      <w:r w:rsidR="0099146A">
        <w:t>11ης Απριλίου 2024</w:t>
      </w:r>
      <w:r w:rsidR="007C0EF0" w:rsidRPr="00D11EAF">
        <w:rPr>
          <w:vertAlign w:val="superscript"/>
        </w:rPr>
        <w:footnoteReference w:id="12"/>
      </w:r>
      <w:r w:rsidR="007C0EF0" w:rsidRPr="00D11EAF">
        <w:t xml:space="preserve"> σχετικά με τις επιδόσεις, τη χρηματοοικονομική διαχείριση και τον έλεγχο των οργανισμών.</w:t>
      </w:r>
    </w:p>
    <w:p w:rsidR="00E365E1" w:rsidRPr="00D11EAF" w:rsidRDefault="00E365E1" w:rsidP="008D4C03">
      <w:bookmarkStart w:id="8" w:name="TextBodyEnd"/>
      <w:bookmarkStart w:id="9" w:name="_GoBack"/>
      <w:bookmarkEnd w:id="8"/>
      <w:bookmarkEnd w:id="9"/>
    </w:p>
    <w:sectPr w:rsidR="00E365E1" w:rsidRPr="00D11EAF" w:rsidSect="00D11EA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C03" w:rsidRPr="00D11EAF" w:rsidRDefault="008D4C03">
      <w:r w:rsidRPr="00D11EAF">
        <w:separator/>
      </w:r>
    </w:p>
  </w:endnote>
  <w:endnote w:type="continuationSeparator" w:id="0">
    <w:p w:rsidR="008D4C03" w:rsidRPr="00D11EAF" w:rsidRDefault="008D4C03">
      <w:r w:rsidRPr="00D11E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EF0" w:rsidRPr="00D11EAF" w:rsidRDefault="007C0EF0" w:rsidP="00206827">
    <w:pPr>
      <w:pStyle w:val="EPFooter"/>
    </w:pPr>
    <w:r w:rsidRPr="00D11EAF">
      <w:t>PE</w:t>
    </w:r>
    <w:r w:rsidRPr="00D11EAF">
      <w:rPr>
        <w:rStyle w:val="HideTWBExt"/>
      </w:rPr>
      <w:t>&lt;</w:t>
    </w:r>
    <w:proofErr w:type="spellStart"/>
    <w:r w:rsidRPr="00D11EAF">
      <w:rPr>
        <w:rStyle w:val="HideTWBExt"/>
      </w:rPr>
      <w:t>NoPE</w:t>
    </w:r>
    <w:proofErr w:type="spellEnd"/>
    <w:r w:rsidRPr="00D11EAF">
      <w:rPr>
        <w:rStyle w:val="HideTWBExt"/>
      </w:rPr>
      <w:t>&gt;</w:t>
    </w:r>
    <w:r w:rsidRPr="00D11EAF">
      <w:t>753.507</w:t>
    </w:r>
    <w:r w:rsidRPr="00D11EAF">
      <w:rPr>
        <w:rStyle w:val="HideTWBExt"/>
      </w:rPr>
      <w:t>&lt;/</w:t>
    </w:r>
    <w:proofErr w:type="spellStart"/>
    <w:r w:rsidRPr="00D11EAF">
      <w:rPr>
        <w:rStyle w:val="HideTWBExt"/>
      </w:rPr>
      <w:t>NoPE</w:t>
    </w:r>
    <w:proofErr w:type="spellEnd"/>
    <w:r w:rsidRPr="00D11EAF">
      <w:rPr>
        <w:rStyle w:val="HideTWBExt"/>
      </w:rPr>
      <w:t>&gt;&lt;Version&gt;</w:t>
    </w:r>
    <w:r w:rsidRPr="00D11EAF">
      <w:t>v02-00</w:t>
    </w:r>
    <w:r w:rsidRPr="00D11EAF">
      <w:rPr>
        <w:rStyle w:val="HideTWBExt"/>
      </w:rPr>
      <w:t>&lt;/</w:t>
    </w:r>
    <w:proofErr w:type="spellStart"/>
    <w:r w:rsidRPr="00D11EAF">
      <w:rPr>
        <w:rStyle w:val="HideTWBExt"/>
      </w:rPr>
      <w:t>Version</w:t>
    </w:r>
    <w:proofErr w:type="spellEnd"/>
    <w:r w:rsidRPr="00D11EAF">
      <w:rPr>
        <w:rStyle w:val="HideTWBExt"/>
      </w:rPr>
      <w:t>&gt;</w:t>
    </w:r>
    <w:r w:rsidRPr="00D11EAF">
      <w:tab/>
    </w:r>
    <w:r w:rsidRPr="00D11EAF">
      <w:fldChar w:fldCharType="begin"/>
    </w:r>
    <w:r w:rsidRPr="00D11EAF">
      <w:instrText xml:space="preserve"> PAGE  \* MERGEFORMAT </w:instrText>
    </w:r>
    <w:r w:rsidRPr="00D11EAF">
      <w:fldChar w:fldCharType="separate"/>
    </w:r>
    <w:r w:rsidRPr="00D11EAF">
      <w:rPr>
        <w:noProof/>
      </w:rPr>
      <w:t>4</w:t>
    </w:r>
    <w:r w:rsidRPr="00D11EAF">
      <w:fldChar w:fldCharType="end"/>
    </w:r>
    <w:r w:rsidRPr="00D11EAF">
      <w:t>/</w:t>
    </w:r>
    <w:fldSimple w:instr=" NUMPAGES  \* MERGEFORMAT ">
      <w:r w:rsidRPr="00D11EAF">
        <w:rPr>
          <w:noProof/>
        </w:rPr>
        <w:t>4</w:t>
      </w:r>
    </w:fldSimple>
    <w:r w:rsidRPr="00D11EAF">
      <w:tab/>
    </w:r>
    <w:r w:rsidRPr="00D11EAF">
      <w:rPr>
        <w:rStyle w:val="HideTWBExt"/>
      </w:rPr>
      <w:t>&lt;PathFdR&gt;</w:t>
    </w:r>
    <w:r w:rsidRPr="00D11EAF">
      <w:t>RR\1299071EL.docx</w:t>
    </w:r>
    <w:r w:rsidRPr="00D11EAF">
      <w:rPr>
        <w:rStyle w:val="HideTWBExt"/>
      </w:rPr>
      <w:t>&lt;/</w:t>
    </w:r>
    <w:proofErr w:type="spellStart"/>
    <w:r w:rsidRPr="00D11EAF">
      <w:rPr>
        <w:rStyle w:val="HideTWBExt"/>
      </w:rPr>
      <w:t>PathFdR</w:t>
    </w:r>
    <w:proofErr w:type="spellEnd"/>
    <w:r w:rsidRPr="00D11EAF">
      <w:rPr>
        <w:rStyle w:val="HideTWBExt"/>
      </w:rPr>
      <w:t>&gt;</w:t>
    </w:r>
  </w:p>
  <w:p w:rsidR="007C0EF0" w:rsidRPr="00D11EAF" w:rsidRDefault="007C0EF0" w:rsidP="00206827">
    <w:pPr>
      <w:pStyle w:val="EPFooter2"/>
    </w:pPr>
    <w:r w:rsidRPr="00D11EA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EF0" w:rsidRPr="00D11EAF" w:rsidRDefault="007C0EF0" w:rsidP="00206827">
    <w:pPr>
      <w:pStyle w:val="EPFooter"/>
    </w:pPr>
    <w:r w:rsidRPr="00D11EAF">
      <w:rPr>
        <w:rStyle w:val="HideTWBExt"/>
      </w:rPr>
      <w:t>&lt;PathFdR&gt;</w:t>
    </w:r>
    <w:r w:rsidRPr="00D11EAF">
      <w:t>RR\1299071EL.docx</w:t>
    </w:r>
    <w:r w:rsidRPr="00D11EAF">
      <w:rPr>
        <w:rStyle w:val="HideTWBExt"/>
      </w:rPr>
      <w:t>&lt;/</w:t>
    </w:r>
    <w:proofErr w:type="spellStart"/>
    <w:r w:rsidRPr="00D11EAF">
      <w:rPr>
        <w:rStyle w:val="HideTWBExt"/>
      </w:rPr>
      <w:t>PathFdR</w:t>
    </w:r>
    <w:proofErr w:type="spellEnd"/>
    <w:r w:rsidRPr="00D11EAF">
      <w:rPr>
        <w:rStyle w:val="HideTWBExt"/>
      </w:rPr>
      <w:t>&gt;</w:t>
    </w:r>
    <w:r w:rsidRPr="00D11EAF">
      <w:tab/>
    </w:r>
    <w:r w:rsidRPr="00D11EAF">
      <w:tab/>
      <w:t>PE</w:t>
    </w:r>
    <w:r w:rsidRPr="00D11EAF">
      <w:rPr>
        <w:rStyle w:val="HideTWBExt"/>
      </w:rPr>
      <w:t>&lt;</w:t>
    </w:r>
    <w:proofErr w:type="spellStart"/>
    <w:r w:rsidRPr="00D11EAF">
      <w:rPr>
        <w:rStyle w:val="HideTWBExt"/>
      </w:rPr>
      <w:t>NoPE</w:t>
    </w:r>
    <w:proofErr w:type="spellEnd"/>
    <w:r w:rsidRPr="00D11EAF">
      <w:rPr>
        <w:rStyle w:val="HideTWBExt"/>
      </w:rPr>
      <w:t>&gt;</w:t>
    </w:r>
    <w:r w:rsidRPr="00D11EAF">
      <w:t>753.507</w:t>
    </w:r>
    <w:r w:rsidRPr="00D11EAF">
      <w:rPr>
        <w:rStyle w:val="HideTWBExt"/>
      </w:rPr>
      <w:t>&lt;/</w:t>
    </w:r>
    <w:proofErr w:type="spellStart"/>
    <w:r w:rsidRPr="00D11EAF">
      <w:rPr>
        <w:rStyle w:val="HideTWBExt"/>
      </w:rPr>
      <w:t>NoPE</w:t>
    </w:r>
    <w:proofErr w:type="spellEnd"/>
    <w:r w:rsidRPr="00D11EAF">
      <w:rPr>
        <w:rStyle w:val="HideTWBExt"/>
      </w:rPr>
      <w:t>&gt;&lt;Version&gt;</w:t>
    </w:r>
    <w:r w:rsidRPr="00D11EAF">
      <w:t>v02-00</w:t>
    </w:r>
    <w:r w:rsidRPr="00D11EAF">
      <w:rPr>
        <w:rStyle w:val="HideTWBExt"/>
      </w:rPr>
      <w:t>&lt;/</w:t>
    </w:r>
    <w:proofErr w:type="spellStart"/>
    <w:r w:rsidRPr="00D11EAF">
      <w:rPr>
        <w:rStyle w:val="HideTWBExt"/>
      </w:rPr>
      <w:t>Version</w:t>
    </w:r>
    <w:proofErr w:type="spellEnd"/>
    <w:r w:rsidRPr="00D11EAF">
      <w:rPr>
        <w:rStyle w:val="HideTWBExt"/>
      </w:rPr>
      <w:t>&gt;</w:t>
    </w:r>
  </w:p>
  <w:p w:rsidR="007C0EF0" w:rsidRPr="00D11EAF" w:rsidRDefault="007C0EF0" w:rsidP="00206827">
    <w:pPr>
      <w:pStyle w:val="EPFooter2"/>
    </w:pPr>
    <w:r w:rsidRPr="00D11EAF">
      <w:t>EL</w:t>
    </w:r>
    <w:r w:rsidRPr="00D11EAF">
      <w:tab/>
    </w:r>
    <w:r w:rsidRPr="00D11EAF">
      <w:rPr>
        <w:b w:val="0"/>
        <w:i/>
        <w:color w:val="C0C0C0"/>
        <w:sz w:val="22"/>
      </w:rPr>
      <w:t>Ενωμένη στην πολυμορφία</w:t>
    </w:r>
    <w:r w:rsidRPr="00D11EA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1EA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1EA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1E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C03" w:rsidRPr="00D11EAF" w:rsidRDefault="008D4C03">
      <w:r w:rsidRPr="00D11EAF">
        <w:separator/>
      </w:r>
    </w:p>
  </w:footnote>
  <w:footnote w:type="continuationSeparator" w:id="0">
    <w:p w:rsidR="008D4C03" w:rsidRPr="00D11EAF" w:rsidRDefault="008D4C03">
      <w:r w:rsidRPr="00D11EAF">
        <w:continuationSeparator/>
      </w:r>
    </w:p>
  </w:footnote>
  <w:footnote w:id="1">
    <w:p w:rsidR="007C0EF0" w:rsidRPr="00D11EAF" w:rsidRDefault="007C0EF0" w:rsidP="00D11EAF">
      <w:pPr>
        <w:pStyle w:val="FootnoteText"/>
        <w:ind w:left="567" w:hanging="567"/>
        <w:rPr>
          <w:sz w:val="24"/>
          <w:lang w:val="el-GR"/>
        </w:rPr>
      </w:pPr>
      <w:r w:rsidRPr="00D11EAF">
        <w:rPr>
          <w:rStyle w:val="FootnoteReference"/>
          <w:sz w:val="24"/>
          <w:lang w:val="el-GR"/>
        </w:rPr>
        <w:footnoteRef/>
      </w:r>
      <w:r w:rsidR="00D11EAF" w:rsidRPr="00D11EAF">
        <w:rPr>
          <w:sz w:val="24"/>
          <w:lang w:val="el-GR"/>
        </w:rPr>
        <w:t xml:space="preserve"> </w:t>
      </w:r>
      <w:r w:rsidR="00D11EAF" w:rsidRPr="00D11EAF">
        <w:rPr>
          <w:sz w:val="24"/>
          <w:lang w:val="el-GR"/>
        </w:rPr>
        <w:tab/>
      </w:r>
      <w:r w:rsidRPr="00D11EAF">
        <w:rPr>
          <w:sz w:val="24"/>
          <w:lang w:val="el-GR"/>
        </w:rPr>
        <w:t>ΕΕ C, C/2023/594, 27.10.2023.</w:t>
      </w:r>
    </w:p>
  </w:footnote>
  <w:footnote w:id="2">
    <w:p w:rsidR="007C0EF0" w:rsidRPr="00D11EAF" w:rsidRDefault="007C0EF0" w:rsidP="00D11EAF">
      <w:pPr>
        <w:pStyle w:val="FootnoteText"/>
        <w:ind w:left="567" w:hanging="567"/>
        <w:rPr>
          <w:sz w:val="24"/>
          <w:lang w:val="el-GR"/>
        </w:rPr>
      </w:pPr>
      <w:r w:rsidRPr="00D11EAF">
        <w:rPr>
          <w:rStyle w:val="FootnoteReference"/>
          <w:sz w:val="24"/>
          <w:lang w:val="el-GR"/>
        </w:rPr>
        <w:footnoteRef/>
      </w:r>
      <w:r w:rsidR="00D11EAF" w:rsidRPr="00D11EAF">
        <w:rPr>
          <w:sz w:val="24"/>
          <w:lang w:val="el-GR"/>
        </w:rPr>
        <w:t xml:space="preserve"> </w:t>
      </w:r>
      <w:r w:rsidR="00D11EAF" w:rsidRPr="00D11EAF">
        <w:rPr>
          <w:sz w:val="24"/>
          <w:lang w:val="el-GR"/>
        </w:rPr>
        <w:tab/>
      </w:r>
      <w:r w:rsidRPr="00D11EAF">
        <w:rPr>
          <w:sz w:val="24"/>
          <w:lang w:val="el-GR"/>
        </w:rPr>
        <w:t>ΕΕ C, C/2023/112, 12.10.2023.</w:t>
      </w:r>
    </w:p>
  </w:footnote>
  <w:footnote w:id="3">
    <w:p w:rsidR="007C0EF0" w:rsidRPr="00D11EAF" w:rsidRDefault="007C0EF0" w:rsidP="00D11EAF">
      <w:pPr>
        <w:pStyle w:val="FootnoteText"/>
        <w:ind w:left="567" w:hanging="567"/>
        <w:rPr>
          <w:sz w:val="24"/>
          <w:lang w:val="el-GR"/>
        </w:rPr>
      </w:pPr>
      <w:r w:rsidRPr="00D11EAF">
        <w:rPr>
          <w:rStyle w:val="FootnoteReference"/>
          <w:sz w:val="24"/>
          <w:lang w:val="el-GR"/>
        </w:rPr>
        <w:footnoteRef/>
      </w:r>
      <w:r w:rsidR="00D11EAF" w:rsidRPr="00D11EAF">
        <w:rPr>
          <w:sz w:val="24"/>
          <w:lang w:val="el-GR"/>
        </w:rPr>
        <w:t xml:space="preserve"> </w:t>
      </w:r>
      <w:r w:rsidR="00D11EAF" w:rsidRPr="00D11EAF">
        <w:rPr>
          <w:sz w:val="24"/>
          <w:lang w:val="el-GR"/>
        </w:rPr>
        <w:tab/>
      </w:r>
      <w:r w:rsidRPr="00D11EAF">
        <w:rPr>
          <w:sz w:val="24"/>
          <w:lang w:val="el-GR"/>
        </w:rPr>
        <w:t>EE L 193 της 30.7.2018, σ. 1.</w:t>
      </w:r>
    </w:p>
  </w:footnote>
  <w:footnote w:id="4">
    <w:p w:rsidR="007C0EF0" w:rsidRPr="00D11EAF" w:rsidRDefault="007C0EF0" w:rsidP="00D11EAF">
      <w:pPr>
        <w:pStyle w:val="FootnoteText"/>
        <w:ind w:left="567" w:hanging="567"/>
        <w:rPr>
          <w:sz w:val="24"/>
          <w:szCs w:val="24"/>
          <w:lang w:val="el-GR"/>
        </w:rPr>
      </w:pPr>
      <w:r w:rsidRPr="00D11EAF">
        <w:rPr>
          <w:rStyle w:val="FootnoteReference"/>
          <w:sz w:val="24"/>
          <w:lang w:val="el-GR"/>
        </w:rPr>
        <w:footnoteRef/>
      </w:r>
      <w:r w:rsidR="00D11EAF" w:rsidRPr="00D11EAF">
        <w:rPr>
          <w:sz w:val="24"/>
          <w:lang w:val="el-GR"/>
        </w:rPr>
        <w:t xml:space="preserve"> </w:t>
      </w:r>
      <w:r w:rsidR="00D11EAF" w:rsidRPr="00D11EAF">
        <w:rPr>
          <w:sz w:val="24"/>
          <w:lang w:val="el-GR"/>
        </w:rPr>
        <w:tab/>
      </w:r>
      <w:r w:rsidRPr="00D11EAF">
        <w:rPr>
          <w:sz w:val="24"/>
          <w:lang w:val="el-GR"/>
        </w:rPr>
        <w:t>ΕΕ L 321 της 17.12.2018, σ. 1.</w:t>
      </w:r>
    </w:p>
  </w:footnote>
  <w:footnote w:id="5">
    <w:p w:rsidR="007C0EF0" w:rsidRPr="00D11EAF" w:rsidRDefault="007C0EF0" w:rsidP="00D11EAF">
      <w:pPr>
        <w:pStyle w:val="FootnoteText"/>
        <w:ind w:left="567" w:hanging="567"/>
        <w:rPr>
          <w:sz w:val="24"/>
          <w:lang w:val="el-GR"/>
        </w:rPr>
      </w:pPr>
      <w:r w:rsidRPr="00D11EAF">
        <w:rPr>
          <w:rStyle w:val="FootnoteReference"/>
          <w:sz w:val="24"/>
          <w:lang w:val="el-GR"/>
        </w:rPr>
        <w:footnoteRef/>
      </w:r>
      <w:r w:rsidR="00D11EAF" w:rsidRPr="00D11EAF">
        <w:rPr>
          <w:sz w:val="24"/>
          <w:lang w:val="el-GR"/>
        </w:rPr>
        <w:t xml:space="preserve"> </w:t>
      </w:r>
      <w:r w:rsidR="00D11EAF" w:rsidRPr="00D11EAF">
        <w:rPr>
          <w:sz w:val="24"/>
          <w:lang w:val="el-GR"/>
        </w:rPr>
        <w:tab/>
      </w:r>
      <w:r w:rsidRPr="00D11EAF">
        <w:rPr>
          <w:sz w:val="24"/>
          <w:lang w:val="el-GR"/>
        </w:rPr>
        <w:t>ΕΕ L 122 της 10.5.2019, σ. 1.</w:t>
      </w:r>
    </w:p>
  </w:footnote>
  <w:footnote w:id="6">
    <w:p w:rsidR="007C0EF0" w:rsidRPr="00D11EAF" w:rsidRDefault="007C0EF0" w:rsidP="00D11EAF">
      <w:pPr>
        <w:pStyle w:val="FootnoteText"/>
        <w:ind w:left="567" w:hanging="567"/>
        <w:rPr>
          <w:sz w:val="24"/>
          <w:lang w:val="el-GR"/>
        </w:rPr>
      </w:pPr>
      <w:r w:rsidRPr="00D11EAF">
        <w:rPr>
          <w:rStyle w:val="FootnoteReference"/>
          <w:sz w:val="24"/>
          <w:lang w:val="el-GR"/>
        </w:rPr>
        <w:footnoteRef/>
      </w:r>
      <w:r w:rsidR="00D11EAF" w:rsidRPr="00D11EAF">
        <w:rPr>
          <w:sz w:val="24"/>
          <w:lang w:val="el-GR"/>
        </w:rPr>
        <w:t xml:space="preserve"> </w:t>
      </w:r>
      <w:r w:rsidR="00D11EAF" w:rsidRPr="00D11EAF">
        <w:rPr>
          <w:sz w:val="24"/>
          <w:lang w:val="el-GR"/>
        </w:rPr>
        <w:tab/>
      </w:r>
      <w:r w:rsidRPr="00D11EAF">
        <w:rPr>
          <w:sz w:val="24"/>
          <w:lang w:val="el-GR"/>
        </w:rPr>
        <w:t>ΕΕ C, C/2023/594, 27.10.2023.</w:t>
      </w:r>
    </w:p>
  </w:footnote>
  <w:footnote w:id="7">
    <w:p w:rsidR="007C0EF0" w:rsidRPr="00D11EAF" w:rsidRDefault="007C0EF0" w:rsidP="00D11EAF">
      <w:pPr>
        <w:pStyle w:val="FootnoteText"/>
        <w:ind w:left="567" w:hanging="567"/>
        <w:rPr>
          <w:sz w:val="24"/>
          <w:lang w:val="el-GR"/>
        </w:rPr>
      </w:pPr>
      <w:r w:rsidRPr="00D11EAF">
        <w:rPr>
          <w:rStyle w:val="FootnoteReference"/>
          <w:sz w:val="24"/>
          <w:lang w:val="el-GR"/>
        </w:rPr>
        <w:footnoteRef/>
      </w:r>
      <w:r w:rsidR="00D11EAF" w:rsidRPr="00D11EAF">
        <w:rPr>
          <w:sz w:val="24"/>
          <w:lang w:val="el-GR"/>
        </w:rPr>
        <w:t xml:space="preserve"> </w:t>
      </w:r>
      <w:r w:rsidR="00D11EAF" w:rsidRPr="00D11EAF">
        <w:rPr>
          <w:sz w:val="24"/>
          <w:lang w:val="el-GR"/>
        </w:rPr>
        <w:tab/>
      </w:r>
      <w:r w:rsidRPr="00D11EAF">
        <w:rPr>
          <w:sz w:val="24"/>
          <w:lang w:val="el-GR"/>
        </w:rPr>
        <w:t>ΕΕ C, C/2023/112, 12.10.2023.</w:t>
      </w:r>
    </w:p>
  </w:footnote>
  <w:footnote w:id="8">
    <w:p w:rsidR="007C0EF0" w:rsidRPr="00D11EAF" w:rsidRDefault="007C0EF0" w:rsidP="00D11EAF">
      <w:pPr>
        <w:pStyle w:val="FootnoteText"/>
        <w:ind w:left="567" w:hanging="567"/>
        <w:rPr>
          <w:sz w:val="24"/>
          <w:lang w:val="el-GR"/>
        </w:rPr>
      </w:pPr>
      <w:r w:rsidRPr="00D11EAF">
        <w:rPr>
          <w:rStyle w:val="FootnoteReference"/>
          <w:sz w:val="24"/>
          <w:lang w:val="el-GR"/>
        </w:rPr>
        <w:footnoteRef/>
      </w:r>
      <w:r w:rsidR="00D11EAF" w:rsidRPr="00D11EAF">
        <w:rPr>
          <w:sz w:val="24"/>
          <w:lang w:val="el-GR"/>
        </w:rPr>
        <w:t xml:space="preserve"> </w:t>
      </w:r>
      <w:r w:rsidR="00D11EAF" w:rsidRPr="00D11EAF">
        <w:rPr>
          <w:sz w:val="24"/>
          <w:lang w:val="el-GR"/>
        </w:rPr>
        <w:tab/>
      </w:r>
      <w:r w:rsidRPr="00D11EAF">
        <w:rPr>
          <w:sz w:val="24"/>
          <w:lang w:val="el-GR"/>
        </w:rPr>
        <w:t>EE L 193 της 30.7.2018, σ. 1.</w:t>
      </w:r>
    </w:p>
  </w:footnote>
  <w:footnote w:id="9">
    <w:p w:rsidR="007C0EF0" w:rsidRPr="00D11EAF" w:rsidRDefault="007C0EF0" w:rsidP="00D11EAF">
      <w:pPr>
        <w:pStyle w:val="FootnoteText"/>
        <w:ind w:left="567" w:hanging="567"/>
        <w:rPr>
          <w:sz w:val="24"/>
          <w:lang w:val="el-GR"/>
        </w:rPr>
      </w:pPr>
      <w:r w:rsidRPr="00D11EAF">
        <w:rPr>
          <w:rStyle w:val="FootnoteReference"/>
          <w:sz w:val="24"/>
          <w:lang w:val="el-GR"/>
        </w:rPr>
        <w:footnoteRef/>
      </w:r>
      <w:r w:rsidR="00D11EAF" w:rsidRPr="00D11EAF">
        <w:rPr>
          <w:sz w:val="24"/>
          <w:lang w:val="el-GR"/>
        </w:rPr>
        <w:t xml:space="preserve"> </w:t>
      </w:r>
      <w:r w:rsidR="00D11EAF" w:rsidRPr="00D11EAF">
        <w:rPr>
          <w:sz w:val="24"/>
          <w:lang w:val="el-GR"/>
        </w:rPr>
        <w:tab/>
      </w:r>
      <w:r w:rsidRPr="00D11EAF">
        <w:rPr>
          <w:sz w:val="24"/>
          <w:lang w:val="el-GR"/>
        </w:rPr>
        <w:t>ΕΕ L 321 της 17.12.2018, σ. 1.</w:t>
      </w:r>
    </w:p>
  </w:footnote>
  <w:footnote w:id="10">
    <w:p w:rsidR="007C0EF0" w:rsidRPr="00D11EAF" w:rsidRDefault="007C0EF0" w:rsidP="00D11EAF">
      <w:pPr>
        <w:pStyle w:val="FootnoteText"/>
        <w:ind w:left="567" w:hanging="567"/>
        <w:rPr>
          <w:sz w:val="24"/>
          <w:szCs w:val="24"/>
          <w:lang w:val="el-GR"/>
        </w:rPr>
      </w:pPr>
      <w:r w:rsidRPr="00D11EAF">
        <w:rPr>
          <w:rStyle w:val="FootnoteReference"/>
          <w:sz w:val="24"/>
          <w:lang w:val="el-GR"/>
        </w:rPr>
        <w:footnoteRef/>
      </w:r>
      <w:r w:rsidR="00D11EAF" w:rsidRPr="00D11EAF">
        <w:rPr>
          <w:sz w:val="24"/>
          <w:lang w:val="el-GR"/>
        </w:rPr>
        <w:t xml:space="preserve"> </w:t>
      </w:r>
      <w:r w:rsidR="00D11EAF" w:rsidRPr="00D11EAF">
        <w:rPr>
          <w:sz w:val="24"/>
          <w:lang w:val="el-GR"/>
        </w:rPr>
        <w:tab/>
      </w:r>
      <w:r w:rsidRPr="00D11EAF">
        <w:rPr>
          <w:sz w:val="24"/>
          <w:lang w:val="el-GR"/>
        </w:rPr>
        <w:t>ΕΕ L 122 της 10.5.2019, σ. 1.</w:t>
      </w:r>
    </w:p>
  </w:footnote>
  <w:footnote w:id="11">
    <w:p w:rsidR="007C0EF0" w:rsidRPr="00D11EAF" w:rsidRDefault="007C0EF0" w:rsidP="00D11EAF">
      <w:pPr>
        <w:pStyle w:val="FootnoteText"/>
        <w:ind w:left="567" w:hanging="567"/>
        <w:rPr>
          <w:sz w:val="24"/>
          <w:lang w:val="el-GR"/>
        </w:rPr>
      </w:pPr>
      <w:r w:rsidRPr="00D11EAF">
        <w:rPr>
          <w:rStyle w:val="FootnoteReference"/>
          <w:sz w:val="24"/>
          <w:lang w:val="el-GR"/>
        </w:rPr>
        <w:footnoteRef/>
      </w:r>
      <w:r w:rsidR="00D11EAF" w:rsidRPr="00D11EAF">
        <w:rPr>
          <w:sz w:val="24"/>
          <w:lang w:val="el-GR"/>
        </w:rPr>
        <w:t xml:space="preserve"> </w:t>
      </w:r>
      <w:r w:rsidR="00D11EAF" w:rsidRPr="00D11EAF">
        <w:rPr>
          <w:sz w:val="24"/>
          <w:lang w:val="el-GR"/>
        </w:rPr>
        <w:tab/>
      </w:r>
      <w:r w:rsidRPr="00D11EAF">
        <w:rPr>
          <w:sz w:val="24"/>
          <w:lang w:val="el-GR"/>
        </w:rPr>
        <w:t>ΕΕ C 119 της 31.3.2023, σ. 11.</w:t>
      </w:r>
    </w:p>
  </w:footnote>
  <w:footnote w:id="12">
    <w:p w:rsidR="007C0EF0" w:rsidRPr="00D11EAF" w:rsidRDefault="007C0EF0" w:rsidP="00D11EAF">
      <w:pPr>
        <w:pStyle w:val="FootnoteText"/>
        <w:ind w:left="567" w:hanging="567"/>
        <w:rPr>
          <w:sz w:val="24"/>
          <w:szCs w:val="24"/>
          <w:lang w:val="el-GR"/>
        </w:rPr>
      </w:pPr>
      <w:r w:rsidRPr="00D11EAF">
        <w:rPr>
          <w:rStyle w:val="FootnoteReference"/>
          <w:sz w:val="24"/>
          <w:szCs w:val="24"/>
          <w:lang w:val="el-GR"/>
        </w:rPr>
        <w:footnoteRef/>
      </w:r>
      <w:r w:rsidR="00D11EAF" w:rsidRPr="00D11EAF">
        <w:rPr>
          <w:sz w:val="24"/>
          <w:lang w:val="el-GR"/>
        </w:rPr>
        <w:t xml:space="preserve"> </w:t>
      </w:r>
      <w:r w:rsidR="00D11EAF" w:rsidRPr="00D11EAF">
        <w:rPr>
          <w:sz w:val="24"/>
          <w:lang w:val="el-GR"/>
        </w:rPr>
        <w:tab/>
      </w:r>
      <w:r w:rsidRPr="00D11EAF">
        <w:rPr>
          <w:sz w:val="24"/>
          <w:lang w:val="el-GR"/>
        </w:rPr>
        <w:t>Κείμενα που εγκρίθηκαν, P9_TA(2024)0</w:t>
      </w:r>
      <w:r w:rsidR="00BC0C48">
        <w:rPr>
          <w:sz w:val="24"/>
          <w:lang w:val="el-GR"/>
        </w:rPr>
        <w:t>280</w:t>
      </w:r>
      <w:r w:rsidRPr="00D11EAF">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1E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1E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1E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B944ED"/>
    <w:multiLevelType w:val="hybridMultilevel"/>
    <w:tmpl w:val="F94EA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1F0FEF"/>
    <w:multiLevelType w:val="hybridMultilevel"/>
    <w:tmpl w:val="F73C5748"/>
    <w:lvl w:ilvl="0" w:tplc="8FD8D14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756E45B2"/>
    <w:multiLevelType w:val="hybridMultilevel"/>
    <w:tmpl w:val="26DC2E34"/>
    <w:lvl w:ilvl="0" w:tplc="E49CAF54">
      <w:start w:val="1"/>
      <w:numFmt w:val="decimal"/>
      <w:lvlText w:val="%1."/>
      <w:lvlJc w:val="left"/>
      <w:pPr>
        <w:ind w:left="570" w:hanging="57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3266B4"/>
    <w:multiLevelType w:val="hybridMultilevel"/>
    <w:tmpl w:val="CE506694"/>
    <w:lvl w:ilvl="0" w:tplc="D98C7308">
      <w:start w:val="1"/>
      <w:numFmt w:val="decimal"/>
      <w:lvlText w:val="%1."/>
      <w:lvlJc w:val="left"/>
      <w:pPr>
        <w:ind w:left="930" w:hanging="57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64062E"/>
    <w:multiLevelType w:val="hybridMultilevel"/>
    <w:tmpl w:val="6E8EDCDE"/>
    <w:lvl w:ilvl="0" w:tplc="8FD8D142">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2"/>
  </w:num>
  <w:num w:numId="43">
    <w:abstractNumId w:val="12"/>
  </w:num>
  <w:num w:numId="44">
    <w:abstractNumId w:val="13"/>
  </w:num>
  <w:num w:numId="45">
    <w:abstractNumId w:val="10"/>
  </w:num>
  <w:num w:numId="46">
    <w:abstractNumId w:val="11"/>
  </w:num>
  <w:num w:numId="47">
    <w:abstractNumId w:val="16"/>
  </w:num>
  <w:num w:numId="48">
    <w:abstractNumId w:val="14"/>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EL"/>
    <w:docVar w:name="dvnumam" w:val="0"/>
    <w:docVar w:name="dvpe" w:val="753.507"/>
    <w:docVar w:name="dvrapporteur" w:val="Εισηγητής: "/>
    <w:docVar w:name="dvtitre" w:val="Απόφαση του Ευρωπαϊκού Κοινοβουλίου σχετικά με την απαλλαγή όσον αφορά την εκτέλεση του προϋπολογισμού του Οργανισμού για την υποστήριξη του BEREC (Υπηρεσία του BEREC) για το οικονομικό έτος 2022(2023/2141(DEC))"/>
  </w:docVars>
  <w:rsids>
    <w:rsidRoot w:val="008D4C03"/>
    <w:rsid w:val="00002272"/>
    <w:rsid w:val="00064002"/>
    <w:rsid w:val="000677B9"/>
    <w:rsid w:val="000831BA"/>
    <w:rsid w:val="000A42CC"/>
    <w:rsid w:val="000E7DD9"/>
    <w:rsid w:val="0010095E"/>
    <w:rsid w:val="00125B37"/>
    <w:rsid w:val="00187494"/>
    <w:rsid w:val="001A23DF"/>
    <w:rsid w:val="001F32AE"/>
    <w:rsid w:val="001F61B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7A38"/>
    <w:rsid w:val="006631B6"/>
    <w:rsid w:val="00680577"/>
    <w:rsid w:val="006F74FA"/>
    <w:rsid w:val="00731ADD"/>
    <w:rsid w:val="00734777"/>
    <w:rsid w:val="00747932"/>
    <w:rsid w:val="00751A4A"/>
    <w:rsid w:val="00756632"/>
    <w:rsid w:val="00762C74"/>
    <w:rsid w:val="00786EC0"/>
    <w:rsid w:val="007C0EF0"/>
    <w:rsid w:val="007D1690"/>
    <w:rsid w:val="007E22AD"/>
    <w:rsid w:val="00817416"/>
    <w:rsid w:val="00842779"/>
    <w:rsid w:val="00865F67"/>
    <w:rsid w:val="00881A7B"/>
    <w:rsid w:val="008840E5"/>
    <w:rsid w:val="00887B3E"/>
    <w:rsid w:val="008C2AC6"/>
    <w:rsid w:val="008D4C03"/>
    <w:rsid w:val="00930C23"/>
    <w:rsid w:val="0093193B"/>
    <w:rsid w:val="009509D8"/>
    <w:rsid w:val="00950B64"/>
    <w:rsid w:val="00981893"/>
    <w:rsid w:val="0099146A"/>
    <w:rsid w:val="00A1687D"/>
    <w:rsid w:val="00A43E52"/>
    <w:rsid w:val="00A4678D"/>
    <w:rsid w:val="00A778C7"/>
    <w:rsid w:val="00AB441E"/>
    <w:rsid w:val="00AB6293"/>
    <w:rsid w:val="00AE0928"/>
    <w:rsid w:val="00AF3B82"/>
    <w:rsid w:val="00B12E95"/>
    <w:rsid w:val="00B22876"/>
    <w:rsid w:val="00B558F0"/>
    <w:rsid w:val="00BC0C48"/>
    <w:rsid w:val="00BD48FE"/>
    <w:rsid w:val="00BD7BD8"/>
    <w:rsid w:val="00BE6ADC"/>
    <w:rsid w:val="00C05BFE"/>
    <w:rsid w:val="00C23CD4"/>
    <w:rsid w:val="00C61C0C"/>
    <w:rsid w:val="00C941CB"/>
    <w:rsid w:val="00CC2357"/>
    <w:rsid w:val="00CF071A"/>
    <w:rsid w:val="00D058B8"/>
    <w:rsid w:val="00D11EA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D718BF"/>
  <w15:chartTrackingRefBased/>
  <w15:docId w15:val="{283D7DE5-5DDF-4ACC-A597-524DAE152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C0EF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C0EF0"/>
    <w:pPr>
      <w:spacing w:before="480" w:after="240"/>
    </w:pPr>
  </w:style>
  <w:style w:type="paragraph" w:customStyle="1" w:styleId="PageHeading">
    <w:name w:val="PageHeading"/>
    <w:basedOn w:val="Normal"/>
    <w:rsid w:val="007C0EF0"/>
    <w:pPr>
      <w:keepNext/>
      <w:spacing w:after="480"/>
      <w:jc w:val="center"/>
    </w:pPr>
    <w:rPr>
      <w:rFonts w:ascii="Arial" w:hAnsi="Arial" w:cs="Arial"/>
      <w:b/>
    </w:rPr>
  </w:style>
  <w:style w:type="paragraph" w:customStyle="1" w:styleId="NormalBold">
    <w:name w:val="NormalBold"/>
    <w:basedOn w:val="Normal"/>
    <w:rsid w:val="007C0EF0"/>
    <w:rPr>
      <w:b/>
    </w:rPr>
  </w:style>
  <w:style w:type="paragraph" w:customStyle="1" w:styleId="NormalHanging12a">
    <w:name w:val="NormalHanging12a"/>
    <w:basedOn w:val="Normal"/>
    <w:link w:val="NormalHanging12aChar"/>
    <w:rsid w:val="007C0EF0"/>
    <w:pPr>
      <w:spacing w:after="240"/>
      <w:ind w:left="567" w:hanging="567"/>
    </w:pPr>
  </w:style>
  <w:style w:type="paragraph" w:customStyle="1" w:styleId="NormalCenter12a">
    <w:name w:val="NormalCenter12a"/>
    <w:basedOn w:val="Normal"/>
    <w:rsid w:val="007C0EF0"/>
    <w:pPr>
      <w:spacing w:after="240"/>
      <w:jc w:val="center"/>
    </w:pPr>
  </w:style>
  <w:style w:type="paragraph" w:styleId="Header">
    <w:name w:val="header"/>
    <w:basedOn w:val="Normal"/>
    <w:link w:val="HeaderChar"/>
    <w:rsid w:val="007C0EF0"/>
    <w:pPr>
      <w:tabs>
        <w:tab w:val="center" w:pos="4513"/>
        <w:tab w:val="right" w:pos="9026"/>
      </w:tabs>
    </w:pPr>
  </w:style>
  <w:style w:type="character" w:customStyle="1" w:styleId="HeaderChar">
    <w:name w:val="Header Char"/>
    <w:basedOn w:val="DefaultParagraphFont"/>
    <w:link w:val="Header"/>
    <w:rsid w:val="007C0EF0"/>
    <w:rPr>
      <w:sz w:val="24"/>
      <w:lang w:val="el-GR"/>
    </w:rPr>
  </w:style>
  <w:style w:type="paragraph" w:customStyle="1" w:styleId="EPFooter">
    <w:name w:val="EPFooter"/>
    <w:basedOn w:val="Normal"/>
    <w:rsid w:val="007C0EF0"/>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7C0EF0"/>
    <w:rPr>
      <w:sz w:val="24"/>
      <w:lang w:val="el-GR"/>
    </w:rPr>
  </w:style>
  <w:style w:type="paragraph" w:customStyle="1" w:styleId="Normal12Hanging">
    <w:name w:val="Normal12Hanging"/>
    <w:basedOn w:val="Normal"/>
    <w:rsid w:val="007C0EF0"/>
    <w:pPr>
      <w:spacing w:after="240"/>
      <w:ind w:left="567" w:hanging="567"/>
    </w:pPr>
  </w:style>
  <w:style w:type="paragraph" w:styleId="Footer">
    <w:name w:val="footer"/>
    <w:basedOn w:val="Normal"/>
    <w:link w:val="FooterChar"/>
    <w:rsid w:val="001A23DF"/>
    <w:pPr>
      <w:tabs>
        <w:tab w:val="center" w:pos="4513"/>
        <w:tab w:val="right" w:pos="9026"/>
      </w:tabs>
    </w:pPr>
  </w:style>
  <w:style w:type="character" w:customStyle="1" w:styleId="FooterChar">
    <w:name w:val="Footer Char"/>
    <w:basedOn w:val="DefaultParagraphFont"/>
    <w:link w:val="Footer"/>
    <w:rsid w:val="001A23DF"/>
    <w:rPr>
      <w:sz w:val="24"/>
      <w:lang w:val="el-GR"/>
    </w:rPr>
  </w:style>
  <w:style w:type="paragraph" w:styleId="ListParagraph">
    <w:name w:val="List Paragraph"/>
    <w:basedOn w:val="Normal"/>
    <w:uiPriority w:val="34"/>
    <w:qFormat/>
    <w:rsid w:val="001F61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1F1A2-5FE2-43A6-B97F-376245129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3608</Words>
  <Characters>21733</Characters>
  <Application>Microsoft Office Word</Application>
  <DocSecurity>0</DocSecurity>
  <Lines>434</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2024-04-11T12:23:00Z</dcterms:created>
  <dcterms:modified xsi:type="dcterms:W3CDTF">2024-04-11T12:23:00Z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A9-0123/2024</vt:lpwstr>
  </property>
  <property fmtid="{D5CDD505-2E9C-101B-9397-08002B2CF9AE}" pid="4" name="&lt;Type&gt;">
    <vt:lpwstr>RR</vt:lpwstr>
  </property>
</Properties>
</file>