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E82688" w:rsidTr="0010095E">
        <w:trPr>
          <w:trHeight w:hRule="exact" w:val="1418"/>
        </w:trPr>
        <w:tc>
          <w:tcPr>
            <w:tcW w:w="6804" w:type="dxa"/>
            <w:shd w:val="clear" w:color="auto" w:fill="auto"/>
            <w:vAlign w:val="center"/>
          </w:tcPr>
          <w:p w:rsidR="00751A4A" w:rsidRPr="00E82688" w:rsidRDefault="00964FAA" w:rsidP="0010095E">
            <w:pPr>
              <w:pStyle w:val="EPName"/>
            </w:pPr>
            <w:r w:rsidRPr="00E82688">
              <w:t>Euroopan parlamentti</w:t>
            </w:r>
          </w:p>
          <w:p w:rsidR="00751A4A" w:rsidRPr="00E82688" w:rsidRDefault="00817416" w:rsidP="00756632">
            <w:pPr>
              <w:pStyle w:val="EPTerm"/>
              <w:rPr>
                <w:rStyle w:val="HideTWBExt"/>
                <w:noProof w:val="0"/>
                <w:vanish w:val="0"/>
                <w:color w:val="auto"/>
              </w:rPr>
            </w:pPr>
            <w:r w:rsidRPr="00E82688">
              <w:t>2019-2024</w:t>
            </w:r>
          </w:p>
        </w:tc>
        <w:tc>
          <w:tcPr>
            <w:tcW w:w="2268" w:type="dxa"/>
            <w:shd w:val="clear" w:color="auto" w:fill="auto"/>
          </w:tcPr>
          <w:p w:rsidR="00751A4A" w:rsidRPr="00E82688" w:rsidRDefault="00187494" w:rsidP="0010095E">
            <w:pPr>
              <w:pStyle w:val="EPLogo"/>
            </w:pPr>
            <w:r w:rsidRPr="00E82688">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E82688" w:rsidRDefault="00D058B8" w:rsidP="004C5D52">
      <w:pPr>
        <w:pStyle w:val="LineTop"/>
      </w:pPr>
    </w:p>
    <w:p w:rsidR="00680577" w:rsidRPr="00E82688" w:rsidRDefault="00964FAA" w:rsidP="00680577">
      <w:pPr>
        <w:pStyle w:val="EPBodyTA1"/>
      </w:pPr>
      <w:r w:rsidRPr="00E82688">
        <w:t>HYVÄKSYTYT TEKSTIT</w:t>
      </w:r>
    </w:p>
    <w:p w:rsidR="00D058B8" w:rsidRPr="00E82688" w:rsidRDefault="00D058B8" w:rsidP="00D058B8">
      <w:pPr>
        <w:pStyle w:val="LineBottom"/>
      </w:pPr>
    </w:p>
    <w:p w:rsidR="00964FAA" w:rsidRPr="00E82688" w:rsidRDefault="00964FAA" w:rsidP="00964FAA">
      <w:pPr>
        <w:pStyle w:val="ATHeading1"/>
      </w:pPr>
      <w:bookmarkStart w:id="0" w:name="TANumber"/>
      <w:r w:rsidRPr="00E82688">
        <w:t>P9_</w:t>
      </w:r>
      <w:proofErr w:type="gramStart"/>
      <w:r w:rsidRPr="00E82688">
        <w:t>TA(</w:t>
      </w:r>
      <w:proofErr w:type="gramEnd"/>
      <w:r w:rsidRPr="00E82688">
        <w:t>2024)0</w:t>
      </w:r>
      <w:r w:rsidR="0070218B" w:rsidRPr="00E82688">
        <w:t>266</w:t>
      </w:r>
      <w:bookmarkStart w:id="1" w:name="_GoBack"/>
      <w:bookmarkEnd w:id="0"/>
      <w:bookmarkEnd w:id="1"/>
    </w:p>
    <w:p w:rsidR="00964FAA" w:rsidRPr="00E82688" w:rsidRDefault="00964FAA" w:rsidP="00964FAA">
      <w:pPr>
        <w:pStyle w:val="ATHeading2"/>
      </w:pPr>
      <w:bookmarkStart w:id="2" w:name="title"/>
      <w:r w:rsidRPr="00E82688">
        <w:t xml:space="preserve">Vastuuvapaus 2022: </w:t>
      </w:r>
      <w:proofErr w:type="spellStart"/>
      <w:r w:rsidRPr="00E82688">
        <w:t>BERECin</w:t>
      </w:r>
      <w:proofErr w:type="spellEnd"/>
      <w:r w:rsidRPr="00E82688">
        <w:t xml:space="preserve"> tukivirasto (BEREC-virasto)</w:t>
      </w:r>
      <w:bookmarkEnd w:id="2"/>
    </w:p>
    <w:p w:rsidR="00964FAA" w:rsidRPr="00E82688" w:rsidRDefault="00964FAA" w:rsidP="00964FAA">
      <w:pPr>
        <w:rPr>
          <w:i/>
          <w:vanish/>
        </w:rPr>
      </w:pPr>
      <w:r w:rsidRPr="00E82688">
        <w:rPr>
          <w:i/>
        </w:rPr>
        <w:fldChar w:fldCharType="begin"/>
      </w:r>
      <w:r w:rsidRPr="00E82688">
        <w:rPr>
          <w:i/>
        </w:rPr>
        <w:instrText xml:space="preserve"> TC"(</w:instrText>
      </w:r>
      <w:bookmarkStart w:id="3" w:name="DocNumber"/>
      <w:r w:rsidRPr="00E82688">
        <w:rPr>
          <w:i/>
        </w:rPr>
        <w:instrText>A9-0123/2024</w:instrText>
      </w:r>
      <w:bookmarkEnd w:id="3"/>
      <w:r w:rsidRPr="00E82688">
        <w:rPr>
          <w:i/>
        </w:rPr>
        <w:instrText xml:space="preserve"> - Esittelijä: Petri Sarvamaa)"\l3 \n&gt; \* MERGEFORMAT </w:instrText>
      </w:r>
      <w:r w:rsidRPr="00E82688">
        <w:rPr>
          <w:i/>
        </w:rPr>
        <w:fldChar w:fldCharType="end"/>
      </w:r>
    </w:p>
    <w:p w:rsidR="00964FAA" w:rsidRPr="00E82688" w:rsidRDefault="00964FAA" w:rsidP="00964FAA">
      <w:pPr>
        <w:rPr>
          <w:vanish/>
        </w:rPr>
      </w:pPr>
      <w:bookmarkStart w:id="4" w:name="Commission"/>
      <w:r w:rsidRPr="00E82688">
        <w:rPr>
          <w:vanish/>
        </w:rPr>
        <w:t>Talousarvion valvontavaliokunta</w:t>
      </w:r>
      <w:bookmarkEnd w:id="4"/>
    </w:p>
    <w:p w:rsidR="00964FAA" w:rsidRPr="00E82688" w:rsidRDefault="00964FAA" w:rsidP="00964FAA">
      <w:pPr>
        <w:rPr>
          <w:vanish/>
        </w:rPr>
      </w:pPr>
      <w:bookmarkStart w:id="5" w:name="PE"/>
      <w:r w:rsidRPr="00E82688">
        <w:rPr>
          <w:vanish/>
        </w:rPr>
        <w:t>PE753.507</w:t>
      </w:r>
      <w:bookmarkEnd w:id="5"/>
    </w:p>
    <w:p w:rsidR="00964FAA" w:rsidRPr="00E82688" w:rsidRDefault="00D42D6D" w:rsidP="00964FAA">
      <w:pPr>
        <w:pStyle w:val="ATHeading3"/>
      </w:pPr>
      <w:bookmarkStart w:id="6" w:name="Sujet"/>
      <w:r w:rsidRPr="00E82688">
        <w:t>1. E</w:t>
      </w:r>
      <w:r w:rsidR="00964FAA" w:rsidRPr="00E82688">
        <w:t xml:space="preserve">uroopan parlamentin päätös 11. huhtikuuta 2024 vastuuvapauden myöntämisestä </w:t>
      </w:r>
      <w:proofErr w:type="spellStart"/>
      <w:r w:rsidR="00964FAA" w:rsidRPr="00E82688">
        <w:t>BERECin</w:t>
      </w:r>
      <w:proofErr w:type="spellEnd"/>
      <w:r w:rsidR="00964FAA" w:rsidRPr="00E82688">
        <w:t xml:space="preserve"> tukiviraston (BEREC-virasto) talousarvion toteuttamisesta varainhoitovuonna 2022</w:t>
      </w:r>
      <w:bookmarkEnd w:id="6"/>
      <w:r w:rsidR="00964FAA" w:rsidRPr="00E82688">
        <w:t xml:space="preserve"> </w:t>
      </w:r>
      <w:bookmarkStart w:id="7" w:name="References"/>
      <w:r w:rsidR="00964FAA" w:rsidRPr="00E82688">
        <w:t>(2023/2141(DEC))</w:t>
      </w:r>
      <w:bookmarkEnd w:id="7"/>
    </w:p>
    <w:p w:rsidR="00383689" w:rsidRPr="00E82688" w:rsidRDefault="00383689" w:rsidP="00D42D6D">
      <w:pPr>
        <w:pStyle w:val="EPComma"/>
        <w:widowControl/>
      </w:pPr>
      <w:bookmarkStart w:id="8" w:name="TextBodyBegin"/>
      <w:bookmarkEnd w:id="8"/>
      <w:r w:rsidRPr="00E82688">
        <w:rPr>
          <w:i/>
        </w:rPr>
        <w:t>Euroopan parlamentti, joka</w:t>
      </w:r>
    </w:p>
    <w:p w:rsidR="00383689" w:rsidRPr="00E82688" w:rsidRDefault="00383689" w:rsidP="00D42D6D">
      <w:pPr>
        <w:pStyle w:val="NormalHanging12a"/>
        <w:widowControl/>
      </w:pPr>
      <w:r w:rsidRPr="00E82688">
        <w:t>–</w:t>
      </w:r>
      <w:r w:rsidRPr="00E82688">
        <w:tab/>
        <w:t xml:space="preserve">ottaa huomioon </w:t>
      </w:r>
      <w:proofErr w:type="spellStart"/>
      <w:r w:rsidRPr="00E82688">
        <w:t>BERECin</w:t>
      </w:r>
      <w:proofErr w:type="spellEnd"/>
      <w:r w:rsidRPr="00E82688">
        <w:t xml:space="preserve"> tukiviraston (BEREC-virasto) lopullisen tilinpäätöksen varainhoitovuodelta 2022,</w:t>
      </w:r>
    </w:p>
    <w:p w:rsidR="00383689" w:rsidRPr="00E82688" w:rsidRDefault="00383689" w:rsidP="00D42D6D">
      <w:pPr>
        <w:pStyle w:val="NormalHanging12a"/>
        <w:widowControl/>
      </w:pPr>
      <w:r w:rsidRPr="00E82688">
        <w:t>–</w:t>
      </w:r>
      <w:r w:rsidRPr="00E82688">
        <w:tab/>
        <w:t>ottaa huomioon tilintarkastustuomioistuimen vuosikertomuksen EU:n virastoista varainhoitovuodelta 2022 sekä virastojen vastaukset</w:t>
      </w:r>
      <w:r w:rsidRPr="00E82688">
        <w:rPr>
          <w:rStyle w:val="FootnoteReference"/>
        </w:rPr>
        <w:footnoteReference w:id="1"/>
      </w:r>
      <w:r w:rsidRPr="00E82688">
        <w:t>,</w:t>
      </w:r>
    </w:p>
    <w:p w:rsidR="00383689" w:rsidRPr="00E82688" w:rsidRDefault="00383689" w:rsidP="00D42D6D">
      <w:pPr>
        <w:pStyle w:val="NormalHanging12a"/>
        <w:widowControl/>
      </w:pPr>
      <w:r w:rsidRPr="00E82688">
        <w:t>–</w:t>
      </w:r>
      <w:r w:rsidRPr="00E82688">
        <w:tab/>
        <w:t>ottaa huomioon tilintarkastustuomioistuimen Euroopan unionin toiminnasta tehdyn sopimuksen 287 artiklan mukaisesti antaman varainhoitovuotta 2022 koskevan lausuman</w:t>
      </w:r>
      <w:r w:rsidRPr="00E82688">
        <w:rPr>
          <w:rStyle w:val="FootnoteReference"/>
        </w:rPr>
        <w:footnoteReference w:id="2"/>
      </w:r>
      <w:r w:rsidRPr="00E82688">
        <w:t xml:space="preserve"> tilien luotettavuudesta sekä tilien perustana olevien toimien laillisuudesta ja asianmukaisuudesta (sääntöjenmukaisuudesta),</w:t>
      </w:r>
    </w:p>
    <w:p w:rsidR="00383689" w:rsidRPr="00E82688" w:rsidRDefault="00383689" w:rsidP="00D42D6D">
      <w:pPr>
        <w:pStyle w:val="NormalHanging12a"/>
        <w:widowControl/>
      </w:pPr>
      <w:r w:rsidRPr="00E82688">
        <w:t>–</w:t>
      </w:r>
      <w:r w:rsidRPr="00E82688">
        <w:tab/>
        <w:t>ottaa huomioon neuvoston 22. helmikuuta 2024 antaman suosituksen varainhoitovuoden 2022 talousarvion toteuttamista koskevan vastuuvapauden myöntämisestä virastolle (</w:t>
      </w:r>
      <w:r w:rsidR="00D42D6D" w:rsidRPr="00E82688">
        <w:t>06180/2024 – C9</w:t>
      </w:r>
      <w:r w:rsidR="00D42D6D" w:rsidRPr="00E82688">
        <w:noBreakHyphen/>
        <w:t>0</w:t>
      </w:r>
      <w:r w:rsidR="00190678" w:rsidRPr="00E82688">
        <w:t>079</w:t>
      </w:r>
      <w:r w:rsidR="00D42D6D" w:rsidRPr="00E82688">
        <w:t>/2024</w:t>
      </w:r>
      <w:r w:rsidRPr="00E82688">
        <w:t>),</w:t>
      </w:r>
    </w:p>
    <w:p w:rsidR="00383689" w:rsidRPr="00E82688" w:rsidRDefault="00383689" w:rsidP="00D42D6D">
      <w:pPr>
        <w:pStyle w:val="NormalHanging12a"/>
        <w:widowControl/>
      </w:pPr>
      <w:r w:rsidRPr="00E82688">
        <w:t>–</w:t>
      </w:r>
      <w:r w:rsidRPr="00E82688">
        <w:tab/>
        <w:t>ottaa huomioon Euroopan unionin toiminnasta tehdyn sopimuksen 319 artiklan,</w:t>
      </w:r>
    </w:p>
    <w:p w:rsidR="00383689" w:rsidRPr="00E82688" w:rsidRDefault="00383689" w:rsidP="00D42D6D">
      <w:pPr>
        <w:pStyle w:val="NormalHanging12a"/>
        <w:widowControl/>
      </w:pPr>
      <w:r w:rsidRPr="00E82688">
        <w:t>–</w:t>
      </w:r>
      <w:r w:rsidRPr="00E82688">
        <w:tab/>
        <w:t>ottaa huomioon unionin yleiseen talousarvioon sovellettavista varainhoitosäännöistä, asetusten (EU) N:o 1296/2013, (EU) N:o 1301/2013, (EU) N:o 1303/2013, (EU) N:o 1304/2013, (EU) N:o 1309/2013, (EU) N:o 1316/2013, (EU) N:o 223/2014, (EU) N:o 283/2014 ja päätöksen N:o 541/2014/EU muuttamisesta sekä asetuksen (EU, Euratom) N:o 966/2012 kumoamisesta 18. heinäkuuta 2018 annetun Euroopan parlamentin ja neuvoston asetuksen (EU, Euratom) 2018/1046</w:t>
      </w:r>
      <w:r w:rsidRPr="00E82688">
        <w:rPr>
          <w:rStyle w:val="FootnoteReference"/>
        </w:rPr>
        <w:footnoteReference w:id="3"/>
      </w:r>
      <w:r w:rsidRPr="00E82688">
        <w:t xml:space="preserve"> ja erityisesti sen 70 artiklan,</w:t>
      </w:r>
    </w:p>
    <w:p w:rsidR="00383689" w:rsidRPr="00E82688" w:rsidRDefault="00383689" w:rsidP="00D42D6D">
      <w:pPr>
        <w:pStyle w:val="NormalHanging12a"/>
        <w:widowControl/>
      </w:pPr>
      <w:r w:rsidRPr="00E82688">
        <w:t>–</w:t>
      </w:r>
      <w:r w:rsidRPr="00E82688">
        <w:tab/>
        <w:t xml:space="preserve">ottaa huomioon Euroopan sähköisen viestinnän sääntelyviranomaisten yhteistyöelimen (BEREC) ja </w:t>
      </w:r>
      <w:proofErr w:type="spellStart"/>
      <w:r w:rsidRPr="00E82688">
        <w:t>BERECin</w:t>
      </w:r>
      <w:proofErr w:type="spellEnd"/>
      <w:r w:rsidRPr="00E82688">
        <w:t xml:space="preserve"> tukiviraston (BEREC-virasto) perustamisesta, asetuksen (EU) 2015/2120 muuttamisesta ja asetuksen (EY) N:o 1211/2009 kumoamisesta </w:t>
      </w:r>
      <w:r w:rsidRPr="00E82688">
        <w:lastRenderedPageBreak/>
        <w:t>11. joulukuuta 2018 annetun Euroopan parlamentin ja neuvoston asetuksen (EU) 2018/1971</w:t>
      </w:r>
      <w:r w:rsidRPr="00E82688">
        <w:rPr>
          <w:rStyle w:val="FootnoteReference"/>
        </w:rPr>
        <w:footnoteReference w:id="4"/>
      </w:r>
      <w:r w:rsidRPr="00E82688">
        <w:t xml:space="preserve"> ja erityisesti sen 28 artiklan,</w:t>
      </w:r>
    </w:p>
    <w:p w:rsidR="00383689" w:rsidRPr="00E82688" w:rsidRDefault="00383689" w:rsidP="00D42D6D">
      <w:pPr>
        <w:pStyle w:val="NormalHanging12a"/>
        <w:widowControl/>
      </w:pPr>
      <w:r w:rsidRPr="00E82688">
        <w:t>–</w:t>
      </w:r>
      <w:r w:rsidRPr="00E82688">
        <w:tab/>
        <w:t>ottaa huomioon Euroopan parlamentin ja neuvoston asetuksen (EU, Euratom) 2018/1046 70 artiklassa tarkoitettuja, SEUT-sopimuksen ja Euratomin perustamissopimuksen nojalla perustettuja elimiä koskevasta varainhoidon puiteasetuksesta 18. joulukuuta 2018 annetun komission delegoidun asetuksen (EU) 2019/715</w:t>
      </w:r>
      <w:r w:rsidRPr="00E82688">
        <w:rPr>
          <w:rStyle w:val="FootnoteReference"/>
        </w:rPr>
        <w:footnoteReference w:id="5"/>
      </w:r>
      <w:r w:rsidRPr="00E82688">
        <w:t xml:space="preserve"> ja erityisesti sen 105 artiklan,</w:t>
      </w:r>
    </w:p>
    <w:p w:rsidR="00383689" w:rsidRPr="00E82688" w:rsidRDefault="00383689" w:rsidP="00D42D6D">
      <w:pPr>
        <w:pStyle w:val="NormalHanging12a"/>
        <w:widowControl/>
      </w:pPr>
      <w:r w:rsidRPr="00E82688">
        <w:t>–</w:t>
      </w:r>
      <w:r w:rsidRPr="00E82688">
        <w:tab/>
        <w:t>ottaa huomioon työjärjestyksen 100 artiklan ja liitteen V,</w:t>
      </w:r>
    </w:p>
    <w:p w:rsidR="00383689" w:rsidRPr="00E82688" w:rsidRDefault="00383689" w:rsidP="00D42D6D">
      <w:pPr>
        <w:pStyle w:val="NormalHanging12a"/>
        <w:widowControl/>
      </w:pPr>
      <w:r w:rsidRPr="00E82688">
        <w:t>–</w:t>
      </w:r>
      <w:r w:rsidRPr="00E82688">
        <w:tab/>
        <w:t>ottaa huomioon talousarvion valvontavaliokunnan mietinnön (A9-0123/2024),</w:t>
      </w:r>
    </w:p>
    <w:p w:rsidR="00383689" w:rsidRPr="00E82688" w:rsidRDefault="00383689" w:rsidP="00D42D6D">
      <w:pPr>
        <w:pStyle w:val="NormalHanging12a"/>
        <w:widowControl/>
      </w:pPr>
      <w:r w:rsidRPr="00E82688">
        <w:t>1.</w:t>
      </w:r>
      <w:r w:rsidRPr="00E82688">
        <w:tab/>
        <w:t xml:space="preserve">myöntää </w:t>
      </w:r>
      <w:proofErr w:type="spellStart"/>
      <w:r w:rsidRPr="00E82688">
        <w:t>BERECin</w:t>
      </w:r>
      <w:proofErr w:type="spellEnd"/>
      <w:r w:rsidRPr="00E82688">
        <w:t xml:space="preserve"> tukiviraston (BEREC-virasto) johtajalle vastuuvapauden viraston talousarvion toteuttamisesta varainhoitovuonna 2022;</w:t>
      </w:r>
    </w:p>
    <w:p w:rsidR="00383689" w:rsidRPr="00E82688" w:rsidRDefault="00383689" w:rsidP="00D42D6D">
      <w:pPr>
        <w:pStyle w:val="NormalHanging12a"/>
        <w:widowControl/>
      </w:pPr>
      <w:r w:rsidRPr="00E82688">
        <w:t>2.</w:t>
      </w:r>
      <w:r w:rsidRPr="00E82688">
        <w:tab/>
        <w:t>esittää huomautuksensa oheisessa päätöslauselmassa;</w:t>
      </w:r>
    </w:p>
    <w:p w:rsidR="00383689" w:rsidRPr="00E82688" w:rsidRDefault="00383689" w:rsidP="00D42D6D">
      <w:pPr>
        <w:pStyle w:val="NormalHanging12a"/>
        <w:widowControl/>
        <w:sectPr w:rsidR="00383689" w:rsidRPr="00E82688" w:rsidSect="00DA0FAB">
          <w:footerReference w:type="even" r:id="rId9"/>
          <w:footerReference w:type="first" r:id="rId10"/>
          <w:footnotePr>
            <w:numRestart w:val="eachPage"/>
          </w:footnotePr>
          <w:endnotePr>
            <w:numFmt w:val="decimal"/>
          </w:endnotePr>
          <w:pgSz w:w="11906" w:h="16838" w:code="9"/>
          <w:pgMar w:top="1134" w:right="1418" w:bottom="1418" w:left="1418" w:header="1134" w:footer="567" w:gutter="0"/>
          <w:cols w:space="720"/>
          <w:noEndnote/>
          <w:docGrid w:linePitch="326"/>
        </w:sectPr>
      </w:pPr>
      <w:r w:rsidRPr="00E82688">
        <w:t>3.</w:t>
      </w:r>
      <w:r w:rsidRPr="00E82688">
        <w:tab/>
        <w:t xml:space="preserve">kehottaa puhemiestä välittämään tämän päätöksen ja siihen erottamattomasti kuuluvan päätöslauselman </w:t>
      </w:r>
      <w:proofErr w:type="spellStart"/>
      <w:r w:rsidRPr="00E82688">
        <w:t>BERECin</w:t>
      </w:r>
      <w:proofErr w:type="spellEnd"/>
      <w:r w:rsidRPr="00E82688">
        <w:t xml:space="preserve"> tukiviraston (BEREC-virasto) johtajalle, neuvostolle, komissiolle ja tilintarkastustuomioistuimelle sekä huolehtimaan niiden julkaisemisesta </w:t>
      </w:r>
      <w:r w:rsidRPr="00E82688">
        <w:rPr>
          <w:i/>
        </w:rPr>
        <w:t>Euroopan unionin virallisessa lehdessä</w:t>
      </w:r>
      <w:r w:rsidRPr="00E82688">
        <w:t xml:space="preserve"> (L-sarja).</w:t>
      </w:r>
    </w:p>
    <w:p w:rsidR="00383689" w:rsidRPr="00E82688" w:rsidRDefault="00D42D6D" w:rsidP="00E82688">
      <w:pPr>
        <w:pStyle w:val="ATHeading3"/>
      </w:pPr>
      <w:r w:rsidRPr="00E82688">
        <w:lastRenderedPageBreak/>
        <w:t xml:space="preserve">2. Euroopan parlamentin päätös 11. huhtikuuta 2024 </w:t>
      </w:r>
      <w:proofErr w:type="spellStart"/>
      <w:r w:rsidRPr="00E82688">
        <w:t>B</w:t>
      </w:r>
      <w:r w:rsidR="00383689" w:rsidRPr="00E82688">
        <w:t>ERECin</w:t>
      </w:r>
      <w:proofErr w:type="spellEnd"/>
      <w:r w:rsidR="00383689" w:rsidRPr="00E82688">
        <w:t xml:space="preserve"> tukiviraston (BEREC-</w:t>
      </w:r>
      <w:r w:rsidRPr="00E82688">
        <w:t xml:space="preserve"> </w:t>
      </w:r>
      <w:r w:rsidR="00383689" w:rsidRPr="00E82688">
        <w:t>virasto) varainhoitovuoden 2022 tilien päättämisestä</w:t>
      </w:r>
      <w:r w:rsidRPr="00E82688">
        <w:t xml:space="preserve"> </w:t>
      </w:r>
      <w:r w:rsidR="00383689" w:rsidRPr="00E82688">
        <w:t>(2023/2141(DEC))</w:t>
      </w:r>
    </w:p>
    <w:p w:rsidR="00383689" w:rsidRPr="00E82688" w:rsidRDefault="00383689" w:rsidP="00D42D6D">
      <w:pPr>
        <w:pStyle w:val="EPComma"/>
        <w:widowControl/>
      </w:pPr>
      <w:r w:rsidRPr="00E82688">
        <w:rPr>
          <w:i/>
        </w:rPr>
        <w:t>Euroopan parlamentti, joka</w:t>
      </w:r>
    </w:p>
    <w:p w:rsidR="00383689" w:rsidRPr="00E82688" w:rsidRDefault="00383689" w:rsidP="00D42D6D">
      <w:pPr>
        <w:pStyle w:val="NormalHanging12a"/>
        <w:widowControl/>
      </w:pPr>
      <w:r w:rsidRPr="00E82688">
        <w:t>–</w:t>
      </w:r>
      <w:r w:rsidRPr="00E82688">
        <w:tab/>
        <w:t xml:space="preserve">ottaa huomioon </w:t>
      </w:r>
      <w:proofErr w:type="spellStart"/>
      <w:r w:rsidRPr="00E82688">
        <w:t>BERECin</w:t>
      </w:r>
      <w:proofErr w:type="spellEnd"/>
      <w:r w:rsidRPr="00E82688">
        <w:t xml:space="preserve"> tukiviraston (BEREC-virasto) lopullisen tilinpäätöksen varainhoitovuodelta 2022,</w:t>
      </w:r>
    </w:p>
    <w:p w:rsidR="00383689" w:rsidRPr="00E82688" w:rsidRDefault="00383689" w:rsidP="00D42D6D">
      <w:pPr>
        <w:pStyle w:val="NormalHanging12a"/>
        <w:widowControl/>
      </w:pPr>
      <w:r w:rsidRPr="00E82688">
        <w:t>–</w:t>
      </w:r>
      <w:r w:rsidRPr="00E82688">
        <w:tab/>
        <w:t>ottaa huomioon tilintarkastustuomioistuimen vuosikertomuksen EU:n virastoista varainhoitovuodelta 2022 sekä virastojen vastaukset</w:t>
      </w:r>
      <w:r w:rsidRPr="00E82688">
        <w:rPr>
          <w:rStyle w:val="FootnoteReference"/>
        </w:rPr>
        <w:footnoteReference w:id="6"/>
      </w:r>
      <w:r w:rsidRPr="00E82688">
        <w:t>,</w:t>
      </w:r>
    </w:p>
    <w:p w:rsidR="00383689" w:rsidRPr="00E82688" w:rsidRDefault="00383689" w:rsidP="00D42D6D">
      <w:pPr>
        <w:pStyle w:val="NormalHanging12a"/>
        <w:widowControl/>
      </w:pPr>
      <w:r w:rsidRPr="00E82688">
        <w:t>–</w:t>
      </w:r>
      <w:r w:rsidRPr="00E82688">
        <w:tab/>
        <w:t>ottaa huomioon tilintarkastustuomioistuimen Euroopan unionin toiminnasta tehdyn sopimuksen 287 artiklan mukaisesti antaman varainhoitovuotta 2022 koskevan lausuman</w:t>
      </w:r>
      <w:r w:rsidRPr="00E82688">
        <w:rPr>
          <w:rStyle w:val="FootnoteReference"/>
        </w:rPr>
        <w:footnoteReference w:id="7"/>
      </w:r>
      <w:r w:rsidRPr="00E82688">
        <w:t xml:space="preserve"> tilien luotettavuudesta sekä tilien perustana olevien toimien laillisuudesta ja asianmukaisuudesta (sääntöjenmukaisuudesta),</w:t>
      </w:r>
    </w:p>
    <w:p w:rsidR="00383689" w:rsidRPr="00E82688" w:rsidRDefault="00383689" w:rsidP="00D42D6D">
      <w:pPr>
        <w:pStyle w:val="NormalHanging12a"/>
        <w:widowControl/>
      </w:pPr>
      <w:r w:rsidRPr="00E82688">
        <w:t>–</w:t>
      </w:r>
      <w:r w:rsidRPr="00E82688">
        <w:tab/>
        <w:t>ottaa huomioon neuvoston 22. helmikuuta 2024 antaman suosituksen varainhoitovuoden 2022 talousarvion toteuttamista koskevan vastuuvapauden myöntämisestä virastolle (</w:t>
      </w:r>
      <w:r w:rsidR="00D42D6D" w:rsidRPr="00E82688">
        <w:t>06180/2024 – C9</w:t>
      </w:r>
      <w:r w:rsidR="00D42D6D" w:rsidRPr="00E82688">
        <w:noBreakHyphen/>
        <w:t>0</w:t>
      </w:r>
      <w:r w:rsidR="00190678" w:rsidRPr="00E82688">
        <w:t>079</w:t>
      </w:r>
      <w:r w:rsidR="00D42D6D" w:rsidRPr="00E82688">
        <w:t>/2024</w:t>
      </w:r>
      <w:r w:rsidRPr="00E82688">
        <w:t>),</w:t>
      </w:r>
    </w:p>
    <w:p w:rsidR="00383689" w:rsidRPr="00E82688" w:rsidRDefault="00383689" w:rsidP="00D42D6D">
      <w:pPr>
        <w:pStyle w:val="NormalHanging12a"/>
        <w:widowControl/>
      </w:pPr>
      <w:r w:rsidRPr="00E82688">
        <w:t>–</w:t>
      </w:r>
      <w:r w:rsidRPr="00E82688">
        <w:tab/>
        <w:t>ottaa huomioon Euroopan unionin toiminnasta tehdyn sopimuksen 319 artiklan,</w:t>
      </w:r>
    </w:p>
    <w:p w:rsidR="00383689" w:rsidRPr="00E82688" w:rsidRDefault="00383689" w:rsidP="00D42D6D">
      <w:pPr>
        <w:pStyle w:val="NormalHanging12a"/>
        <w:widowControl/>
      </w:pPr>
      <w:r w:rsidRPr="00E82688">
        <w:t>–</w:t>
      </w:r>
      <w:r w:rsidRPr="00E82688">
        <w:tab/>
        <w:t>ottaa huomioon unionin yleiseen talousarvioon sovellettavista varainhoitosäännöistä, asetusten (EU) N:o 1296/2013, (EU) N:o 1301/2013, (EU) N:o 1303/2013, (EU) N:o 1304/2013, (EU) N:o 1309/2013, (EU) N:o 1316/2013, (EU) N:o 223/2014, (EU) N:o 283/2014 ja päätöksen N:o 541/2014/EU muuttamisesta sekä asetuksen (EU, Euratom) N:o 966/2012 kumoamisesta 18. heinäkuuta 2018 annetun Euroopan parlamentin ja neuvoston asetuksen (EU, Euratom) 2018/1046</w:t>
      </w:r>
      <w:r w:rsidRPr="00E82688">
        <w:rPr>
          <w:rStyle w:val="FootnoteReference"/>
        </w:rPr>
        <w:footnoteReference w:id="8"/>
      </w:r>
      <w:r w:rsidRPr="00E82688">
        <w:t xml:space="preserve"> ja erityisesti sen 70 artiklan,</w:t>
      </w:r>
    </w:p>
    <w:p w:rsidR="00383689" w:rsidRPr="00E82688" w:rsidRDefault="00383689" w:rsidP="00D42D6D">
      <w:pPr>
        <w:pStyle w:val="NormalHanging12a"/>
        <w:widowControl/>
      </w:pPr>
      <w:r w:rsidRPr="00E82688">
        <w:t>–</w:t>
      </w:r>
      <w:r w:rsidRPr="00E82688">
        <w:tab/>
        <w:t xml:space="preserve">ottaa huomioon Euroopan sähköisen viestinnän sääntelyviranomaisten yhteistyöelimen (BEREC) ja </w:t>
      </w:r>
      <w:proofErr w:type="spellStart"/>
      <w:r w:rsidRPr="00E82688">
        <w:t>BERECin</w:t>
      </w:r>
      <w:proofErr w:type="spellEnd"/>
      <w:r w:rsidRPr="00E82688">
        <w:t xml:space="preserve"> tukiviraston (BEREC-virasto) perustamisesta, asetuksen (EU) 2015/2120 muuttamisesta ja asetuksen (EY) N:o 1211/2009 kumoamisesta 11. joulukuuta 2018 annetun Euroopan parlamentin ja neuvoston asetuksen (EU) 2018/1971</w:t>
      </w:r>
      <w:r w:rsidRPr="00E82688">
        <w:rPr>
          <w:rStyle w:val="FootnoteReference"/>
        </w:rPr>
        <w:footnoteReference w:id="9"/>
      </w:r>
      <w:r w:rsidRPr="00E82688">
        <w:t xml:space="preserve"> ja erityisesti sen 28 artiklan,</w:t>
      </w:r>
    </w:p>
    <w:p w:rsidR="00383689" w:rsidRPr="00E82688" w:rsidRDefault="00383689" w:rsidP="00D42D6D">
      <w:pPr>
        <w:pStyle w:val="NormalHanging12a"/>
        <w:widowControl/>
      </w:pPr>
      <w:r w:rsidRPr="00E82688">
        <w:t>–</w:t>
      </w:r>
      <w:r w:rsidRPr="00E82688">
        <w:tab/>
        <w:t>ottaa huomioon Euroopan parlamentin ja neuvoston asetuksen (EU, Euratom) 2018/1046 70 artiklassa tarkoitettuja, SEUT-sopimuksen ja Euratomin perustamissopimuksen nojalla perustettuja elimiä koskevasta varainhoidon puiteasetuksesta 18. joulukuuta 2018 annetun komission delegoidun asetuksen (EU) 2019/715</w:t>
      </w:r>
      <w:r w:rsidRPr="00E82688">
        <w:rPr>
          <w:rStyle w:val="FootnoteReference"/>
        </w:rPr>
        <w:footnoteReference w:id="10"/>
      </w:r>
      <w:r w:rsidRPr="00E82688">
        <w:t xml:space="preserve"> ja erityisesti sen 105 artiklan,</w:t>
      </w:r>
    </w:p>
    <w:p w:rsidR="00383689" w:rsidRPr="00E82688" w:rsidRDefault="00383689" w:rsidP="00D42D6D">
      <w:pPr>
        <w:pStyle w:val="NormalHanging12a"/>
        <w:widowControl/>
      </w:pPr>
      <w:r w:rsidRPr="00E82688">
        <w:t>–</w:t>
      </w:r>
      <w:r w:rsidRPr="00E82688">
        <w:tab/>
        <w:t>ottaa huomioon työjärjestyksen 100 artiklan ja liitteen V,</w:t>
      </w:r>
    </w:p>
    <w:p w:rsidR="00383689" w:rsidRPr="00E82688" w:rsidRDefault="00383689" w:rsidP="00D42D6D">
      <w:pPr>
        <w:pStyle w:val="NormalHanging12a"/>
        <w:widowControl/>
      </w:pPr>
      <w:r w:rsidRPr="00E82688">
        <w:t>–</w:t>
      </w:r>
      <w:r w:rsidRPr="00E82688">
        <w:tab/>
        <w:t>ottaa huomioon talousarvion valvontavaliokunnan mietinnön (A9-0123/2024),</w:t>
      </w:r>
    </w:p>
    <w:p w:rsidR="00383689" w:rsidRPr="00E82688" w:rsidRDefault="00383689" w:rsidP="00D42D6D">
      <w:pPr>
        <w:pStyle w:val="NormalHanging12a"/>
        <w:widowControl/>
      </w:pPr>
      <w:r w:rsidRPr="00E82688">
        <w:lastRenderedPageBreak/>
        <w:t>1.</w:t>
      </w:r>
      <w:r w:rsidRPr="00E82688">
        <w:tab/>
        <w:t xml:space="preserve">hyväksyy </w:t>
      </w:r>
      <w:proofErr w:type="spellStart"/>
      <w:r w:rsidRPr="00E82688">
        <w:t>BERECin</w:t>
      </w:r>
      <w:proofErr w:type="spellEnd"/>
      <w:r w:rsidRPr="00E82688">
        <w:t xml:space="preserve"> tukiviraston (BEREC-virasto) varainhoitovuoden 2022 tilien päättämisen;</w:t>
      </w:r>
    </w:p>
    <w:p w:rsidR="00383689" w:rsidRPr="00E82688" w:rsidRDefault="00383689" w:rsidP="00D42D6D">
      <w:pPr>
        <w:pStyle w:val="NormalHanging12a"/>
        <w:widowControl/>
        <w:sectPr w:rsidR="00383689" w:rsidRPr="00E82688" w:rsidSect="00DA0FAB">
          <w:footnotePr>
            <w:numRestart w:val="eachPage"/>
          </w:footnotePr>
          <w:endnotePr>
            <w:numFmt w:val="decimal"/>
          </w:endnotePr>
          <w:pgSz w:w="11906" w:h="16838" w:code="9"/>
          <w:pgMar w:top="1134" w:right="1418" w:bottom="1418" w:left="1418" w:header="567" w:footer="567" w:gutter="0"/>
          <w:cols w:space="720"/>
          <w:noEndnote/>
          <w:docGrid w:linePitch="326"/>
        </w:sectPr>
      </w:pPr>
      <w:r w:rsidRPr="00E82688">
        <w:t>2.</w:t>
      </w:r>
      <w:r w:rsidRPr="00E82688">
        <w:tab/>
        <w:t xml:space="preserve">kehottaa puhemiestä välittämään tämän päätöksen </w:t>
      </w:r>
      <w:proofErr w:type="spellStart"/>
      <w:r w:rsidRPr="00E82688">
        <w:t>BERECin</w:t>
      </w:r>
      <w:proofErr w:type="spellEnd"/>
      <w:r w:rsidRPr="00E82688">
        <w:t xml:space="preserve"> tukiviraston (BEREC-virasto) johtajalle, neuvostolle, komissiolle ja tilintarkastustuomioistuimelle sekä huolehtimaan sen julkaisemisesta </w:t>
      </w:r>
      <w:r w:rsidRPr="00E82688">
        <w:rPr>
          <w:i/>
        </w:rPr>
        <w:t>Euroopan unionin virallisessa lehdessä</w:t>
      </w:r>
      <w:r w:rsidRPr="00E82688">
        <w:t xml:space="preserve"> (L-sarja).</w:t>
      </w:r>
    </w:p>
    <w:p w:rsidR="00383689" w:rsidRPr="00E82688" w:rsidRDefault="00D42D6D" w:rsidP="00E82688">
      <w:pPr>
        <w:pStyle w:val="ATHeading3"/>
      </w:pPr>
      <w:r w:rsidRPr="00E82688">
        <w:lastRenderedPageBreak/>
        <w:t xml:space="preserve">3. Euroopan parlamentin päätöslauselma 11. huhtikuuta 2024, joka </w:t>
      </w:r>
      <w:r w:rsidR="00383689" w:rsidRPr="00E82688">
        <w:t xml:space="preserve">sisältää huomautukset, jotka ovat erottamaton osa päätöstä vastuuvapauden myöntämisestä </w:t>
      </w:r>
      <w:proofErr w:type="spellStart"/>
      <w:r w:rsidR="00383689" w:rsidRPr="00E82688">
        <w:t>BERECin</w:t>
      </w:r>
      <w:proofErr w:type="spellEnd"/>
      <w:r w:rsidR="00383689" w:rsidRPr="00E82688">
        <w:t xml:space="preserve"> tukiviraston (BEREC-virasto) talousarvion toteuttamisesta varainhoitovuonna 2022</w:t>
      </w:r>
      <w:r w:rsidRPr="00E82688">
        <w:t xml:space="preserve"> </w:t>
      </w:r>
      <w:r w:rsidR="00383689" w:rsidRPr="00E82688">
        <w:t>(2023/2141(DEC))</w:t>
      </w:r>
    </w:p>
    <w:p w:rsidR="00383689" w:rsidRPr="00E82688" w:rsidRDefault="00383689" w:rsidP="00D42D6D">
      <w:pPr>
        <w:pStyle w:val="EPComma"/>
        <w:widowControl/>
      </w:pPr>
      <w:r w:rsidRPr="00E82688">
        <w:rPr>
          <w:i/>
        </w:rPr>
        <w:t>Euroopan parlamentti, joka</w:t>
      </w:r>
    </w:p>
    <w:p w:rsidR="00383689" w:rsidRPr="00E82688" w:rsidRDefault="00383689" w:rsidP="00D42D6D">
      <w:pPr>
        <w:pStyle w:val="NormalHanging12a"/>
        <w:widowControl/>
      </w:pPr>
      <w:r w:rsidRPr="00E82688">
        <w:t>–</w:t>
      </w:r>
      <w:r w:rsidRPr="00E82688">
        <w:tab/>
        <w:t xml:space="preserve">ottaa huomioon päätöksensä vastuuvapauden myöntämisestä </w:t>
      </w:r>
      <w:proofErr w:type="spellStart"/>
      <w:r w:rsidRPr="00E82688">
        <w:t>BERECin</w:t>
      </w:r>
      <w:proofErr w:type="spellEnd"/>
      <w:r w:rsidRPr="00E82688">
        <w:t xml:space="preserve"> tukiviraston (BEREC-virasto) talousarvion toteuttamisesta varainhoitovuonna 2022,</w:t>
      </w:r>
    </w:p>
    <w:p w:rsidR="00383689" w:rsidRPr="00E82688" w:rsidRDefault="00383689" w:rsidP="00D42D6D">
      <w:pPr>
        <w:pStyle w:val="NormalHanging12a"/>
        <w:widowControl/>
      </w:pPr>
      <w:r w:rsidRPr="00E82688">
        <w:t>–</w:t>
      </w:r>
      <w:r w:rsidRPr="00E82688">
        <w:tab/>
        <w:t>ottaa huomioon työjärjestyksen 100 artiklan ja liitteen V,</w:t>
      </w:r>
    </w:p>
    <w:p w:rsidR="00383689" w:rsidRPr="00E82688" w:rsidRDefault="00383689" w:rsidP="00D42D6D">
      <w:pPr>
        <w:pStyle w:val="NormalHanging12a"/>
        <w:widowControl/>
      </w:pPr>
      <w:r w:rsidRPr="00E82688">
        <w:t>–</w:t>
      </w:r>
      <w:r w:rsidRPr="00E82688">
        <w:tab/>
        <w:t>ottaa huomioon talousarvion valvontavaliokunnan mietinnön (A9-0123/2024),</w:t>
      </w:r>
    </w:p>
    <w:p w:rsidR="00383689" w:rsidRPr="00E82688" w:rsidRDefault="00383689" w:rsidP="00D42D6D">
      <w:pPr>
        <w:pStyle w:val="NormalHanging12a"/>
        <w:widowControl/>
        <w:rPr>
          <w:szCs w:val="24"/>
        </w:rPr>
      </w:pPr>
      <w:r w:rsidRPr="00E82688">
        <w:t>A.</w:t>
      </w:r>
      <w:r w:rsidRPr="00E82688">
        <w:tab/>
        <w:t>toteaa, että viraston tulo- ja menotaulukon</w:t>
      </w:r>
      <w:r w:rsidRPr="00E82688">
        <w:rPr>
          <w:rFonts w:eastAsiaTheme="minorHAnsi"/>
          <w:szCs w:val="24"/>
          <w:vertAlign w:val="superscript"/>
          <w:lang w:eastAsia="en-US"/>
        </w:rPr>
        <w:footnoteReference w:id="11"/>
      </w:r>
      <w:r w:rsidRPr="00E82688">
        <w:t xml:space="preserve"> mukaan sen lopullinen hyväksytty talousarvio varainhoitovuodeksi 2022 oli 7 428 456 euroa, mikä merkitsee 1,19 prosentin lisäystä vuoteen 2021 verrattuna; toteaa, että viraston talousarvio rahoitetaan pääasiassa unionin talousarviosta;</w:t>
      </w:r>
    </w:p>
    <w:p w:rsidR="00383689" w:rsidRPr="00E82688" w:rsidRDefault="00383689" w:rsidP="00D42D6D">
      <w:pPr>
        <w:pStyle w:val="NormalHanging12a"/>
        <w:widowControl/>
        <w:rPr>
          <w:szCs w:val="24"/>
        </w:rPr>
      </w:pPr>
      <w:r w:rsidRPr="00E82688">
        <w:t>B.</w:t>
      </w:r>
      <w:r w:rsidRPr="00E82688">
        <w:tab/>
        <w:t>ottaa huomioon, että tilintarkastustuomioistuin toteaa kertomuksessaan viraston tilinpäätöksestä varainhoitovuodelta 2022 saaneensa kohtuullisen varmuuden siitä, että viraston tilit olivat luotettavat ja tilien perustana olevat toimet olivat lailliset ja asianmukaiset (sääntöjenmukaiset);</w:t>
      </w:r>
    </w:p>
    <w:p w:rsidR="00383689" w:rsidRPr="00E82688" w:rsidRDefault="00383689" w:rsidP="00D42D6D">
      <w:pPr>
        <w:pStyle w:val="NormalHanging12a"/>
        <w:widowControl/>
        <w:rPr>
          <w:szCs w:val="24"/>
        </w:rPr>
      </w:pPr>
      <w:r w:rsidRPr="00E82688">
        <w:t>C.</w:t>
      </w:r>
      <w:r w:rsidRPr="00E82688">
        <w:tab/>
        <w:t>ottaa huomioon, että viraston hankinta-alan osalta vuonna 2022 ei raportoitu korjaavia toimia edellyttävistä seikoista eikä aiempien vuosien tarkastuksista ja arvioinneista ole käynnissä tai kesken korjaavia toimia;</w:t>
      </w:r>
    </w:p>
    <w:p w:rsidR="00383689" w:rsidRPr="00E82688" w:rsidRDefault="00383689" w:rsidP="00D42D6D">
      <w:pPr>
        <w:pStyle w:val="NormalHanging12a"/>
        <w:widowControl/>
        <w:rPr>
          <w:szCs w:val="24"/>
        </w:rPr>
      </w:pPr>
      <w:r w:rsidRPr="00E82688">
        <w:t>D.</w:t>
      </w:r>
      <w:r w:rsidRPr="00E82688">
        <w:tab/>
        <w:t>ottaa huomioon, että viraston sisäisen valvonnan järjestelmien osalta vuonna 2022 ei raportoitu korjaavia toimia edellyttävistä seikoista eikä aiempien vuosien tarkastuksista ja arvioinneista ole käynnissä tai kesken korjaavia toimia;</w:t>
      </w:r>
    </w:p>
    <w:p w:rsidR="00383689" w:rsidRPr="00E82688" w:rsidRDefault="00383689" w:rsidP="00D42D6D">
      <w:pPr>
        <w:pStyle w:val="NormalHanging12a"/>
        <w:keepNext/>
        <w:widowControl/>
        <w:rPr>
          <w:b/>
          <w:i/>
          <w:szCs w:val="24"/>
        </w:rPr>
      </w:pPr>
      <w:r w:rsidRPr="00E82688">
        <w:rPr>
          <w:b/>
          <w:i/>
        </w:rPr>
        <w:t>Talousarvio- ja varainhallinto</w:t>
      </w:r>
    </w:p>
    <w:p w:rsidR="00383689" w:rsidRPr="00E82688" w:rsidRDefault="00383689" w:rsidP="00D42D6D">
      <w:pPr>
        <w:widowControl/>
        <w:spacing w:after="240"/>
        <w:ind w:left="567" w:hanging="567"/>
        <w:rPr>
          <w:sz w:val="22"/>
          <w:szCs w:val="22"/>
        </w:rPr>
      </w:pPr>
      <w:r w:rsidRPr="00E82688">
        <w:t>1.</w:t>
      </w:r>
      <w:r w:rsidRPr="00E82688">
        <w:tab/>
        <w:t>panee tyytyväisenä merkille, että varainhoitovuonna 2022 toteutetun talousarvion seurannan tuloksena talousarvion toteutusaste oli 99,99 prosenttia vuoden lopullisen hyväksytyn talousarvion maksusitoumusmäärärahojen osalta, mikä merkitsee 0,02 prosentin kasvua vuoteen 2021 verrattuna; pitää myönteisenä, että talousarvion toteutusaste ylittää hallintoneuvoston asettaman 95 prosentin kynnysarvon;</w:t>
      </w:r>
      <w:r w:rsidRPr="00E82688">
        <w:rPr>
          <w:sz w:val="22"/>
        </w:rPr>
        <w:t xml:space="preserve"> </w:t>
      </w:r>
      <w:r w:rsidRPr="00E82688">
        <w:t>toteaa, että kyseisenä vuonna maksumäärärahojen käyttöaste oli 82,78 prosenttia, mikä merkitsee 13,44 prosentin lisäystä vuoteen 2021 verrattuna;</w:t>
      </w:r>
    </w:p>
    <w:p w:rsidR="00383689" w:rsidRPr="00E82688" w:rsidRDefault="00383689" w:rsidP="00D42D6D">
      <w:pPr>
        <w:pStyle w:val="Normal12Hanging"/>
        <w:keepNext/>
        <w:widowControl/>
        <w:rPr>
          <w:b/>
          <w:i/>
          <w:szCs w:val="24"/>
        </w:rPr>
      </w:pPr>
      <w:r w:rsidRPr="00E82688">
        <w:rPr>
          <w:b/>
          <w:i/>
        </w:rPr>
        <w:t>Toiminnan tuloksellisuus</w:t>
      </w:r>
    </w:p>
    <w:p w:rsidR="00383689" w:rsidRPr="00E82688" w:rsidRDefault="00383689" w:rsidP="00D42D6D">
      <w:pPr>
        <w:pStyle w:val="NormalHanging12a"/>
        <w:widowControl/>
      </w:pPr>
      <w:r w:rsidRPr="00E82688">
        <w:t>2.</w:t>
      </w:r>
      <w:r w:rsidRPr="00E82688">
        <w:tab/>
        <w:t xml:space="preserve">panee merkille, että virasto käyttää keskeisiä tulosindikaattoreita arvioidessaan tavoitteidensa suhteen saavutettuja tuloksia, muun muassa tukea työryhmille, viestintätoimia, rahoitusta ja hankintoja koskevia keskitettyjä menettelyjä sekä henkilöstöhallintoa; panee merkille, että useimmat tavoitteet on saavutettu, mutta suosittelee paneutumaan keskeisiin tulosindikaattoreihin, joihin liittyvät tavoitteet ovat jääneet saavuttamatta tai edistyvät odotettua hitaammin (esim. korvausprosessin </w:t>
      </w:r>
      <w:r w:rsidRPr="00E82688">
        <w:lastRenderedPageBreak/>
        <w:t>parantaminen AGM-välineen (</w:t>
      </w:r>
      <w:proofErr w:type="spellStart"/>
      <w:r w:rsidRPr="00E82688">
        <w:t>advanced</w:t>
      </w:r>
      <w:proofErr w:type="spellEnd"/>
      <w:r w:rsidRPr="00E82688">
        <w:t xml:space="preserve"> </w:t>
      </w:r>
      <w:proofErr w:type="spellStart"/>
      <w:r w:rsidRPr="00E82688">
        <w:t>gateway</w:t>
      </w:r>
      <w:proofErr w:type="spellEnd"/>
      <w:r w:rsidRPr="00E82688">
        <w:t xml:space="preserve"> for </w:t>
      </w:r>
      <w:proofErr w:type="spellStart"/>
      <w:r w:rsidRPr="00E82688">
        <w:t>meetings</w:t>
      </w:r>
      <w:proofErr w:type="spellEnd"/>
      <w:r w:rsidRPr="00E82688">
        <w:t xml:space="preserve">) avulla ja sopimuksen allekirjoittaminen </w:t>
      </w:r>
      <w:proofErr w:type="spellStart"/>
      <w:r w:rsidRPr="00E82688">
        <w:t>BERECin</w:t>
      </w:r>
      <w:proofErr w:type="spellEnd"/>
      <w:r w:rsidRPr="00E82688">
        <w:t xml:space="preserve"> tieto- ja viestintätekniikkastrategian 2022–2025 kehittämisen tukemiseksi); suosittelee, että virasto hienosäätää keskeisiä tulosindikaattoreita säännöllisesti tuloksellisuutensa optimoimiseksi;</w:t>
      </w:r>
    </w:p>
    <w:p w:rsidR="00383689" w:rsidRPr="00E82688" w:rsidRDefault="00383689" w:rsidP="00D42D6D">
      <w:pPr>
        <w:pStyle w:val="Normal12Hanging"/>
        <w:widowControl/>
      </w:pPr>
      <w:r w:rsidRPr="00E82688">
        <w:t>3.</w:t>
      </w:r>
      <w:r w:rsidRPr="00E82688">
        <w:tab/>
        <w:t xml:space="preserve">panee tyytyväisenä merkille, että virasto antoi edelleen laadukasta hallinnollista ja ammatillista tukea </w:t>
      </w:r>
      <w:proofErr w:type="spellStart"/>
      <w:r w:rsidRPr="00E82688">
        <w:t>BERECin</w:t>
      </w:r>
      <w:proofErr w:type="spellEnd"/>
      <w:r w:rsidRPr="00E82688">
        <w:t xml:space="preserve"> sääntelyneuvostolle, </w:t>
      </w:r>
      <w:proofErr w:type="spellStart"/>
      <w:r w:rsidRPr="00E82688">
        <w:t>BERECin</w:t>
      </w:r>
      <w:proofErr w:type="spellEnd"/>
      <w:r w:rsidRPr="00E82688">
        <w:t xml:space="preserve"> yhteysverkostolle, julkisille selonteoille ja </w:t>
      </w:r>
      <w:proofErr w:type="spellStart"/>
      <w:r w:rsidRPr="00E82688">
        <w:t>BERECin</w:t>
      </w:r>
      <w:proofErr w:type="spellEnd"/>
      <w:r w:rsidRPr="00E82688">
        <w:t xml:space="preserve"> työryhmille, mukaan lukien tilapäiset työryhmät ja BEREC-viraston neuvoa-antava ryhmä;</w:t>
      </w:r>
    </w:p>
    <w:p w:rsidR="00383689" w:rsidRPr="00E82688" w:rsidRDefault="00383689" w:rsidP="00D42D6D">
      <w:pPr>
        <w:pStyle w:val="NormalHanging12a"/>
        <w:widowControl/>
      </w:pPr>
      <w:r w:rsidRPr="00E82688">
        <w:t>4.</w:t>
      </w:r>
      <w:r w:rsidRPr="00E82688">
        <w:tab/>
        <w:t>pitää myönteisenä, että Ukrainan televiestintäalan sääntelyviranomainen NCEC otettiin mukaan virastoon äänioikeudettomana jäsenenä;</w:t>
      </w:r>
    </w:p>
    <w:p w:rsidR="00383689" w:rsidRPr="00E82688" w:rsidRDefault="00383689" w:rsidP="00D42D6D">
      <w:pPr>
        <w:pStyle w:val="Normal12Hanging"/>
        <w:keepNext/>
        <w:widowControl/>
        <w:rPr>
          <w:b/>
          <w:i/>
          <w:szCs w:val="24"/>
        </w:rPr>
      </w:pPr>
      <w:r w:rsidRPr="00E82688">
        <w:rPr>
          <w:b/>
          <w:i/>
        </w:rPr>
        <w:t>Tehokkuus ja hyödyt</w:t>
      </w:r>
    </w:p>
    <w:p w:rsidR="00383689" w:rsidRPr="00E82688" w:rsidRDefault="00383689" w:rsidP="00D42D6D">
      <w:pPr>
        <w:pStyle w:val="Normal12Hanging"/>
        <w:widowControl/>
        <w:rPr>
          <w:szCs w:val="24"/>
        </w:rPr>
      </w:pPr>
      <w:r w:rsidRPr="00E82688">
        <w:t>5.</w:t>
      </w:r>
      <w:r w:rsidRPr="00E82688">
        <w:tab/>
        <w:t>panee merkille, että toimet tehokkuuden parantamiseksi vuonna 2022 kohdistuivat seuraaviin pääaloihin: joidenkin toimintojen keskittäminen, hankinnat ja tehokkuushyödyt, jotka on saavutettu lisäämällä komission tietotekniikkasovellusten käyttöä tai ottamalla käyttöön uusia sovelluksia ja käyttämällä ulkoisia resursseja henkilöstöresurssien puutteen korvaamiseksi tai teknisiin ja avustaviin tehtäviin;</w:t>
      </w:r>
    </w:p>
    <w:p w:rsidR="00383689" w:rsidRPr="00E82688" w:rsidRDefault="00383689" w:rsidP="00D42D6D">
      <w:pPr>
        <w:pStyle w:val="Normal12Hanging"/>
        <w:widowControl/>
        <w:rPr>
          <w:szCs w:val="24"/>
        </w:rPr>
      </w:pPr>
      <w:r w:rsidRPr="00E82688">
        <w:t>6.</w:t>
      </w:r>
      <w:r w:rsidRPr="00E82688">
        <w:tab/>
        <w:t>panee merkille, että hankintojen alalla virasto jatkoi vuonna 2022 toimielinten yhteisten hankintamenettelyjen käyttöä ja liittyi seitsemään toimielinten yhteiseen hankintamenettelyyn, mikä johti kuuden puitesopimuksen tekemiseen raportointikaudella;</w:t>
      </w:r>
    </w:p>
    <w:p w:rsidR="00383689" w:rsidRPr="00E82688" w:rsidRDefault="00383689" w:rsidP="00D42D6D">
      <w:pPr>
        <w:pStyle w:val="Normal12Hanging"/>
        <w:widowControl/>
        <w:rPr>
          <w:szCs w:val="24"/>
        </w:rPr>
      </w:pPr>
      <w:r w:rsidRPr="00E82688">
        <w:t>7.</w:t>
      </w:r>
      <w:r w:rsidRPr="00E82688">
        <w:tab/>
        <w:t>panee tyytyväisenä merkille tehokkuushyödyt, jotka saavutettiin käyttämällä enemmän tai ottamalla käyttöön uusia komission tietotekniikkasovelluksia; panee erityisesti merkille, että virasto oli vuonna 2022 ottanut kaikilta osin ja aktiivisesti käyttöön kaikki Sysper2-järjestelmän perusmoduulit, joihin kuuluvat esimerkiksi identiteetinhallinta, organisaation hallinta, henkilötietojen hallinta, työolot ja -ehdot, osaamisen johtaminen ja asiakirjahallinto, ja kolme valinnaisista moduuleista eli joustava työaika, etätyö ja yksilölliset oikeudet;</w:t>
      </w:r>
    </w:p>
    <w:p w:rsidR="00383689" w:rsidRPr="00E82688" w:rsidRDefault="00383689" w:rsidP="00D42D6D">
      <w:pPr>
        <w:pStyle w:val="NormalHanging12a"/>
        <w:widowControl/>
      </w:pPr>
      <w:r w:rsidRPr="00E82688">
        <w:t>8.</w:t>
      </w:r>
      <w:r w:rsidRPr="00E82688">
        <w:tab/>
        <w:t>panee merkille, että virasto on perustamisestaan lähtien toiminut tiettyjen tointen osalta puutteellisin henkilöresurssein; panee merkille, että virasto kompensoi joitakin kapasiteettirajoitteita, jos se suinkin on mahdollista, ja käyttää aina ensisijaisesti komission ja muiden unionin virastojen tarjoamia palveluja; toteaa, että tähän lähestymistapaan sisältyy komission henkilökohtaisten etuuksien hallinto- ja maksutoimiston (PMO) tarjoamien palvelujen ja unionin toimielinten, elinten ja virastojen tietotekniikan kriisiryhmän (CERT-EU) tietotekniikan ja turvallisuuspalvelun alalla tarjoamien palvelujen hyödyntäminen; panee tyytyväisenä merkille, että virasto on tehnyt Euroopan unionin teollisoikeuksien viraston kanssa tietotekniikan alalla erittäin menestyksekästä yhteistyötä muun muassa seuraavilla aloilla: säilytyspalvelut, tietotekniikan kehittäminen, palautuminen, viraston verkkosivuston uuden rakenteen kehittäminen ja muut tietotekniikkapalvelut;</w:t>
      </w:r>
    </w:p>
    <w:p w:rsidR="00383689" w:rsidRPr="00E82688" w:rsidRDefault="00383689" w:rsidP="00D42D6D">
      <w:pPr>
        <w:pStyle w:val="NormalHanging12a"/>
        <w:widowControl/>
      </w:pPr>
      <w:r w:rsidRPr="00E82688">
        <w:t>9.</w:t>
      </w:r>
      <w:r w:rsidRPr="00E82688">
        <w:tab/>
        <w:t xml:space="preserve">muistuttaa, että on tärkeää lisätä </w:t>
      </w:r>
      <w:proofErr w:type="spellStart"/>
      <w:r w:rsidRPr="00E82688">
        <w:t>digitalisaatiota</w:t>
      </w:r>
      <w:proofErr w:type="spellEnd"/>
      <w:r w:rsidRPr="00E82688">
        <w:t xml:space="preserve"> viraston sisäisen toiminnan ja hallinnoinnin osalta mutta myös menettelyjen digitalisoinnin nopeuttamiseksi; korostaa, että viraston on jatkossakin toimittava tässä suhteessa ennakoivasti, jottei virastojen välille pääse syntymään digitaalista kuilua; kehottaa kuitenkin kiinnittämään huomiota siihen, että on toteutettava kaikki tarvittavat turvatoimet, jotta vältetään käsiteltävien </w:t>
      </w:r>
      <w:r w:rsidRPr="00E82688">
        <w:lastRenderedPageBreak/>
        <w:t>tietojen verkkoturvallisuuteen kohdistuvat riskit, ja pitää ehdottoman välttämättömänä, että lisätään toimia erityisesti Venäjältä tai Kiinasta peräisin olevien kyberhyökkäysten ja soluttautumispyrkimysten torjumiseksi;</w:t>
      </w:r>
    </w:p>
    <w:p w:rsidR="00383689" w:rsidRPr="00E82688" w:rsidRDefault="00383689" w:rsidP="00D42D6D">
      <w:pPr>
        <w:pStyle w:val="Normal12Hanging"/>
        <w:keepNext/>
        <w:widowControl/>
        <w:rPr>
          <w:b/>
          <w:i/>
          <w:szCs w:val="24"/>
        </w:rPr>
      </w:pPr>
      <w:r w:rsidRPr="00E82688">
        <w:rPr>
          <w:b/>
          <w:i/>
        </w:rPr>
        <w:t>Henkilöstöpolitiikka</w:t>
      </w:r>
    </w:p>
    <w:p w:rsidR="00383689" w:rsidRPr="00E82688" w:rsidRDefault="00383689" w:rsidP="00D42D6D">
      <w:pPr>
        <w:widowControl/>
        <w:spacing w:after="240"/>
        <w:ind w:left="567" w:hanging="567"/>
        <w:rPr>
          <w:rFonts w:eastAsia="Calibri"/>
          <w:szCs w:val="24"/>
        </w:rPr>
      </w:pPr>
      <w:r w:rsidRPr="00E82688">
        <w:t>10.</w:t>
      </w:r>
      <w:r w:rsidRPr="00E82688">
        <w:tab/>
        <w:t>panee merkille, että 31. joulukuuta 2022 henkilöstötaulukossa oli 16 unionin talousarviossa hyväksyttyä väliaikaista toimihenkilöä (sama määrä hyväksyttyjä toimia kuin vuonna 2021); panee merkille, että vuonna 2022 viraston palveluksessa työskenteli lisäksi 19 sopimussuhteista toimihenkilöä, kahdeksan kansallista asiantuntijaa ja 10 tilapäistä työntekijää ja konsulttia;</w:t>
      </w:r>
    </w:p>
    <w:p w:rsidR="00383689" w:rsidRPr="00E82688" w:rsidRDefault="00383689" w:rsidP="00D42D6D">
      <w:pPr>
        <w:pStyle w:val="NormalHanging12a"/>
        <w:widowControl/>
      </w:pPr>
      <w:r w:rsidRPr="00E82688">
        <w:t>11.</w:t>
      </w:r>
      <w:r w:rsidRPr="00E82688">
        <w:tab/>
        <w:t>panee tyytyväisenä merkille viraston pyrkimykset mukauttaa toimintansa Euroopan parlamentin, EU:n neuvoston ja Euroopan komission 19. heinäkuuta 2012 erillisvirastoista antaman yhteisen julkilausuman periaatteisiin, mukaan lukien odotettu kriittinen vähimmäiskoko;</w:t>
      </w:r>
    </w:p>
    <w:p w:rsidR="00383689" w:rsidRPr="00E82688" w:rsidRDefault="00383689" w:rsidP="00D42D6D">
      <w:pPr>
        <w:pStyle w:val="NormalHanging12a"/>
        <w:widowControl/>
      </w:pPr>
      <w:r w:rsidRPr="00E82688">
        <w:t>12.</w:t>
      </w:r>
      <w:r w:rsidRPr="00E82688">
        <w:tab/>
        <w:t>toteaa, että henkilöstöalan politiikan suurin haaste oli henkilöstön suuri vaihtuvuus, joka vuonna 2022 nousi 16,3 prosenttiin, kun se vuonna 2021 oli ollut 4,6 prosenttia ja vuonna 2020 5,4 prosenttia; panee merkille, että henkilöstön vaihtuvuuden jyrkkä kasvu vaikutti erityisesti hallinto- ja talousyksikköön; toteaa, että täyttääkseen avoimeksi tulleet toimet ja varmistaakseen, että henkilöstöllä on virastossa ja sen hallinnossa tarvittavat uudet taidot, virasto käynnisti vuonna 2022 valintamenettelyt täyttääkseen viisi avointa tointa (yksi väliaikainen toimihenkilö ja neljä sopimussuhteista toimihenkilöä), joita varten sillä ei ollut käytössä sopivia varallaololuetteloita, kun taas muiden avoimeksi tulleiden kolmen toimen osalta virasto varmisti nopean rekrytoinnin voimassa olleista varallaololuetteloistaan; pyytää kuitenkin virastoa analysoimaan syitä henkilöstön suureen vaihtuvuuteen ja toteuttamaan tarvittavat toimet sen välttämiseksi tulevaisuudessa ja raportoimaan asiasta vastuuvapauden myöntävälle viranomaiselle;</w:t>
      </w:r>
    </w:p>
    <w:p w:rsidR="00383689" w:rsidRPr="00E82688" w:rsidRDefault="00383689" w:rsidP="00D42D6D">
      <w:pPr>
        <w:widowControl/>
        <w:spacing w:after="240"/>
        <w:ind w:left="567" w:hanging="567"/>
        <w:rPr>
          <w:rFonts w:eastAsia="Calibri"/>
          <w:szCs w:val="24"/>
        </w:rPr>
      </w:pPr>
      <w:r w:rsidRPr="00E82688">
        <w:t>13.</w:t>
      </w:r>
      <w:r w:rsidRPr="00E82688">
        <w:tab/>
        <w:t>panee tyytyväisenä merkille viraston aloitteet henkilöstön jäsenten työ- ja yksityiselämän edellytysten parantamiseksi, mukaan lukien oikeudellinen neuvonta yksityisasioissa, taloudellinen tuki päivähoitoa varten, kansainvälisten koulujen lukukausimaksut, kielikurssit, arvonlisäverottomat tavarat kansallisille asiantuntijoille, perehdytysohjelma uusille tulokkaille ja Latviaan muuttavien perheenjäsenten avustaminen, osittain yhteistyössä Latvian viranomaisten kanssa;</w:t>
      </w:r>
    </w:p>
    <w:p w:rsidR="00383689" w:rsidRPr="00E82688" w:rsidRDefault="00383689" w:rsidP="00D42D6D">
      <w:pPr>
        <w:pStyle w:val="NormalHanging12a"/>
        <w:widowControl/>
      </w:pPr>
      <w:r w:rsidRPr="00E82688">
        <w:t>14.</w:t>
      </w:r>
      <w:r w:rsidRPr="00E82688">
        <w:tab/>
        <w:t>panee tyytyväisenä merkille, että vuonna 2022 ja vuonna 2021 päästiin tilanteeseen, jossa sukupuolet olivat henkilöstössä tasapuolisesti edustettuina, sillä naisia oli 52 prosenttia ja miehiä 48 prosenttia; vaatii tehostamaan ponnisteluja sukupuolten kohtuullisen tasapuolisen edustuksen ylläpitämiseksi viraston henkilöstössä; toteaa, että virastossa on vain kolme keskijohdon tointa ja että myös keskijohdossa saavutettiin hyväksyttävä sukupuolten tasapaino, kun näissä toimissa oli yksi nainen ja kaksi miestä;</w:t>
      </w:r>
    </w:p>
    <w:p w:rsidR="00383689" w:rsidRPr="00E82688" w:rsidRDefault="00383689" w:rsidP="00D42D6D">
      <w:pPr>
        <w:pStyle w:val="NormalHanging12a"/>
        <w:widowControl/>
      </w:pPr>
      <w:r w:rsidRPr="00E82688">
        <w:t>15.</w:t>
      </w:r>
      <w:r w:rsidRPr="00E82688">
        <w:tab/>
        <w:t>panee merkille, että virastolla on työntekijöiden ihmisarvon suojelua sekä työpaikkakiusaamisen ja seksuaalisen häirinnän ehkäisemistä koskevat toimintaperiaatteet ja että se kuuluu virastojen väliseen häirintäyhdyshenkilöiden työryhmään; odottaa saavansa työryhmän raportin ja suositukset; panee merkille, että vuonna 2022 ei ilmoitettu yhtään häirintätapausta, ja kannustaa virastoa jatkamaan ja kehittämään työtä tapausten ehkäisemiseksi myös tulevaisuudessa;</w:t>
      </w:r>
    </w:p>
    <w:p w:rsidR="00383689" w:rsidRPr="00E82688" w:rsidRDefault="00383689" w:rsidP="00D42D6D">
      <w:pPr>
        <w:pStyle w:val="NormalHanging12a"/>
        <w:widowControl/>
      </w:pPr>
      <w:r w:rsidRPr="00E82688">
        <w:lastRenderedPageBreak/>
        <w:t>16.</w:t>
      </w:r>
      <w:r w:rsidRPr="00E82688">
        <w:tab/>
        <w:t>pitää valitettavana, että virasto ei ole hyväksynyt monimuotoisuutta ja osallisuutta koskevaa peruskirjaa, jolla pyritään edistämään yhtäläistä kohtelua ja yhtäläisiä mahdollisuuksia riippumatta mistään perusteesta, kuten sukupuolesta, rodusta, ihonväristä, etnisestä tai yhteiskunnallisesta alkuperästä, geneettisistä ominaisuuksista, kielestä, uskonnosta tai vakaumuksesta, poliittisesta tai muusta mielipiteestä, kansalliseen vähemmistöön kuulumisesta, varallisuudesta, syntyperästä, vammaisuudesta, iästä tai seksuaalisesta suuntautumisesta; muistuttaa, että yksi peruskirjan tavoitteista on saavuttaa lyhyellä tai keskipitkällä aikavälillä tavoite, jonka mukaan aliedustetun sukupuolen osuuden olisi keskijohdossa oltava vähintään 40 prosenttia; panee merkille viraston vastauksen vastuuvapauden myöntämistä koskevaan vakiomuotoiseen kyselylomakkeeseen; katsoo, että pariton määrä sekä ylimmän johdon että keskijohdon virkaluokassa ei estä peruskirjan hyväksymistä; kannustaa virastoa hyväksymään peruskirjan ja osallistumaan aktiivisesti aloitteisiin, joilla edistetään monimuotoisuutta ja osallisuutta työpaikalla;</w:t>
      </w:r>
    </w:p>
    <w:p w:rsidR="00383689" w:rsidRPr="00E82688" w:rsidRDefault="00383689" w:rsidP="00D42D6D">
      <w:pPr>
        <w:pStyle w:val="NormalHanging12a"/>
        <w:widowControl/>
      </w:pPr>
      <w:r w:rsidRPr="00E82688">
        <w:t>17.</w:t>
      </w:r>
      <w:r w:rsidRPr="00E82688">
        <w:tab/>
        <w:t>panee tyytyväisenä merkille, että virasto jatkoi harjoitteluohjelmaansa vuonna 2022; panee merkille, että virastoon tuli yhteensä seitsemän harjoittelijaa ja että 15 harjoittelijaa osallistui viraston harjoitteluohjelmaan;</w:t>
      </w:r>
    </w:p>
    <w:p w:rsidR="00383689" w:rsidRPr="00E82688" w:rsidRDefault="00383689" w:rsidP="00D42D6D">
      <w:pPr>
        <w:keepNext/>
        <w:widowControl/>
        <w:spacing w:after="240"/>
        <w:ind w:left="567" w:hanging="567"/>
        <w:rPr>
          <w:rFonts w:eastAsia="Calibri"/>
          <w:b/>
          <w:i/>
          <w:szCs w:val="24"/>
        </w:rPr>
      </w:pPr>
      <w:r w:rsidRPr="00E82688">
        <w:rPr>
          <w:b/>
          <w:i/>
        </w:rPr>
        <w:t>Eturistiriitojen ennaltaehkäisy ja hallinta sekä avoimuus</w:t>
      </w:r>
    </w:p>
    <w:p w:rsidR="00383689" w:rsidRPr="00E82688" w:rsidRDefault="00383689" w:rsidP="00D42D6D">
      <w:pPr>
        <w:widowControl/>
        <w:spacing w:after="240"/>
        <w:ind w:left="567" w:hanging="567"/>
        <w:rPr>
          <w:szCs w:val="24"/>
        </w:rPr>
      </w:pPr>
      <w:r w:rsidRPr="00E82688">
        <w:t>18.</w:t>
      </w:r>
      <w:r w:rsidRPr="00E82688">
        <w:tab/>
        <w:t>panee merkille, että virasto julkistaa verkkosivustollaan hallintoneuvostonsa jäsenten ansioluettelot ja eturistiriitoja koskevat ilmoitukset;</w:t>
      </w:r>
    </w:p>
    <w:p w:rsidR="00383689" w:rsidRPr="00E82688" w:rsidRDefault="00383689" w:rsidP="00D42D6D">
      <w:pPr>
        <w:widowControl/>
        <w:spacing w:after="240"/>
        <w:ind w:left="567" w:hanging="567"/>
        <w:rPr>
          <w:szCs w:val="24"/>
        </w:rPr>
      </w:pPr>
      <w:r w:rsidRPr="00E82688">
        <w:t>19.</w:t>
      </w:r>
      <w:r w:rsidRPr="00E82688">
        <w:tab/>
        <w:t>panee merkille, että ennen tehtäviensä aloittamista virastossa henkilöstösääntöjen alaisen henkilöstön, kansallisten asiantuntijoiden, harjoittelijoiden ja tilapäisten työntekijöiden on toimitettava sidonnaisuusilmoitus, jonka nimittävä viranomainen tai johtaja tarkistaa ennen toimen hyväksymistä; panee lisäksi merkille, että henkilöstön on päivitettävä kyseistä ilmoitusta säännöllisesti työsuhteen aikana mahdollisten tapauskohtaisten eturistiriitatilanteiden korjaamiseksi ja tiedotettava virastolle ennakoivasti kaikesta ulkopuolisesta toiminnasta, ammatillisista sitoumuksista henkilökohtaisen vapaan aikana, lahjan pitämisestä, puolison työsuhteesta ja mahdollisista ristiriidoista julkaisujen tai puheiden kautta; toteaa, että palvelussuhteen päättyessä henkilöstösääntöjen alaisen henkilöstön ja harjoittelijoiden on ilmoitettava suunnitelluista tulevista ammatillisista työtehtävistään virastolle tietyssä määräajassa työsuhteen päättymisen jälkeen;</w:t>
      </w:r>
    </w:p>
    <w:p w:rsidR="00383689" w:rsidRPr="00E82688" w:rsidRDefault="00383689" w:rsidP="00D42D6D">
      <w:pPr>
        <w:widowControl/>
        <w:spacing w:after="240"/>
        <w:ind w:left="567" w:hanging="567"/>
        <w:rPr>
          <w:szCs w:val="24"/>
        </w:rPr>
      </w:pPr>
      <w:r w:rsidRPr="00E82688">
        <w:t>20.</w:t>
      </w:r>
      <w:r w:rsidRPr="00E82688">
        <w:tab/>
        <w:t xml:space="preserve">panee merkille, että viraston johtaja hyväksyi muistion, jolla hallinnoidaan henkilöstön jäsenten eturistiriitoja valinnan ja rekrytoinnin aikana ja jossa vaaditaan ilmoittamaan mahdolliset ammatilliset tai henkilökohtaiset suhteet hakijoihin riippumatta siitä, muodostaako tällainen suhde eturistiriidan; toteaa lisäksi, että henkilöstön jäsenten olisi myös ilmoitettava, voivatko he pysyä puolueettomina; toteaa, että kun hakijoiden nimet on julkistettu, valintalautakunnan jäsenten on toimitettava eturistiriitoja koskeva ilmoitus edellä mainitun muistion sekä viraston valinta-, </w:t>
      </w:r>
      <w:proofErr w:type="spellStart"/>
      <w:r w:rsidRPr="00E82688">
        <w:t>palvelukseenotto</w:t>
      </w:r>
      <w:proofErr w:type="spellEnd"/>
      <w:r w:rsidRPr="00E82688">
        <w:t>- tai uudelleenluokittelumenettelyihin osallistuvien henkilöstön jäsenten eturistiriitojen ehkäisemistä ja hallintaa koskevien ohjeiden mukaisesti;</w:t>
      </w:r>
    </w:p>
    <w:p w:rsidR="00383689" w:rsidRPr="00E82688" w:rsidRDefault="00383689" w:rsidP="00D42D6D">
      <w:pPr>
        <w:widowControl/>
        <w:spacing w:after="240"/>
        <w:ind w:left="567" w:hanging="567"/>
        <w:rPr>
          <w:szCs w:val="24"/>
        </w:rPr>
      </w:pPr>
      <w:r w:rsidRPr="00E82688">
        <w:t>21.</w:t>
      </w:r>
      <w:r w:rsidRPr="00E82688">
        <w:tab/>
        <w:t xml:space="preserve">panee merkille, että hallintoneuvosto hyväksyi viraston petostentorjuntastrategian 2023–2025, jonka tavoitteena on parantaa petosten havaitsemista, seuraamusten määräämistä niistä ja niiden ehkäisemistä sekä torjua muuta laitonta toimintaa, joka voi vaikuttaa viraston taloudellisiin etuihin; suhtautuu myönteisesti siihen, että virasto otti käyttöön </w:t>
      </w:r>
      <w:proofErr w:type="spellStart"/>
      <w:r w:rsidRPr="00E82688">
        <w:t>Sysperin</w:t>
      </w:r>
      <w:proofErr w:type="spellEnd"/>
      <w:r w:rsidRPr="00E82688">
        <w:t xml:space="preserve"> eettiset moduulit, jotka kattavat eturistiriitailmoituksen, lahja- tai </w:t>
      </w:r>
      <w:r w:rsidRPr="00E82688">
        <w:lastRenderedPageBreak/>
        <w:t>vieraanvaraisuusilmoituksen, julkaisuilmoituksen, lupapyynnön ulkopuolista toimintaa varten, lupapyynnön henkilökohtaisista syistä myönnetyn virkavapauden aikaista ulkopuolista toimintaa varten ja puolison työllistymisilmoituksen;</w:t>
      </w:r>
    </w:p>
    <w:p w:rsidR="00383689" w:rsidRPr="00E82688" w:rsidRDefault="00383689" w:rsidP="00D42D6D">
      <w:pPr>
        <w:pStyle w:val="NormalHanging12a"/>
        <w:widowControl/>
      </w:pPr>
      <w:r w:rsidRPr="00E82688">
        <w:t>22.</w:t>
      </w:r>
      <w:r w:rsidRPr="00E82688">
        <w:tab/>
        <w:t>pitää tärkeänä lisätä viraston näkyvyyttä tiedotusvälineissä, internetissä sekä sosiaalisessa mediassa, jotta sen työtä voidaan tehdä tunnetuksi kansalaisten parissa;</w:t>
      </w:r>
    </w:p>
    <w:p w:rsidR="00383689" w:rsidRPr="00E82688" w:rsidRDefault="00383689" w:rsidP="00D42D6D">
      <w:pPr>
        <w:keepNext/>
        <w:widowControl/>
        <w:spacing w:after="240"/>
        <w:ind w:left="567" w:hanging="567"/>
        <w:rPr>
          <w:b/>
          <w:i/>
          <w:szCs w:val="24"/>
        </w:rPr>
      </w:pPr>
      <w:r w:rsidRPr="00E82688">
        <w:rPr>
          <w:b/>
          <w:i/>
        </w:rPr>
        <w:t>Muita huomautuksia</w:t>
      </w:r>
    </w:p>
    <w:p w:rsidR="00383689" w:rsidRPr="00E82688" w:rsidRDefault="00383689" w:rsidP="00D42D6D">
      <w:pPr>
        <w:widowControl/>
        <w:spacing w:after="240"/>
        <w:ind w:left="567" w:hanging="567"/>
        <w:rPr>
          <w:b/>
          <w:i/>
          <w:szCs w:val="24"/>
        </w:rPr>
      </w:pPr>
      <w:r w:rsidRPr="00E82688">
        <w:t>23.</w:t>
      </w:r>
      <w:r w:rsidRPr="00E82688">
        <w:tab/>
        <w:t>panee merkille, että helmikuussa 2022 virasto alkoi käyttää julkisten hankintojen hallinnointityökalua, joka on edelleen virtaviivaistanut sen julkisia hankintaprosesseja ja varmistanut uusimpien komission mallien ja parhaiden käytäntöjen käytön prosessin jokaisessa vaiheessa;</w:t>
      </w:r>
    </w:p>
    <w:p w:rsidR="00383689" w:rsidRPr="00E82688" w:rsidRDefault="00383689" w:rsidP="00D42D6D">
      <w:pPr>
        <w:widowControl/>
        <w:spacing w:after="240"/>
        <w:ind w:left="567" w:hanging="567"/>
        <w:rPr>
          <w:szCs w:val="24"/>
        </w:rPr>
      </w:pPr>
      <w:r w:rsidRPr="00E82688">
        <w:t>24.</w:t>
      </w:r>
      <w:r w:rsidRPr="00E82688">
        <w:tab/>
        <w:t>toteaa, että parantaakseen kyberturvallisuutta ja hallussaan olevien digitaalisten tietueiden suojaa virasto käyttää kahteen tekijään perustuvaa todennusta, verkkosovellusten palomuureja, automaattisia varmuuskopioita, sovellettua salausta (soveltuvin osin / mahdollisuuksien mukaan) ja säännöllisiä toiminnan kannalta kriittisten järjestelmien palautustestejä; toteaa lisäksi, että virasto käyttää ohjelmistopohjaista suojausta loppukäyttäjien laitteille, kuten kannettaville tietokoneille ja matkapuhelimille, sekä CERT-EU:n tarjoamia tieto- ja viestintätekniikan turvallisuuspalveluita;</w:t>
      </w:r>
    </w:p>
    <w:p w:rsidR="00383689" w:rsidRPr="00E82688" w:rsidRDefault="00383689" w:rsidP="00D42D6D">
      <w:pPr>
        <w:pStyle w:val="NormalHanging12a"/>
        <w:widowControl/>
      </w:pPr>
      <w:r w:rsidRPr="00E82688">
        <w:t>25.</w:t>
      </w:r>
      <w:r w:rsidRPr="00E82688">
        <w:tab/>
        <w:t>suhtautuu myönteisesti viraston pyrkimyksiin kohdella prioriteettina uutta lainsäädäntöä, jossa säädetään kyberturvallisuustoimenpiteistä unionin toimielimissä, elimissä, toimistoissa ja virastoissa; panee huolestuneena merkille, että pienikokoisille virastoille, kuten BEREC-virastolle, aiheutuva mahdollinen kohtuuton rasite saattaa vaarantaa vaatimusten noudattamisen; kehottaa komissiota ottamaan tämän huomioon tulevien vuosien ohjelmakausilla;</w:t>
      </w:r>
    </w:p>
    <w:p w:rsidR="00383689" w:rsidRPr="00E82688" w:rsidRDefault="00383689" w:rsidP="00D42D6D">
      <w:pPr>
        <w:widowControl/>
        <w:spacing w:after="240"/>
        <w:ind w:left="567" w:hanging="567"/>
        <w:rPr>
          <w:rFonts w:eastAsia="Calibri"/>
          <w:szCs w:val="24"/>
        </w:rPr>
      </w:pPr>
      <w:r w:rsidRPr="00E82688">
        <w:t>26.</w:t>
      </w:r>
      <w:r w:rsidRPr="00E82688">
        <w:tab/>
        <w:t>pitää myönteisenä, että viraston hallintoneuvosto on asettanut EMAS-sertifioinnin tavoitteeksi kolmeksi seuraavaksi vuodeksi; on tietoinen siitä, että virasto on aloittanut sertifioinnin sisäisen valmistelun, johon sisältyy lisäpäivityksiä viraston hiilijalanjäljen laskentaan ja osallistuminen EU:n virastojen verkoston viherryttämisverkoston ja muiden verkostojen kumppanuustoimintaan;</w:t>
      </w:r>
    </w:p>
    <w:p w:rsidR="00383689" w:rsidRPr="00E82688" w:rsidRDefault="00383689" w:rsidP="00D42D6D">
      <w:pPr>
        <w:pStyle w:val="NormalHanging12a"/>
        <w:widowControl/>
      </w:pPr>
      <w:r w:rsidRPr="00E82688">
        <w:t>27.</w:t>
      </w:r>
      <w:r w:rsidRPr="00E82688">
        <w:tab/>
        <w:t xml:space="preserve">panee tyytyväisenä merkille Ukrainan kansallisen sääntelyviranomaisen osallistumisen viraston päivittäiseen toimintaan; antaa tunnustusta virastolle ja sen jäsenille yhteistyökehyksen luomisesta </w:t>
      </w:r>
      <w:proofErr w:type="spellStart"/>
      <w:r w:rsidRPr="00E82688">
        <w:t>yhteenliitettävyyttä</w:t>
      </w:r>
      <w:proofErr w:type="spellEnd"/>
      <w:r w:rsidRPr="00E82688">
        <w:t xml:space="preserve"> koskeviin haasteisiin vastaamiseksi ja Ukrainan sähköistä viestintää koskevien säännösten yhdenmukaistamiseksi unionin televiestintäkehyksen kanssa; arvostaa lisäksi sitä, että viraston unionin ja Ukrainan operaattoreilta keräämien sovellettuja vähittäismyyntitoimenpiteitä koskevien tietojen perusteella sovittiin yhteisestä julkilausumasta, jolla luotiin vakaa kehys Ukrainan sotaa pakenevien ihmisten auttamiseksi pysymään yhteydessä perheisiinsä ja ystäviinsä kotona ja säilyttämään tiedonsaantimahdollisuudet;</w:t>
      </w:r>
    </w:p>
    <w:p w:rsidR="00383689" w:rsidRPr="00E82688" w:rsidRDefault="00383689" w:rsidP="00D42D6D">
      <w:pPr>
        <w:pStyle w:val="NormalHanging12a"/>
        <w:widowControl/>
      </w:pPr>
      <w:r w:rsidRPr="00E82688">
        <w:t>28.</w:t>
      </w:r>
      <w:r w:rsidRPr="00E82688">
        <w:tab/>
        <w:t xml:space="preserve">on tyytyväinen viraston vuonna 2022 toteuttamiin toimiin, joilla pyrittiin lisäämään yleistä tietoisuutta sen toimeksiannosta ja työstä Latviassa pienimuotoisilla viestintäaloitteilla, kuten isännöimällä </w:t>
      </w:r>
      <w:proofErr w:type="spellStart"/>
      <w:r w:rsidRPr="00E82688">
        <w:t>Riga</w:t>
      </w:r>
      <w:proofErr w:type="spellEnd"/>
      <w:r w:rsidRPr="00E82688">
        <w:t xml:space="preserve"> </w:t>
      </w:r>
      <w:proofErr w:type="spellStart"/>
      <w:r w:rsidRPr="00E82688">
        <w:t>Stradiņš</w:t>
      </w:r>
      <w:proofErr w:type="spellEnd"/>
      <w:r w:rsidRPr="00E82688">
        <w:t xml:space="preserve"> ‑yliopiston opiskelijoiden vierailua ja edistämällä kumppanuutta, joka parantaa heidän tietouttaan EU:n virastoista, erityisesti Latviassa, ja osallistumalla Euroopan komission edustuston Latviassa järjestämään suoratoistotapahtumaan, jolla juhlistettiin Eurooppa-päivää, ja muihin </w:t>
      </w:r>
      <w:r w:rsidRPr="00E82688">
        <w:lastRenderedPageBreak/>
        <w:t>tapahtumiin; kehottaa virastoa jatkamaan työtä viraston näkyvyyden lisäämiseksi erityisesti isäntäjäsenvaltiossa;</w:t>
      </w:r>
    </w:p>
    <w:p w:rsidR="00383689" w:rsidRPr="00E82688" w:rsidRDefault="00383689" w:rsidP="00D42D6D">
      <w:pPr>
        <w:pStyle w:val="NormalHanging12a"/>
        <w:widowControl/>
      </w:pPr>
      <w:r w:rsidRPr="00E82688">
        <w:t>29.</w:t>
      </w:r>
      <w:r w:rsidRPr="00E82688">
        <w:tab/>
        <w:t>pitää myönteisenä, että parlamentin ja komission Riiassa sijaitsevat paikallistoimistot ja virasto ovat yhdistäneet voimansa saadakseen aikaan yhteisen Eurooppa-talon, josta tulee kaikkien unionin toimielinten ja viraston ”koti” Latviassa;</w:t>
      </w:r>
    </w:p>
    <w:p w:rsidR="00383689" w:rsidRPr="00E82688" w:rsidRDefault="00383689" w:rsidP="00D42D6D">
      <w:pPr>
        <w:pStyle w:val="NormalCenter12a"/>
        <w:widowControl/>
      </w:pPr>
      <w:r w:rsidRPr="00E82688">
        <w:t>°</w:t>
      </w:r>
    </w:p>
    <w:p w:rsidR="00383689" w:rsidRPr="00E82688" w:rsidRDefault="00383689" w:rsidP="00D42D6D">
      <w:pPr>
        <w:pStyle w:val="NormalCenter12a"/>
        <w:widowControl/>
      </w:pPr>
      <w:r w:rsidRPr="00E82688">
        <w:t>°</w:t>
      </w:r>
      <w:r w:rsidRPr="00E82688">
        <w:tab/>
        <w:t>°</w:t>
      </w:r>
    </w:p>
    <w:p w:rsidR="00383689" w:rsidRPr="00DA0FAB" w:rsidRDefault="00383689" w:rsidP="00D42D6D">
      <w:pPr>
        <w:pStyle w:val="NormalHanging12a"/>
        <w:widowControl/>
      </w:pPr>
      <w:r w:rsidRPr="00E82688">
        <w:t>30.</w:t>
      </w:r>
      <w:r w:rsidRPr="00E82688">
        <w:tab/>
        <w:t>viittaa vastuuvapauden myöntämistä koskevaan päätökseen liittyvien muiden, luonteeltaan yleisten huomautusten osalta erillisvirastojen toiminnan tuloksellisuudesta, varainhoidosta ja sen valvonnasta</w:t>
      </w:r>
      <w:r w:rsidRPr="00E82688">
        <w:rPr>
          <w:vertAlign w:val="superscript"/>
        </w:rPr>
        <w:footnoteReference w:id="12"/>
      </w:r>
      <w:r w:rsidRPr="00E82688">
        <w:t xml:space="preserve"> </w:t>
      </w:r>
      <w:r w:rsidR="00D42D6D" w:rsidRPr="00E82688">
        <w:t xml:space="preserve">11. huhtikuuta 2024 </w:t>
      </w:r>
      <w:r w:rsidRPr="00E82688">
        <w:t>antamaansa päätöslauselmaan.</w:t>
      </w:r>
    </w:p>
    <w:sectPr w:rsidR="00383689" w:rsidRPr="00DA0FAB" w:rsidSect="00D42D6D">
      <w:headerReference w:type="even" r:id="rId11"/>
      <w:headerReference w:type="default" r:id="rId12"/>
      <w:footerReference w:type="even" r:id="rId13"/>
      <w:headerReference w:type="first" r:id="rId14"/>
      <w:footerReference w:type="first" r:id="rId15"/>
      <w:footnotePr>
        <w:numRestart w:val="eachPage"/>
      </w:footnotePr>
      <w:endnotePr>
        <w:numFmt w:val="decimal"/>
      </w:endnotePr>
      <w:pgSz w:w="11906" w:h="16838" w:code="9"/>
      <w:pgMar w:top="1134" w:right="1418" w:bottom="1418" w:left="1418" w:header="567"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64FAA" w:rsidRPr="00DA0FAB" w:rsidRDefault="00964FAA">
      <w:r w:rsidRPr="00DA0FAB">
        <w:separator/>
      </w:r>
    </w:p>
  </w:endnote>
  <w:endnote w:type="continuationSeparator" w:id="0">
    <w:p w:rsidR="00964FAA" w:rsidRPr="00DA0FAB" w:rsidRDefault="00964FAA">
      <w:r w:rsidRPr="00DA0FA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83689" w:rsidRPr="00DA0FAB" w:rsidRDefault="00383689" w:rsidP="00DD51CC">
    <w:pPr>
      <w:pStyle w:val="EPFooter"/>
    </w:pPr>
    <w:r w:rsidRPr="00DA0FAB">
      <w:t>PE</w:t>
    </w:r>
    <w:r w:rsidRPr="00DA0FAB">
      <w:rPr>
        <w:rStyle w:val="HideTWBExt"/>
      </w:rPr>
      <w:t>&lt;NoPE&gt;</w:t>
    </w:r>
    <w:r w:rsidRPr="00DA0FAB">
      <w:t>753.507</w:t>
    </w:r>
    <w:r w:rsidRPr="00DA0FAB">
      <w:rPr>
        <w:rStyle w:val="HideTWBExt"/>
      </w:rPr>
      <w:t>&lt;/NoPE&gt;&lt;Version&gt;</w:t>
    </w:r>
    <w:r w:rsidRPr="00DA0FAB">
      <w:t>v02-00</w:t>
    </w:r>
    <w:r w:rsidRPr="00DA0FAB">
      <w:rPr>
        <w:rStyle w:val="HideTWBExt"/>
      </w:rPr>
      <w:t>&lt;/Version&gt;</w:t>
    </w:r>
    <w:r w:rsidRPr="00DA0FAB">
      <w:tab/>
    </w:r>
    <w:r w:rsidRPr="00DA0FAB">
      <w:fldChar w:fldCharType="begin"/>
    </w:r>
    <w:r w:rsidRPr="00DA0FAB">
      <w:instrText xml:space="preserve"> PAGE  \* MERGEFORMAT </w:instrText>
    </w:r>
    <w:r w:rsidRPr="00DA0FAB">
      <w:fldChar w:fldCharType="separate"/>
    </w:r>
    <w:r w:rsidR="00DA0FAB" w:rsidRPr="00DA0FAB">
      <w:rPr>
        <w:noProof/>
      </w:rPr>
      <w:t>2</w:t>
    </w:r>
    <w:r w:rsidRPr="00DA0FAB">
      <w:fldChar w:fldCharType="end"/>
    </w:r>
    <w:r w:rsidRPr="00DA0FAB">
      <w:t>/</w:t>
    </w:r>
    <w:r w:rsidR="00E82688">
      <w:fldChar w:fldCharType="begin"/>
    </w:r>
    <w:r w:rsidR="00E82688">
      <w:instrText xml:space="preserve"> NUMPAGES  \* MERGEFORMAT </w:instrText>
    </w:r>
    <w:r w:rsidR="00E82688">
      <w:fldChar w:fldCharType="separate"/>
    </w:r>
    <w:r w:rsidR="00DA0FAB" w:rsidRPr="00DA0FAB">
      <w:rPr>
        <w:noProof/>
      </w:rPr>
      <w:t>3</w:t>
    </w:r>
    <w:r w:rsidR="00E82688">
      <w:rPr>
        <w:noProof/>
      </w:rPr>
      <w:fldChar w:fldCharType="end"/>
    </w:r>
    <w:r w:rsidRPr="00DA0FAB">
      <w:tab/>
    </w:r>
    <w:r w:rsidRPr="00DA0FAB">
      <w:rPr>
        <w:rStyle w:val="HideTWBExt"/>
      </w:rPr>
      <w:t>&lt;PathFdR&gt;</w:t>
    </w:r>
    <w:r w:rsidRPr="00DA0FAB">
      <w:t>RR\1299071FI.docx</w:t>
    </w:r>
    <w:r w:rsidRPr="00DA0FAB">
      <w:rPr>
        <w:rStyle w:val="HideTWBExt"/>
      </w:rPr>
      <w:t>&lt;/PathFdR&gt;</w:t>
    </w:r>
  </w:p>
  <w:p w:rsidR="00383689" w:rsidRPr="00DA0FAB" w:rsidRDefault="00383689" w:rsidP="00DD51CC">
    <w:pPr>
      <w:pStyle w:val="EPFooter2"/>
    </w:pPr>
    <w:r w:rsidRPr="00DA0FAB">
      <w:t>FI</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83689" w:rsidRPr="00DA0FAB" w:rsidRDefault="00383689" w:rsidP="00DD51CC">
    <w:pPr>
      <w:pStyle w:val="EPFooter"/>
    </w:pPr>
    <w:r w:rsidRPr="00DA0FAB">
      <w:rPr>
        <w:rStyle w:val="HideTWBExt"/>
      </w:rPr>
      <w:t>&lt;PathFdR&gt;</w:t>
    </w:r>
    <w:r w:rsidRPr="00DA0FAB">
      <w:t>RR\1299071FI.docx</w:t>
    </w:r>
    <w:r w:rsidRPr="00DA0FAB">
      <w:rPr>
        <w:rStyle w:val="HideTWBExt"/>
      </w:rPr>
      <w:t>&lt;/PathFdR&gt;</w:t>
    </w:r>
    <w:r w:rsidRPr="00DA0FAB">
      <w:tab/>
    </w:r>
    <w:r w:rsidRPr="00DA0FAB">
      <w:tab/>
      <w:t>PE</w:t>
    </w:r>
    <w:r w:rsidRPr="00DA0FAB">
      <w:rPr>
        <w:rStyle w:val="HideTWBExt"/>
      </w:rPr>
      <w:t>&lt;NoPE&gt;</w:t>
    </w:r>
    <w:r w:rsidRPr="00DA0FAB">
      <w:t>753.507</w:t>
    </w:r>
    <w:r w:rsidRPr="00DA0FAB">
      <w:rPr>
        <w:rStyle w:val="HideTWBExt"/>
      </w:rPr>
      <w:t>&lt;/NoPE&gt;&lt;Version&gt;</w:t>
    </w:r>
    <w:r w:rsidRPr="00DA0FAB">
      <w:t>v02-00</w:t>
    </w:r>
    <w:r w:rsidRPr="00DA0FAB">
      <w:rPr>
        <w:rStyle w:val="HideTWBExt"/>
      </w:rPr>
      <w:t>&lt;/Version&gt;</w:t>
    </w:r>
  </w:p>
  <w:p w:rsidR="00383689" w:rsidRPr="00DA0FAB" w:rsidRDefault="00383689" w:rsidP="00DD51CC">
    <w:pPr>
      <w:pStyle w:val="EPFooter2"/>
    </w:pPr>
    <w:r w:rsidRPr="00DA0FAB">
      <w:t>FI</w:t>
    </w:r>
    <w:r w:rsidRPr="00DA0FAB">
      <w:tab/>
    </w:r>
    <w:r w:rsidRPr="00DA0FAB">
      <w:rPr>
        <w:b w:val="0"/>
        <w:i/>
        <w:color w:val="C0C0C0"/>
        <w:sz w:val="22"/>
      </w:rPr>
      <w:t>Moninaisuudessaan yhtenäinen</w:t>
    </w:r>
    <w:r w:rsidRPr="00DA0FAB">
      <w:tab/>
      <w:t>FI</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A0FAB" w:rsidRDefault="00064002"/>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A0FAB"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64FAA" w:rsidRPr="00DA0FAB" w:rsidRDefault="00964FAA">
      <w:r w:rsidRPr="00DA0FAB">
        <w:separator/>
      </w:r>
    </w:p>
  </w:footnote>
  <w:footnote w:type="continuationSeparator" w:id="0">
    <w:p w:rsidR="00964FAA" w:rsidRPr="00DA0FAB" w:rsidRDefault="00964FAA">
      <w:r w:rsidRPr="00DA0FAB">
        <w:continuationSeparator/>
      </w:r>
    </w:p>
  </w:footnote>
  <w:footnote w:id="1">
    <w:p w:rsidR="00383689" w:rsidRPr="00E82688" w:rsidRDefault="00383689" w:rsidP="00DA0FAB">
      <w:pPr>
        <w:pStyle w:val="FootnoteText"/>
        <w:ind w:left="567" w:hanging="567"/>
        <w:rPr>
          <w:sz w:val="24"/>
          <w:lang w:val="fi-FI"/>
        </w:rPr>
      </w:pPr>
      <w:r w:rsidRPr="00E82688">
        <w:rPr>
          <w:rStyle w:val="FootnoteReference"/>
          <w:sz w:val="24"/>
          <w:lang w:val="fi-FI"/>
        </w:rPr>
        <w:footnoteRef/>
      </w:r>
      <w:r w:rsidR="00DA0FAB" w:rsidRPr="00E82688">
        <w:rPr>
          <w:sz w:val="24"/>
          <w:lang w:val="fi-FI"/>
        </w:rPr>
        <w:t xml:space="preserve"> </w:t>
      </w:r>
      <w:r w:rsidR="00DA0FAB" w:rsidRPr="00E82688">
        <w:rPr>
          <w:sz w:val="24"/>
          <w:lang w:val="fi-FI"/>
        </w:rPr>
        <w:tab/>
      </w:r>
      <w:r w:rsidRPr="00E82688">
        <w:rPr>
          <w:sz w:val="24"/>
          <w:lang w:val="fi-FI"/>
        </w:rPr>
        <w:t>EUVL C, C/2023/594, 27.10.2023.</w:t>
      </w:r>
    </w:p>
  </w:footnote>
  <w:footnote w:id="2">
    <w:p w:rsidR="00383689" w:rsidRPr="00E82688" w:rsidRDefault="00383689" w:rsidP="00DA0FAB">
      <w:pPr>
        <w:pStyle w:val="FootnoteText"/>
        <w:ind w:left="567" w:hanging="567"/>
        <w:rPr>
          <w:sz w:val="24"/>
          <w:lang w:val="fi-FI"/>
        </w:rPr>
      </w:pPr>
      <w:r w:rsidRPr="00E82688">
        <w:rPr>
          <w:rStyle w:val="FootnoteReference"/>
          <w:sz w:val="24"/>
          <w:lang w:val="fi-FI"/>
        </w:rPr>
        <w:footnoteRef/>
      </w:r>
      <w:r w:rsidR="00DA0FAB" w:rsidRPr="00E82688">
        <w:rPr>
          <w:sz w:val="24"/>
          <w:lang w:val="fi-FI"/>
        </w:rPr>
        <w:t xml:space="preserve"> </w:t>
      </w:r>
      <w:r w:rsidR="00DA0FAB" w:rsidRPr="00E82688">
        <w:rPr>
          <w:sz w:val="24"/>
          <w:lang w:val="fi-FI"/>
        </w:rPr>
        <w:tab/>
      </w:r>
      <w:r w:rsidRPr="00E82688">
        <w:rPr>
          <w:sz w:val="24"/>
          <w:lang w:val="fi-FI"/>
        </w:rPr>
        <w:t>EUVL C, C/2023/112, 12.10.2023.</w:t>
      </w:r>
    </w:p>
  </w:footnote>
  <w:footnote w:id="3">
    <w:p w:rsidR="00383689" w:rsidRPr="00E82688" w:rsidRDefault="00383689" w:rsidP="00DA0FAB">
      <w:pPr>
        <w:pStyle w:val="FootnoteText"/>
        <w:ind w:left="567" w:hanging="567"/>
        <w:rPr>
          <w:sz w:val="24"/>
          <w:lang w:val="fi-FI"/>
        </w:rPr>
      </w:pPr>
      <w:r w:rsidRPr="00E82688">
        <w:rPr>
          <w:rStyle w:val="FootnoteReference"/>
          <w:sz w:val="24"/>
          <w:lang w:val="fi-FI"/>
        </w:rPr>
        <w:footnoteRef/>
      </w:r>
      <w:r w:rsidR="00DA0FAB" w:rsidRPr="00E82688">
        <w:rPr>
          <w:sz w:val="24"/>
          <w:lang w:val="fi-FI"/>
        </w:rPr>
        <w:t xml:space="preserve"> </w:t>
      </w:r>
      <w:r w:rsidR="00DA0FAB" w:rsidRPr="00E82688">
        <w:rPr>
          <w:sz w:val="24"/>
          <w:lang w:val="fi-FI"/>
        </w:rPr>
        <w:tab/>
      </w:r>
      <w:r w:rsidRPr="00E82688">
        <w:rPr>
          <w:sz w:val="24"/>
          <w:lang w:val="fi-FI"/>
        </w:rPr>
        <w:t>EUVL L 193, 30.7.2018, s. 1.</w:t>
      </w:r>
    </w:p>
  </w:footnote>
  <w:footnote w:id="4">
    <w:p w:rsidR="00383689" w:rsidRPr="00E82688" w:rsidRDefault="00383689" w:rsidP="00DA0FAB">
      <w:pPr>
        <w:pStyle w:val="FootnoteText"/>
        <w:ind w:left="567" w:hanging="567"/>
        <w:rPr>
          <w:sz w:val="24"/>
          <w:szCs w:val="24"/>
          <w:lang w:val="fi-FI"/>
        </w:rPr>
      </w:pPr>
      <w:r w:rsidRPr="00E82688">
        <w:rPr>
          <w:rStyle w:val="FootnoteReference"/>
          <w:sz w:val="24"/>
          <w:lang w:val="fi-FI"/>
        </w:rPr>
        <w:footnoteRef/>
      </w:r>
      <w:r w:rsidR="00DA0FAB" w:rsidRPr="00E82688">
        <w:rPr>
          <w:sz w:val="24"/>
          <w:lang w:val="fi-FI"/>
        </w:rPr>
        <w:t xml:space="preserve"> </w:t>
      </w:r>
      <w:r w:rsidR="00DA0FAB" w:rsidRPr="00E82688">
        <w:rPr>
          <w:sz w:val="24"/>
          <w:lang w:val="fi-FI"/>
        </w:rPr>
        <w:tab/>
      </w:r>
      <w:r w:rsidRPr="00E82688">
        <w:rPr>
          <w:sz w:val="24"/>
          <w:lang w:val="fi-FI"/>
        </w:rPr>
        <w:t>EUVL L 321, 17.12.2018, s. 1.</w:t>
      </w:r>
    </w:p>
  </w:footnote>
  <w:footnote w:id="5">
    <w:p w:rsidR="00383689" w:rsidRPr="00E82688" w:rsidRDefault="00383689" w:rsidP="00DA0FAB">
      <w:pPr>
        <w:pStyle w:val="FootnoteText"/>
        <w:ind w:left="567" w:hanging="567"/>
        <w:rPr>
          <w:sz w:val="24"/>
          <w:lang w:val="fi-FI"/>
        </w:rPr>
      </w:pPr>
      <w:r w:rsidRPr="00E82688">
        <w:rPr>
          <w:rStyle w:val="FootnoteReference"/>
          <w:sz w:val="24"/>
          <w:lang w:val="fi-FI"/>
        </w:rPr>
        <w:footnoteRef/>
      </w:r>
      <w:r w:rsidR="00DA0FAB" w:rsidRPr="00E82688">
        <w:rPr>
          <w:sz w:val="24"/>
          <w:lang w:val="fi-FI"/>
        </w:rPr>
        <w:t xml:space="preserve"> </w:t>
      </w:r>
      <w:r w:rsidR="00DA0FAB" w:rsidRPr="00E82688">
        <w:rPr>
          <w:sz w:val="24"/>
          <w:lang w:val="fi-FI"/>
        </w:rPr>
        <w:tab/>
      </w:r>
      <w:r w:rsidRPr="00E82688">
        <w:rPr>
          <w:sz w:val="24"/>
          <w:lang w:val="fi-FI"/>
        </w:rPr>
        <w:t>EUVL L 122, 10.5.2019, s. 1.</w:t>
      </w:r>
    </w:p>
  </w:footnote>
  <w:footnote w:id="6">
    <w:p w:rsidR="00383689" w:rsidRPr="00E82688" w:rsidRDefault="00383689" w:rsidP="00DA0FAB">
      <w:pPr>
        <w:pStyle w:val="FootnoteText"/>
        <w:ind w:left="567" w:hanging="567"/>
        <w:rPr>
          <w:sz w:val="24"/>
          <w:lang w:val="fi-FI"/>
        </w:rPr>
      </w:pPr>
      <w:r w:rsidRPr="00E82688">
        <w:rPr>
          <w:rStyle w:val="FootnoteReference"/>
          <w:sz w:val="24"/>
          <w:lang w:val="fi-FI"/>
        </w:rPr>
        <w:footnoteRef/>
      </w:r>
      <w:r w:rsidR="00DA0FAB" w:rsidRPr="00E82688">
        <w:rPr>
          <w:sz w:val="24"/>
          <w:lang w:val="fi-FI"/>
        </w:rPr>
        <w:t xml:space="preserve"> </w:t>
      </w:r>
      <w:r w:rsidR="00DA0FAB" w:rsidRPr="00E82688">
        <w:rPr>
          <w:sz w:val="24"/>
          <w:lang w:val="fi-FI"/>
        </w:rPr>
        <w:tab/>
      </w:r>
      <w:r w:rsidRPr="00E82688">
        <w:rPr>
          <w:sz w:val="24"/>
          <w:lang w:val="fi-FI"/>
        </w:rPr>
        <w:t>EUVL C, C/2023/594, 27.10.2023.</w:t>
      </w:r>
    </w:p>
  </w:footnote>
  <w:footnote w:id="7">
    <w:p w:rsidR="00383689" w:rsidRPr="00E82688" w:rsidRDefault="00383689" w:rsidP="00DA0FAB">
      <w:pPr>
        <w:pStyle w:val="FootnoteText"/>
        <w:ind w:left="567" w:hanging="567"/>
        <w:rPr>
          <w:sz w:val="24"/>
          <w:lang w:val="fi-FI"/>
        </w:rPr>
      </w:pPr>
      <w:r w:rsidRPr="00E82688">
        <w:rPr>
          <w:rStyle w:val="FootnoteReference"/>
          <w:sz w:val="24"/>
          <w:lang w:val="fi-FI"/>
        </w:rPr>
        <w:footnoteRef/>
      </w:r>
      <w:r w:rsidR="00DA0FAB" w:rsidRPr="00E82688">
        <w:rPr>
          <w:sz w:val="24"/>
          <w:lang w:val="fi-FI"/>
        </w:rPr>
        <w:t xml:space="preserve"> </w:t>
      </w:r>
      <w:r w:rsidR="00DA0FAB" w:rsidRPr="00E82688">
        <w:rPr>
          <w:sz w:val="24"/>
          <w:lang w:val="fi-FI"/>
        </w:rPr>
        <w:tab/>
      </w:r>
      <w:r w:rsidRPr="00E82688">
        <w:rPr>
          <w:sz w:val="24"/>
          <w:lang w:val="fi-FI"/>
        </w:rPr>
        <w:t>EUVL C, C/2023/112, 12.10.2023.</w:t>
      </w:r>
    </w:p>
  </w:footnote>
  <w:footnote w:id="8">
    <w:p w:rsidR="00383689" w:rsidRPr="00E82688" w:rsidRDefault="00383689" w:rsidP="00DA0FAB">
      <w:pPr>
        <w:pStyle w:val="FootnoteText"/>
        <w:ind w:left="567" w:hanging="567"/>
        <w:rPr>
          <w:sz w:val="24"/>
          <w:lang w:val="fi-FI"/>
        </w:rPr>
      </w:pPr>
      <w:r w:rsidRPr="00E82688">
        <w:rPr>
          <w:rStyle w:val="FootnoteReference"/>
          <w:sz w:val="24"/>
          <w:lang w:val="fi-FI"/>
        </w:rPr>
        <w:footnoteRef/>
      </w:r>
      <w:r w:rsidR="00DA0FAB" w:rsidRPr="00E82688">
        <w:rPr>
          <w:sz w:val="24"/>
          <w:lang w:val="fi-FI"/>
        </w:rPr>
        <w:t xml:space="preserve"> </w:t>
      </w:r>
      <w:r w:rsidR="00DA0FAB" w:rsidRPr="00E82688">
        <w:rPr>
          <w:sz w:val="24"/>
          <w:lang w:val="fi-FI"/>
        </w:rPr>
        <w:tab/>
      </w:r>
      <w:r w:rsidRPr="00E82688">
        <w:rPr>
          <w:sz w:val="24"/>
          <w:lang w:val="fi-FI"/>
        </w:rPr>
        <w:t>EUVL L 193, 30.7.2018, s. 1.</w:t>
      </w:r>
    </w:p>
  </w:footnote>
  <w:footnote w:id="9">
    <w:p w:rsidR="00383689" w:rsidRPr="00E82688" w:rsidRDefault="00383689" w:rsidP="00DA0FAB">
      <w:pPr>
        <w:pStyle w:val="FootnoteText"/>
        <w:ind w:left="567" w:hanging="567"/>
        <w:rPr>
          <w:sz w:val="24"/>
          <w:lang w:val="fi-FI"/>
        </w:rPr>
      </w:pPr>
      <w:r w:rsidRPr="00E82688">
        <w:rPr>
          <w:rStyle w:val="FootnoteReference"/>
          <w:sz w:val="24"/>
          <w:lang w:val="fi-FI"/>
        </w:rPr>
        <w:footnoteRef/>
      </w:r>
      <w:r w:rsidR="00DA0FAB" w:rsidRPr="00E82688">
        <w:rPr>
          <w:sz w:val="24"/>
          <w:lang w:val="fi-FI"/>
        </w:rPr>
        <w:t xml:space="preserve"> </w:t>
      </w:r>
      <w:r w:rsidR="00DA0FAB" w:rsidRPr="00E82688">
        <w:rPr>
          <w:sz w:val="24"/>
          <w:lang w:val="fi-FI"/>
        </w:rPr>
        <w:tab/>
      </w:r>
      <w:r w:rsidRPr="00E82688">
        <w:rPr>
          <w:sz w:val="24"/>
          <w:lang w:val="fi-FI"/>
        </w:rPr>
        <w:t>EUVL L 321, 17.12.2018, s. 1.</w:t>
      </w:r>
    </w:p>
  </w:footnote>
  <w:footnote w:id="10">
    <w:p w:rsidR="00383689" w:rsidRPr="00E82688" w:rsidRDefault="00383689" w:rsidP="00DA0FAB">
      <w:pPr>
        <w:pStyle w:val="FootnoteText"/>
        <w:ind w:left="567" w:hanging="567"/>
        <w:rPr>
          <w:sz w:val="24"/>
          <w:szCs w:val="24"/>
          <w:lang w:val="fi-FI"/>
        </w:rPr>
      </w:pPr>
      <w:r w:rsidRPr="00E82688">
        <w:rPr>
          <w:rStyle w:val="FootnoteReference"/>
          <w:sz w:val="24"/>
          <w:lang w:val="fi-FI"/>
        </w:rPr>
        <w:footnoteRef/>
      </w:r>
      <w:r w:rsidR="00DA0FAB" w:rsidRPr="00E82688">
        <w:rPr>
          <w:sz w:val="24"/>
          <w:lang w:val="fi-FI"/>
        </w:rPr>
        <w:t xml:space="preserve"> </w:t>
      </w:r>
      <w:r w:rsidR="00DA0FAB" w:rsidRPr="00E82688">
        <w:rPr>
          <w:sz w:val="24"/>
          <w:lang w:val="fi-FI"/>
        </w:rPr>
        <w:tab/>
      </w:r>
      <w:r w:rsidRPr="00E82688">
        <w:rPr>
          <w:sz w:val="24"/>
          <w:lang w:val="fi-FI"/>
        </w:rPr>
        <w:t>EUVL L 122, 10.5.2019, s. 1.</w:t>
      </w:r>
    </w:p>
  </w:footnote>
  <w:footnote w:id="11">
    <w:p w:rsidR="00383689" w:rsidRPr="00E82688" w:rsidRDefault="00383689" w:rsidP="00DA0FAB">
      <w:pPr>
        <w:pStyle w:val="FootnoteText"/>
        <w:ind w:left="567" w:hanging="567"/>
        <w:rPr>
          <w:sz w:val="24"/>
          <w:lang w:val="fi-FI"/>
        </w:rPr>
      </w:pPr>
      <w:r w:rsidRPr="00E82688">
        <w:rPr>
          <w:rStyle w:val="FootnoteReference"/>
          <w:sz w:val="24"/>
          <w:lang w:val="fi-FI"/>
        </w:rPr>
        <w:footnoteRef/>
      </w:r>
      <w:r w:rsidR="00DA0FAB" w:rsidRPr="00E82688">
        <w:rPr>
          <w:sz w:val="24"/>
          <w:lang w:val="fi-FI"/>
        </w:rPr>
        <w:t xml:space="preserve"> </w:t>
      </w:r>
      <w:r w:rsidR="00DA0FAB" w:rsidRPr="00E82688">
        <w:rPr>
          <w:sz w:val="24"/>
          <w:lang w:val="fi-FI"/>
        </w:rPr>
        <w:tab/>
      </w:r>
      <w:r w:rsidRPr="00E82688">
        <w:rPr>
          <w:sz w:val="24"/>
          <w:lang w:val="fi-FI"/>
        </w:rPr>
        <w:t>EUVL C 119, 31.3.2023, s. 11.</w:t>
      </w:r>
    </w:p>
  </w:footnote>
  <w:footnote w:id="12">
    <w:p w:rsidR="00383689" w:rsidRPr="00DA0FAB" w:rsidRDefault="00383689" w:rsidP="00DA0FAB">
      <w:pPr>
        <w:pStyle w:val="FootnoteText"/>
        <w:ind w:left="567" w:hanging="567"/>
        <w:rPr>
          <w:sz w:val="24"/>
          <w:szCs w:val="24"/>
          <w:lang w:val="fi-FI"/>
        </w:rPr>
      </w:pPr>
      <w:r w:rsidRPr="00E82688">
        <w:rPr>
          <w:rStyle w:val="FootnoteReference"/>
          <w:sz w:val="24"/>
          <w:szCs w:val="24"/>
          <w:lang w:val="fi-FI"/>
        </w:rPr>
        <w:footnoteRef/>
      </w:r>
      <w:r w:rsidR="00DA0FAB" w:rsidRPr="00E82688">
        <w:rPr>
          <w:sz w:val="24"/>
          <w:lang w:val="fi-FI"/>
        </w:rPr>
        <w:t xml:space="preserve"> </w:t>
      </w:r>
      <w:r w:rsidR="00DA0FAB" w:rsidRPr="00E82688">
        <w:rPr>
          <w:sz w:val="24"/>
          <w:lang w:val="fi-FI"/>
        </w:rPr>
        <w:tab/>
      </w:r>
      <w:r w:rsidRPr="00E82688">
        <w:rPr>
          <w:sz w:val="24"/>
          <w:lang w:val="fi-FI"/>
        </w:rPr>
        <w:t>Hyväksytyt tekstit, P9_TA(2024)0</w:t>
      </w:r>
      <w:r w:rsidR="0070218B" w:rsidRPr="00E82688">
        <w:rPr>
          <w:sz w:val="24"/>
          <w:lang w:val="fi-FI"/>
        </w:rPr>
        <w:t>28</w:t>
      </w:r>
      <w:r w:rsidRPr="00E82688">
        <w:rPr>
          <w:sz w:val="24"/>
          <w:lang w:val="fi-FI"/>
        </w:rPr>
        <w:t>0.</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A0FAB"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A0FAB"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A0FAB"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23/2024"/>
    <w:docVar w:name="dvlangue" w:val="FI"/>
    <w:docVar w:name="dvnumam" w:val="0"/>
    <w:docVar w:name="dvpe" w:val="753.507"/>
    <w:docVar w:name="dvrapporteur" w:val="Esittelijä: "/>
    <w:docVar w:name="dvtitre" w:val="Euroopan parlamentin päätös 11. huhtikuuta 2024 vastuuvapauden myöntämisestä BERECin tukiviraston (BEREC-virasto) talousarvion toteuttamisesta varainhoitovuonna 2022(2023/2141(DEC))"/>
  </w:docVars>
  <w:rsids>
    <w:rsidRoot w:val="00964FAA"/>
    <w:rsid w:val="00002272"/>
    <w:rsid w:val="00064002"/>
    <w:rsid w:val="000677B9"/>
    <w:rsid w:val="000831BA"/>
    <w:rsid w:val="000A42CC"/>
    <w:rsid w:val="000E7DD9"/>
    <w:rsid w:val="0010095E"/>
    <w:rsid w:val="00125B37"/>
    <w:rsid w:val="00187494"/>
    <w:rsid w:val="00190678"/>
    <w:rsid w:val="001D523D"/>
    <w:rsid w:val="001F32AE"/>
    <w:rsid w:val="002767FF"/>
    <w:rsid w:val="002B18FE"/>
    <w:rsid w:val="002B5493"/>
    <w:rsid w:val="00343214"/>
    <w:rsid w:val="00361C00"/>
    <w:rsid w:val="00383689"/>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F74FA"/>
    <w:rsid w:val="0070218B"/>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64FAA"/>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42D6D"/>
    <w:rsid w:val="00D56C11"/>
    <w:rsid w:val="00D834A0"/>
    <w:rsid w:val="00D872DF"/>
    <w:rsid w:val="00D91E21"/>
    <w:rsid w:val="00DA0FAB"/>
    <w:rsid w:val="00DA7FCD"/>
    <w:rsid w:val="00E365E1"/>
    <w:rsid w:val="00E820A4"/>
    <w:rsid w:val="00E82688"/>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8F5A0B1A-3102-460C-B365-B362815B51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fi-F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383689"/>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383689"/>
    <w:pPr>
      <w:spacing w:before="480" w:after="240"/>
    </w:pPr>
  </w:style>
  <w:style w:type="paragraph" w:customStyle="1" w:styleId="PageHeading">
    <w:name w:val="PageHeading"/>
    <w:basedOn w:val="Normal"/>
    <w:rsid w:val="00383689"/>
    <w:pPr>
      <w:keepNext/>
      <w:spacing w:after="480"/>
      <w:jc w:val="center"/>
    </w:pPr>
    <w:rPr>
      <w:rFonts w:ascii="Arial" w:hAnsi="Arial" w:cs="Arial"/>
      <w:b/>
    </w:rPr>
  </w:style>
  <w:style w:type="paragraph" w:customStyle="1" w:styleId="NormalBold">
    <w:name w:val="NormalBold"/>
    <w:basedOn w:val="Normal"/>
    <w:rsid w:val="00383689"/>
    <w:rPr>
      <w:b/>
    </w:rPr>
  </w:style>
  <w:style w:type="paragraph" w:customStyle="1" w:styleId="NormalHanging12a">
    <w:name w:val="NormalHanging12a"/>
    <w:basedOn w:val="Normal"/>
    <w:link w:val="NormalHanging12aChar"/>
    <w:rsid w:val="00383689"/>
    <w:pPr>
      <w:spacing w:after="240"/>
      <w:ind w:left="567" w:hanging="567"/>
    </w:pPr>
  </w:style>
  <w:style w:type="paragraph" w:customStyle="1" w:styleId="NormalCenter12a">
    <w:name w:val="NormalCenter12a"/>
    <w:basedOn w:val="Normal"/>
    <w:rsid w:val="00383689"/>
    <w:pPr>
      <w:spacing w:after="240"/>
      <w:jc w:val="center"/>
    </w:pPr>
  </w:style>
  <w:style w:type="paragraph" w:styleId="Header">
    <w:name w:val="header"/>
    <w:basedOn w:val="Normal"/>
    <w:link w:val="HeaderChar"/>
    <w:rsid w:val="00383689"/>
    <w:pPr>
      <w:tabs>
        <w:tab w:val="center" w:pos="4513"/>
        <w:tab w:val="right" w:pos="9026"/>
      </w:tabs>
    </w:pPr>
  </w:style>
  <w:style w:type="character" w:customStyle="1" w:styleId="HeaderChar">
    <w:name w:val="Header Char"/>
    <w:basedOn w:val="DefaultParagraphFont"/>
    <w:link w:val="Header"/>
    <w:rsid w:val="00383689"/>
    <w:rPr>
      <w:sz w:val="24"/>
      <w:lang w:val="fi-FI"/>
    </w:rPr>
  </w:style>
  <w:style w:type="paragraph" w:customStyle="1" w:styleId="EPFooter">
    <w:name w:val="EPFooter"/>
    <w:basedOn w:val="Normal"/>
    <w:rsid w:val="00383689"/>
    <w:pPr>
      <w:tabs>
        <w:tab w:val="center" w:pos="4535"/>
        <w:tab w:val="right" w:pos="9071"/>
      </w:tabs>
      <w:spacing w:before="240" w:after="240"/>
    </w:pPr>
    <w:rPr>
      <w:color w:val="010000"/>
      <w:sz w:val="22"/>
    </w:rPr>
  </w:style>
  <w:style w:type="character" w:customStyle="1" w:styleId="NormalHanging12aChar">
    <w:name w:val="NormalHanging12a Char"/>
    <w:link w:val="NormalHanging12a"/>
    <w:locked/>
    <w:rsid w:val="00383689"/>
    <w:rPr>
      <w:sz w:val="24"/>
      <w:lang w:val="fi-FI"/>
    </w:rPr>
  </w:style>
  <w:style w:type="paragraph" w:customStyle="1" w:styleId="Normal12Hanging">
    <w:name w:val="Normal12Hanging"/>
    <w:basedOn w:val="Normal"/>
    <w:rsid w:val="00383689"/>
    <w:pPr>
      <w:spacing w:after="240"/>
      <w:ind w:left="567" w:hanging="567"/>
    </w:pPr>
  </w:style>
  <w:style w:type="paragraph" w:customStyle="1" w:styleId="Normal24a">
    <w:name w:val="Normal24a"/>
    <w:basedOn w:val="Normal"/>
    <w:rsid w:val="00383689"/>
    <w:pPr>
      <w:spacing w:after="480"/>
    </w:pPr>
  </w:style>
  <w:style w:type="paragraph" w:customStyle="1" w:styleId="Normal12a">
    <w:name w:val="Normal12a"/>
    <w:basedOn w:val="Normal"/>
    <w:rsid w:val="00383689"/>
    <w:pPr>
      <w:spacing w:after="240"/>
    </w:pPr>
  </w:style>
  <w:style w:type="paragraph" w:customStyle="1" w:styleId="RollCallVotes">
    <w:name w:val="RollCallVotes"/>
    <w:basedOn w:val="Normal"/>
    <w:rsid w:val="00383689"/>
    <w:pPr>
      <w:spacing w:before="120" w:after="120"/>
      <w:jc w:val="center"/>
    </w:pPr>
    <w:rPr>
      <w:b/>
      <w:bCs/>
      <w:snapToGrid w:val="0"/>
      <w:sz w:val="16"/>
      <w:lang w:eastAsia="en-US"/>
    </w:rPr>
  </w:style>
  <w:style w:type="paragraph" w:customStyle="1" w:styleId="RollCallTabs">
    <w:name w:val="RollCallTabs"/>
    <w:basedOn w:val="Normal"/>
    <w:qFormat/>
    <w:rsid w:val="00383689"/>
    <w:pPr>
      <w:tabs>
        <w:tab w:val="center" w:pos="284"/>
        <w:tab w:val="left" w:pos="426"/>
      </w:tabs>
    </w:pPr>
    <w:rPr>
      <w:snapToGrid w:val="0"/>
      <w:lang w:eastAsia="en-US"/>
    </w:rPr>
  </w:style>
  <w:style w:type="paragraph" w:customStyle="1" w:styleId="RollCallSymbols14pt">
    <w:name w:val="RollCallSymbols14pt"/>
    <w:basedOn w:val="Normal"/>
    <w:rsid w:val="00383689"/>
    <w:pPr>
      <w:spacing w:before="120" w:after="120"/>
      <w:jc w:val="center"/>
    </w:pPr>
    <w:rPr>
      <w:rFonts w:ascii="Arial" w:hAnsi="Arial"/>
      <w:b/>
      <w:bCs/>
      <w:snapToGrid w:val="0"/>
      <w:sz w:val="28"/>
      <w:lang w:eastAsia="en-US"/>
    </w:rPr>
  </w:style>
  <w:style w:type="paragraph" w:customStyle="1" w:styleId="RollCallTable">
    <w:name w:val="RollCallTable"/>
    <w:basedOn w:val="Normal"/>
    <w:rsid w:val="00383689"/>
    <w:pPr>
      <w:spacing w:before="120" w:after="120"/>
    </w:pPr>
    <w:rPr>
      <w:snapToGrid w:val="0"/>
      <w:sz w:val="16"/>
      <w:lang w:eastAsia="en-US"/>
    </w:rPr>
  </w:style>
  <w:style w:type="paragraph" w:styleId="BalloonText">
    <w:name w:val="Balloon Text"/>
    <w:basedOn w:val="Normal"/>
    <w:link w:val="BalloonTextChar"/>
    <w:rsid w:val="00D42D6D"/>
    <w:rPr>
      <w:rFonts w:ascii="Segoe UI" w:hAnsi="Segoe UI" w:cs="Segoe UI"/>
      <w:sz w:val="18"/>
      <w:szCs w:val="18"/>
    </w:rPr>
  </w:style>
  <w:style w:type="character" w:customStyle="1" w:styleId="BalloonTextChar">
    <w:name w:val="Balloon Text Char"/>
    <w:basedOn w:val="DefaultParagraphFont"/>
    <w:link w:val="BalloonText"/>
    <w:rsid w:val="00D42D6D"/>
    <w:rPr>
      <w:rFonts w:ascii="Segoe UI" w:hAnsi="Segoe UI" w:cs="Segoe UI"/>
      <w:sz w:val="18"/>
      <w:szCs w:val="18"/>
      <w:lang w:val="fi-FI"/>
    </w:rPr>
  </w:style>
  <w:style w:type="paragraph" w:styleId="Footer">
    <w:name w:val="footer"/>
    <w:basedOn w:val="Normal"/>
    <w:link w:val="FooterChar"/>
    <w:rsid w:val="00D42D6D"/>
    <w:pPr>
      <w:tabs>
        <w:tab w:val="center" w:pos="4513"/>
        <w:tab w:val="right" w:pos="9026"/>
      </w:tabs>
    </w:pPr>
  </w:style>
  <w:style w:type="character" w:customStyle="1" w:styleId="FooterChar">
    <w:name w:val="Footer Char"/>
    <w:basedOn w:val="DefaultParagraphFont"/>
    <w:link w:val="Footer"/>
    <w:rsid w:val="00D42D6D"/>
    <w:rPr>
      <w:sz w:val="24"/>
      <w:lang w:val="fi-F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609FEE0-DB8D-47CD-AB85-6F4206906A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10</Pages>
  <Words>2360</Words>
  <Characters>20504</Characters>
  <Application>Microsoft Office Word</Application>
  <DocSecurity>0</DocSecurity>
  <Lines>170</Lines>
  <Paragraphs>45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22819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VUORIHUHTA Anne Kristiina</dc:creator>
  <cp:keywords/>
  <cp:lastModifiedBy>VUORIHUHTA Anne Kristiina</cp:lastModifiedBy>
  <cp:revision>6</cp:revision>
  <cp:lastPrinted>2004-11-19T15:42:00Z</cp:lastPrinted>
  <dcterms:created xsi:type="dcterms:W3CDTF">2024-04-08T19:40:00Z</dcterms:created>
  <dcterms:modified xsi:type="dcterms:W3CDTF">2024-04-11T16:37:00Z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FI</vt:lpwstr>
  </property>
  <property fmtid="{D5CDD505-2E9C-101B-9397-08002B2CF9AE}" pid="3" name="&lt;FdR&gt;">
    <vt:lpwstr>A9-0123/2024</vt:lpwstr>
  </property>
  <property fmtid="{D5CDD505-2E9C-101B-9397-08002B2CF9AE}" pid="4" name="&lt;Type&gt;">
    <vt:lpwstr>RR</vt:lpwstr>
  </property>
</Properties>
</file>